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drawings/drawing7.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78E13" w14:textId="77777777" w:rsidR="00A9469B" w:rsidRDefault="00A9469B" w:rsidP="00293B22">
      <w:pPr>
        <w:rPr>
          <w:rFonts w:ascii="Soberana Titular" w:hAnsi="Soberana Titular"/>
          <w:sz w:val="24"/>
        </w:rPr>
      </w:pPr>
      <w:bookmarkStart w:id="0" w:name="_Toc408852234"/>
      <w:bookmarkStart w:id="1" w:name="_Toc414671798"/>
    </w:p>
    <w:p w14:paraId="75523149" w14:textId="322E4C94" w:rsidR="00293B22" w:rsidRPr="00293B22" w:rsidRDefault="00293B22" w:rsidP="00B34162">
      <w:pPr>
        <w:ind w:left="426" w:hanging="426"/>
        <w:jc w:val="both"/>
        <w:rPr>
          <w:rFonts w:ascii="Soberana Titular" w:hAnsi="Soberana Titular"/>
          <w:sz w:val="24"/>
        </w:rPr>
      </w:pPr>
      <w:r w:rsidRPr="00293B22">
        <w:rPr>
          <w:rFonts w:ascii="Soberana Titular" w:hAnsi="Soberana Titular"/>
          <w:sz w:val="24"/>
        </w:rPr>
        <w:t>X</w:t>
      </w:r>
      <w:r w:rsidR="00EC4960">
        <w:rPr>
          <w:rFonts w:ascii="Soberana Titular" w:hAnsi="Soberana Titular"/>
          <w:sz w:val="24"/>
        </w:rPr>
        <w:t>VII</w:t>
      </w:r>
      <w:r w:rsidR="00D87A55">
        <w:rPr>
          <w:rFonts w:ascii="Soberana Titular" w:hAnsi="Soberana Titular"/>
          <w:sz w:val="24"/>
        </w:rPr>
        <w:t>I</w:t>
      </w:r>
      <w:bookmarkStart w:id="2" w:name="_GoBack"/>
      <w:bookmarkEnd w:id="2"/>
      <w:r w:rsidR="00010095">
        <w:rPr>
          <w:rFonts w:ascii="Soberana Titular" w:hAnsi="Soberana Titular"/>
          <w:sz w:val="24"/>
        </w:rPr>
        <w:t>.</w:t>
      </w:r>
      <w:r w:rsidRPr="00293B22">
        <w:rPr>
          <w:rFonts w:ascii="Soberana Titular" w:hAnsi="Soberana Titular"/>
          <w:sz w:val="24"/>
        </w:rPr>
        <w:t xml:space="preserve"> EVALUACIÓN DE LOS PROGRAMAS FEDERALES DE LA ADMINISTRACIÓN PÚBLICA FEDERAL</w:t>
      </w:r>
    </w:p>
    <w:p w14:paraId="6D39BB2C" w14:textId="77777777" w:rsidR="00AC7977" w:rsidRDefault="00AC7977" w:rsidP="006A524A">
      <w:pPr>
        <w:pStyle w:val="TDC2"/>
        <w:tabs>
          <w:tab w:val="right" w:leader="dot" w:pos="9962"/>
        </w:tabs>
        <w:spacing w:after="120"/>
        <w:ind w:left="0"/>
        <w:rPr>
          <w:rFonts w:ascii="Soberana Titular" w:hAnsi="Soberana Titular"/>
          <w:lang w:val="es-ES_tradnl"/>
        </w:rPr>
      </w:pPr>
    </w:p>
    <w:sdt>
      <w:sdtPr>
        <w:rPr>
          <w:rFonts w:ascii="Soberana Sans" w:eastAsia="MS Mincho" w:hAnsi="Soberana Sans" w:cs="Times New Roman"/>
          <w:b w:val="0"/>
          <w:bCs w:val="0"/>
          <w:szCs w:val="24"/>
          <w:lang w:val="es-ES_tradnl" w:eastAsia="es-ES"/>
        </w:rPr>
        <w:id w:val="-1440523715"/>
        <w:docPartObj>
          <w:docPartGallery w:val="Table of Contents"/>
          <w:docPartUnique/>
        </w:docPartObj>
      </w:sdtPr>
      <w:sdtEndPr>
        <w:rPr>
          <w:rFonts w:ascii="Soberana Sans Light" w:hAnsi="Soberana Sans Light"/>
          <w:lang w:val="es-ES"/>
        </w:rPr>
      </w:sdtEndPr>
      <w:sdtContent>
        <w:p w14:paraId="5ACE7859" w14:textId="77777777" w:rsidR="00DA2A38" w:rsidRPr="008E4BB2" w:rsidRDefault="00DA2A38" w:rsidP="00DA2A38">
          <w:pPr>
            <w:pStyle w:val="TDC2"/>
            <w:tabs>
              <w:tab w:val="right" w:leader="dot" w:pos="9962"/>
            </w:tabs>
            <w:spacing w:after="120"/>
            <w:ind w:left="0"/>
            <w:rPr>
              <w:rFonts w:ascii="Soberana Sans" w:hAnsi="Soberana Sans"/>
              <w:sz w:val="24"/>
              <w:szCs w:val="24"/>
              <w:lang w:val="es-ES_tradnl"/>
            </w:rPr>
          </w:pPr>
          <w:r w:rsidRPr="008E4BB2">
            <w:rPr>
              <w:rFonts w:ascii="Soberana Sans" w:hAnsi="Soberana Sans"/>
              <w:sz w:val="24"/>
              <w:szCs w:val="24"/>
              <w:lang w:val="es-ES_tradnl"/>
            </w:rPr>
            <w:t>Contenido</w:t>
          </w:r>
        </w:p>
        <w:p w14:paraId="3DEBE7CB" w14:textId="77777777" w:rsidR="00266A9F" w:rsidRPr="003562B5" w:rsidRDefault="00DA2A38">
          <w:pPr>
            <w:pStyle w:val="TDC2"/>
            <w:tabs>
              <w:tab w:val="right" w:leader="dot" w:pos="9962"/>
            </w:tabs>
            <w:rPr>
              <w:rFonts w:ascii="Soberana Sans Light" w:eastAsiaTheme="minorEastAsia" w:hAnsi="Soberana Sans Light" w:cstheme="minorBidi"/>
              <w:b w:val="0"/>
              <w:bCs w:val="0"/>
              <w:noProof/>
              <w:sz w:val="20"/>
              <w:lang w:val="es-MX" w:eastAsia="es-MX"/>
            </w:rPr>
          </w:pPr>
          <w:r w:rsidRPr="00266A9F">
            <w:rPr>
              <w:rFonts w:ascii="Soberana Sans Light" w:hAnsi="Soberana Sans Light"/>
              <w:b w:val="0"/>
              <w:sz w:val="24"/>
              <w:szCs w:val="24"/>
            </w:rPr>
            <w:fldChar w:fldCharType="begin"/>
          </w:r>
          <w:r w:rsidRPr="00266A9F">
            <w:rPr>
              <w:rFonts w:ascii="Soberana Sans Light" w:hAnsi="Soberana Sans Light"/>
              <w:b w:val="0"/>
              <w:sz w:val="24"/>
              <w:szCs w:val="24"/>
            </w:rPr>
            <w:instrText xml:space="preserve"> TOC \o "1-3" \h \z \u </w:instrText>
          </w:r>
          <w:r w:rsidRPr="00266A9F">
            <w:rPr>
              <w:rFonts w:ascii="Soberana Sans Light" w:hAnsi="Soberana Sans Light"/>
              <w:b w:val="0"/>
              <w:sz w:val="24"/>
              <w:szCs w:val="24"/>
            </w:rPr>
            <w:fldChar w:fldCharType="separate"/>
          </w:r>
          <w:hyperlink w:anchor="_Toc512364665" w:history="1">
            <w:r w:rsidR="00266A9F" w:rsidRPr="003562B5">
              <w:rPr>
                <w:rStyle w:val="Hipervnculo"/>
                <w:rFonts w:ascii="Soberana Sans Light" w:eastAsia="MS Gothic" w:hAnsi="Soberana Sans Light"/>
                <w:noProof/>
                <w:sz w:val="20"/>
              </w:rPr>
              <w:t>EVALUACIONES EN EL PRIMER TRIMESTRE DE 2018</w:t>
            </w:r>
            <w:r w:rsidR="00266A9F" w:rsidRPr="003562B5">
              <w:rPr>
                <w:rFonts w:ascii="Soberana Sans Light" w:hAnsi="Soberana Sans Light"/>
                <w:b w:val="0"/>
                <w:noProof/>
                <w:webHidden/>
                <w:sz w:val="20"/>
              </w:rPr>
              <w:tab/>
            </w:r>
            <w:r w:rsidR="00266A9F" w:rsidRPr="003562B5">
              <w:rPr>
                <w:rFonts w:ascii="Soberana Sans Light" w:hAnsi="Soberana Sans Light"/>
                <w:b w:val="0"/>
                <w:noProof/>
                <w:webHidden/>
                <w:sz w:val="20"/>
              </w:rPr>
              <w:fldChar w:fldCharType="begin"/>
            </w:r>
            <w:r w:rsidR="00266A9F" w:rsidRPr="003562B5">
              <w:rPr>
                <w:rFonts w:ascii="Soberana Sans Light" w:hAnsi="Soberana Sans Light"/>
                <w:b w:val="0"/>
                <w:noProof/>
                <w:webHidden/>
                <w:sz w:val="20"/>
              </w:rPr>
              <w:instrText xml:space="preserve"> PAGEREF _Toc512364665 \h </w:instrText>
            </w:r>
            <w:r w:rsidR="00266A9F" w:rsidRPr="003562B5">
              <w:rPr>
                <w:rFonts w:ascii="Soberana Sans Light" w:hAnsi="Soberana Sans Light"/>
                <w:b w:val="0"/>
                <w:noProof/>
                <w:webHidden/>
                <w:sz w:val="20"/>
              </w:rPr>
            </w:r>
            <w:r w:rsidR="00266A9F" w:rsidRPr="003562B5">
              <w:rPr>
                <w:rFonts w:ascii="Soberana Sans Light" w:hAnsi="Soberana Sans Light"/>
                <w:b w:val="0"/>
                <w:noProof/>
                <w:webHidden/>
                <w:sz w:val="20"/>
              </w:rPr>
              <w:fldChar w:fldCharType="separate"/>
            </w:r>
            <w:r w:rsidR="00304A38">
              <w:rPr>
                <w:rFonts w:ascii="Soberana Sans Light" w:hAnsi="Soberana Sans Light"/>
                <w:b w:val="0"/>
                <w:noProof/>
                <w:webHidden/>
                <w:sz w:val="20"/>
              </w:rPr>
              <w:t>2</w:t>
            </w:r>
            <w:r w:rsidR="00266A9F" w:rsidRPr="003562B5">
              <w:rPr>
                <w:rFonts w:ascii="Soberana Sans Light" w:hAnsi="Soberana Sans Light"/>
                <w:b w:val="0"/>
                <w:noProof/>
                <w:webHidden/>
                <w:sz w:val="20"/>
              </w:rPr>
              <w:fldChar w:fldCharType="end"/>
            </w:r>
          </w:hyperlink>
        </w:p>
        <w:p w14:paraId="1E281B15" w14:textId="77777777" w:rsidR="00266A9F" w:rsidRPr="003562B5" w:rsidRDefault="00263B55">
          <w:pPr>
            <w:pStyle w:val="TDC3"/>
            <w:tabs>
              <w:tab w:val="right" w:leader="dot" w:pos="9962"/>
            </w:tabs>
            <w:rPr>
              <w:rFonts w:ascii="Soberana Sans Light" w:eastAsiaTheme="minorEastAsia" w:hAnsi="Soberana Sans Light" w:cstheme="minorBidi"/>
              <w:noProof/>
              <w:szCs w:val="22"/>
              <w:lang w:val="es-MX" w:eastAsia="es-MX"/>
            </w:rPr>
          </w:pPr>
          <w:hyperlink w:anchor="_Toc512364666" w:history="1">
            <w:r w:rsidR="00266A9F" w:rsidRPr="003562B5">
              <w:rPr>
                <w:rStyle w:val="Hipervnculo"/>
                <w:rFonts w:ascii="Soberana Sans Light" w:eastAsia="MS Gothic" w:hAnsi="Soberana Sans Light"/>
                <w:noProof/>
                <w:sz w:val="18"/>
              </w:rPr>
              <w:t>SÍNTESIS DE EVALUACIONES</w:t>
            </w:r>
            <w:r w:rsidR="00266A9F" w:rsidRPr="003562B5">
              <w:rPr>
                <w:rFonts w:ascii="Soberana Sans Light" w:hAnsi="Soberana Sans Light"/>
                <w:noProof/>
                <w:webHidden/>
                <w:sz w:val="18"/>
              </w:rPr>
              <w:tab/>
            </w:r>
            <w:r w:rsidR="00266A9F" w:rsidRPr="003562B5">
              <w:rPr>
                <w:rFonts w:ascii="Soberana Sans Light" w:hAnsi="Soberana Sans Light"/>
                <w:noProof/>
                <w:webHidden/>
                <w:sz w:val="18"/>
              </w:rPr>
              <w:fldChar w:fldCharType="begin"/>
            </w:r>
            <w:r w:rsidR="00266A9F" w:rsidRPr="003562B5">
              <w:rPr>
                <w:rFonts w:ascii="Soberana Sans Light" w:hAnsi="Soberana Sans Light"/>
                <w:noProof/>
                <w:webHidden/>
                <w:sz w:val="18"/>
              </w:rPr>
              <w:instrText xml:space="preserve"> PAGEREF _Toc512364666 \h </w:instrText>
            </w:r>
            <w:r w:rsidR="00266A9F" w:rsidRPr="003562B5">
              <w:rPr>
                <w:rFonts w:ascii="Soberana Sans Light" w:hAnsi="Soberana Sans Light"/>
                <w:noProof/>
                <w:webHidden/>
                <w:sz w:val="18"/>
              </w:rPr>
            </w:r>
            <w:r w:rsidR="00266A9F" w:rsidRPr="003562B5">
              <w:rPr>
                <w:rFonts w:ascii="Soberana Sans Light" w:hAnsi="Soberana Sans Light"/>
                <w:noProof/>
                <w:webHidden/>
                <w:sz w:val="18"/>
              </w:rPr>
              <w:fldChar w:fldCharType="separate"/>
            </w:r>
            <w:r w:rsidR="00304A38">
              <w:rPr>
                <w:rFonts w:ascii="Soberana Sans Light" w:hAnsi="Soberana Sans Light"/>
                <w:noProof/>
                <w:webHidden/>
                <w:sz w:val="18"/>
              </w:rPr>
              <w:t>4</w:t>
            </w:r>
            <w:r w:rsidR="00266A9F" w:rsidRPr="003562B5">
              <w:rPr>
                <w:rFonts w:ascii="Soberana Sans Light" w:hAnsi="Soberana Sans Light"/>
                <w:noProof/>
                <w:webHidden/>
                <w:sz w:val="18"/>
              </w:rPr>
              <w:fldChar w:fldCharType="end"/>
            </w:r>
          </w:hyperlink>
        </w:p>
        <w:p w14:paraId="03A3C149" w14:textId="77777777" w:rsidR="00266A9F" w:rsidRPr="003562B5" w:rsidRDefault="00263B55">
          <w:pPr>
            <w:pStyle w:val="TDC3"/>
            <w:tabs>
              <w:tab w:val="right" w:leader="dot" w:pos="9962"/>
            </w:tabs>
            <w:rPr>
              <w:rFonts w:ascii="Soberana Sans Light" w:eastAsiaTheme="minorEastAsia" w:hAnsi="Soberana Sans Light" w:cstheme="minorBidi"/>
              <w:noProof/>
              <w:szCs w:val="22"/>
              <w:lang w:val="es-MX" w:eastAsia="es-MX"/>
            </w:rPr>
          </w:pPr>
          <w:hyperlink w:anchor="_Toc512364667" w:history="1">
            <w:r w:rsidR="00266A9F" w:rsidRPr="003562B5">
              <w:rPr>
                <w:rStyle w:val="Hipervnculo"/>
                <w:rFonts w:ascii="Soberana Sans Light" w:eastAsia="MS Gothic" w:hAnsi="Soberana Sans Light"/>
                <w:noProof/>
                <w:sz w:val="18"/>
              </w:rPr>
              <w:t>EVALUACIONES EN MATERIA DE DISEÑO</w:t>
            </w:r>
            <w:r w:rsidR="00266A9F" w:rsidRPr="003562B5">
              <w:rPr>
                <w:rFonts w:ascii="Soberana Sans Light" w:hAnsi="Soberana Sans Light"/>
                <w:noProof/>
                <w:webHidden/>
                <w:sz w:val="18"/>
              </w:rPr>
              <w:tab/>
            </w:r>
            <w:r w:rsidR="00266A9F" w:rsidRPr="003562B5">
              <w:rPr>
                <w:rFonts w:ascii="Soberana Sans Light" w:hAnsi="Soberana Sans Light"/>
                <w:noProof/>
                <w:webHidden/>
                <w:sz w:val="18"/>
              </w:rPr>
              <w:fldChar w:fldCharType="begin"/>
            </w:r>
            <w:r w:rsidR="00266A9F" w:rsidRPr="003562B5">
              <w:rPr>
                <w:rFonts w:ascii="Soberana Sans Light" w:hAnsi="Soberana Sans Light"/>
                <w:noProof/>
                <w:webHidden/>
                <w:sz w:val="18"/>
              </w:rPr>
              <w:instrText xml:space="preserve"> PAGEREF _Toc512364667 \h </w:instrText>
            </w:r>
            <w:r w:rsidR="00266A9F" w:rsidRPr="003562B5">
              <w:rPr>
                <w:rFonts w:ascii="Soberana Sans Light" w:hAnsi="Soberana Sans Light"/>
                <w:noProof/>
                <w:webHidden/>
                <w:sz w:val="18"/>
              </w:rPr>
            </w:r>
            <w:r w:rsidR="00266A9F" w:rsidRPr="003562B5">
              <w:rPr>
                <w:rFonts w:ascii="Soberana Sans Light" w:hAnsi="Soberana Sans Light"/>
                <w:noProof/>
                <w:webHidden/>
                <w:sz w:val="18"/>
              </w:rPr>
              <w:fldChar w:fldCharType="separate"/>
            </w:r>
            <w:r w:rsidR="00304A38">
              <w:rPr>
                <w:rFonts w:ascii="Soberana Sans Light" w:hAnsi="Soberana Sans Light"/>
                <w:noProof/>
                <w:webHidden/>
                <w:sz w:val="18"/>
              </w:rPr>
              <w:t>5</w:t>
            </w:r>
            <w:r w:rsidR="00266A9F" w:rsidRPr="003562B5">
              <w:rPr>
                <w:rFonts w:ascii="Soberana Sans Light" w:hAnsi="Soberana Sans Light"/>
                <w:noProof/>
                <w:webHidden/>
                <w:sz w:val="18"/>
              </w:rPr>
              <w:fldChar w:fldCharType="end"/>
            </w:r>
          </w:hyperlink>
        </w:p>
        <w:p w14:paraId="3C3ABA07" w14:textId="77777777" w:rsidR="00266A9F" w:rsidRPr="003562B5" w:rsidRDefault="00263B55">
          <w:pPr>
            <w:pStyle w:val="TDC3"/>
            <w:tabs>
              <w:tab w:val="right" w:leader="dot" w:pos="9962"/>
            </w:tabs>
            <w:rPr>
              <w:rFonts w:ascii="Soberana Sans Light" w:eastAsiaTheme="minorEastAsia" w:hAnsi="Soberana Sans Light" w:cstheme="minorBidi"/>
              <w:noProof/>
              <w:szCs w:val="22"/>
              <w:lang w:val="es-MX" w:eastAsia="es-MX"/>
            </w:rPr>
          </w:pPr>
          <w:hyperlink w:anchor="_Toc512364668" w:history="1">
            <w:r w:rsidR="00266A9F" w:rsidRPr="003562B5">
              <w:rPr>
                <w:rStyle w:val="Hipervnculo"/>
                <w:rFonts w:ascii="Soberana Sans Light" w:eastAsiaTheme="majorEastAsia" w:hAnsi="Soberana Sans Light" w:cstheme="majorBidi"/>
                <w:bCs/>
                <w:noProof/>
                <w:sz w:val="18"/>
                <w:lang w:val="es-MX" w:eastAsia="en-US"/>
              </w:rPr>
              <w:t>EVALUACIONES DE CONSISTENCIA Y RESULTADOS</w:t>
            </w:r>
            <w:r w:rsidR="00266A9F" w:rsidRPr="003562B5">
              <w:rPr>
                <w:rFonts w:ascii="Soberana Sans Light" w:hAnsi="Soberana Sans Light"/>
                <w:noProof/>
                <w:webHidden/>
                <w:sz w:val="18"/>
              </w:rPr>
              <w:tab/>
            </w:r>
            <w:r w:rsidR="00266A9F" w:rsidRPr="003562B5">
              <w:rPr>
                <w:rFonts w:ascii="Soberana Sans Light" w:hAnsi="Soberana Sans Light"/>
                <w:noProof/>
                <w:webHidden/>
                <w:sz w:val="18"/>
              </w:rPr>
              <w:fldChar w:fldCharType="begin"/>
            </w:r>
            <w:r w:rsidR="00266A9F" w:rsidRPr="003562B5">
              <w:rPr>
                <w:rFonts w:ascii="Soberana Sans Light" w:hAnsi="Soberana Sans Light"/>
                <w:noProof/>
                <w:webHidden/>
                <w:sz w:val="18"/>
              </w:rPr>
              <w:instrText xml:space="preserve"> PAGEREF _Toc512364668 \h </w:instrText>
            </w:r>
            <w:r w:rsidR="00266A9F" w:rsidRPr="003562B5">
              <w:rPr>
                <w:rFonts w:ascii="Soberana Sans Light" w:hAnsi="Soberana Sans Light"/>
                <w:noProof/>
                <w:webHidden/>
                <w:sz w:val="18"/>
              </w:rPr>
            </w:r>
            <w:r w:rsidR="00266A9F" w:rsidRPr="003562B5">
              <w:rPr>
                <w:rFonts w:ascii="Soberana Sans Light" w:hAnsi="Soberana Sans Light"/>
                <w:noProof/>
                <w:webHidden/>
                <w:sz w:val="18"/>
              </w:rPr>
              <w:fldChar w:fldCharType="separate"/>
            </w:r>
            <w:r w:rsidR="00304A38">
              <w:rPr>
                <w:rFonts w:ascii="Soberana Sans Light" w:hAnsi="Soberana Sans Light"/>
                <w:noProof/>
                <w:webHidden/>
                <w:sz w:val="18"/>
              </w:rPr>
              <w:t>19</w:t>
            </w:r>
            <w:r w:rsidR="00266A9F" w:rsidRPr="003562B5">
              <w:rPr>
                <w:rFonts w:ascii="Soberana Sans Light" w:hAnsi="Soberana Sans Light"/>
                <w:noProof/>
                <w:webHidden/>
                <w:sz w:val="18"/>
              </w:rPr>
              <w:fldChar w:fldCharType="end"/>
            </w:r>
          </w:hyperlink>
        </w:p>
        <w:p w14:paraId="33FF7456" w14:textId="77777777" w:rsidR="00266A9F" w:rsidRPr="003562B5" w:rsidRDefault="00263B55">
          <w:pPr>
            <w:pStyle w:val="TDC3"/>
            <w:tabs>
              <w:tab w:val="right" w:leader="dot" w:pos="9962"/>
            </w:tabs>
            <w:rPr>
              <w:rFonts w:ascii="Soberana Sans Light" w:eastAsiaTheme="minorEastAsia" w:hAnsi="Soberana Sans Light" w:cstheme="minorBidi"/>
              <w:noProof/>
              <w:szCs w:val="22"/>
              <w:lang w:val="es-MX" w:eastAsia="es-MX"/>
            </w:rPr>
          </w:pPr>
          <w:hyperlink w:anchor="_Toc512364669" w:history="1">
            <w:r w:rsidR="00266A9F" w:rsidRPr="003562B5">
              <w:rPr>
                <w:rStyle w:val="Hipervnculo"/>
                <w:rFonts w:ascii="Soberana Sans Light" w:eastAsia="MS Gothic" w:hAnsi="Soberana Sans Light"/>
                <w:noProof/>
                <w:sz w:val="18"/>
              </w:rPr>
              <w:t>EVALUACIONES DE PROCESOS</w:t>
            </w:r>
            <w:r w:rsidR="00266A9F" w:rsidRPr="003562B5">
              <w:rPr>
                <w:rFonts w:ascii="Soberana Sans Light" w:hAnsi="Soberana Sans Light"/>
                <w:noProof/>
                <w:webHidden/>
                <w:sz w:val="18"/>
              </w:rPr>
              <w:tab/>
            </w:r>
            <w:r w:rsidR="00266A9F" w:rsidRPr="003562B5">
              <w:rPr>
                <w:rFonts w:ascii="Soberana Sans Light" w:hAnsi="Soberana Sans Light"/>
                <w:noProof/>
                <w:webHidden/>
                <w:sz w:val="18"/>
              </w:rPr>
              <w:fldChar w:fldCharType="begin"/>
            </w:r>
            <w:r w:rsidR="00266A9F" w:rsidRPr="003562B5">
              <w:rPr>
                <w:rFonts w:ascii="Soberana Sans Light" w:hAnsi="Soberana Sans Light"/>
                <w:noProof/>
                <w:webHidden/>
                <w:sz w:val="18"/>
              </w:rPr>
              <w:instrText xml:space="preserve"> PAGEREF _Toc512364669 \h </w:instrText>
            </w:r>
            <w:r w:rsidR="00266A9F" w:rsidRPr="003562B5">
              <w:rPr>
                <w:rFonts w:ascii="Soberana Sans Light" w:hAnsi="Soberana Sans Light"/>
                <w:noProof/>
                <w:webHidden/>
                <w:sz w:val="18"/>
              </w:rPr>
            </w:r>
            <w:r w:rsidR="00266A9F" w:rsidRPr="003562B5">
              <w:rPr>
                <w:rFonts w:ascii="Soberana Sans Light" w:hAnsi="Soberana Sans Light"/>
                <w:noProof/>
                <w:webHidden/>
                <w:sz w:val="18"/>
              </w:rPr>
              <w:fldChar w:fldCharType="separate"/>
            </w:r>
            <w:r w:rsidR="00304A38">
              <w:rPr>
                <w:rFonts w:ascii="Soberana Sans Light" w:hAnsi="Soberana Sans Light"/>
                <w:noProof/>
                <w:webHidden/>
                <w:sz w:val="18"/>
              </w:rPr>
              <w:t>40</w:t>
            </w:r>
            <w:r w:rsidR="00266A9F" w:rsidRPr="003562B5">
              <w:rPr>
                <w:rFonts w:ascii="Soberana Sans Light" w:hAnsi="Soberana Sans Light"/>
                <w:noProof/>
                <w:webHidden/>
                <w:sz w:val="18"/>
              </w:rPr>
              <w:fldChar w:fldCharType="end"/>
            </w:r>
          </w:hyperlink>
        </w:p>
        <w:p w14:paraId="6A1EE041" w14:textId="77777777" w:rsidR="00266A9F" w:rsidRPr="003562B5" w:rsidRDefault="00263B55">
          <w:pPr>
            <w:pStyle w:val="TDC3"/>
            <w:tabs>
              <w:tab w:val="right" w:leader="dot" w:pos="9962"/>
            </w:tabs>
            <w:rPr>
              <w:rFonts w:ascii="Soberana Sans Light" w:eastAsiaTheme="minorEastAsia" w:hAnsi="Soberana Sans Light" w:cstheme="minorBidi"/>
              <w:noProof/>
              <w:szCs w:val="22"/>
              <w:lang w:val="es-MX" w:eastAsia="es-MX"/>
            </w:rPr>
          </w:pPr>
          <w:hyperlink w:anchor="_Toc512364670" w:history="1">
            <w:r w:rsidR="00266A9F" w:rsidRPr="003562B5">
              <w:rPr>
                <w:rStyle w:val="Hipervnculo"/>
                <w:rFonts w:ascii="Soberana Sans Light" w:eastAsiaTheme="majorEastAsia" w:hAnsi="Soberana Sans Light" w:cstheme="majorBidi"/>
                <w:bCs/>
                <w:noProof/>
                <w:sz w:val="18"/>
                <w:lang w:val="es-MX" w:eastAsia="en-US"/>
              </w:rPr>
              <w:t>EVALUACIÓN ESPECÍFICA DE CONSISTENCIA Y RESULTADOS CON MÓDULO COMPLETO DE DISEÑO</w:t>
            </w:r>
            <w:r w:rsidR="00266A9F" w:rsidRPr="003562B5">
              <w:rPr>
                <w:rFonts w:ascii="Soberana Sans Light" w:hAnsi="Soberana Sans Light"/>
                <w:noProof/>
                <w:webHidden/>
                <w:sz w:val="18"/>
              </w:rPr>
              <w:tab/>
            </w:r>
            <w:r w:rsidR="00266A9F" w:rsidRPr="003562B5">
              <w:rPr>
                <w:rFonts w:ascii="Soberana Sans Light" w:hAnsi="Soberana Sans Light"/>
                <w:noProof/>
                <w:webHidden/>
                <w:sz w:val="18"/>
              </w:rPr>
              <w:fldChar w:fldCharType="begin"/>
            </w:r>
            <w:r w:rsidR="00266A9F" w:rsidRPr="003562B5">
              <w:rPr>
                <w:rFonts w:ascii="Soberana Sans Light" w:hAnsi="Soberana Sans Light"/>
                <w:noProof/>
                <w:webHidden/>
                <w:sz w:val="18"/>
              </w:rPr>
              <w:instrText xml:space="preserve"> PAGEREF _Toc512364670 \h </w:instrText>
            </w:r>
            <w:r w:rsidR="00266A9F" w:rsidRPr="003562B5">
              <w:rPr>
                <w:rFonts w:ascii="Soberana Sans Light" w:hAnsi="Soberana Sans Light"/>
                <w:noProof/>
                <w:webHidden/>
                <w:sz w:val="18"/>
              </w:rPr>
            </w:r>
            <w:r w:rsidR="00266A9F" w:rsidRPr="003562B5">
              <w:rPr>
                <w:rFonts w:ascii="Soberana Sans Light" w:hAnsi="Soberana Sans Light"/>
                <w:noProof/>
                <w:webHidden/>
                <w:sz w:val="18"/>
              </w:rPr>
              <w:fldChar w:fldCharType="separate"/>
            </w:r>
            <w:r w:rsidR="00304A38">
              <w:rPr>
                <w:rFonts w:ascii="Soberana Sans Light" w:hAnsi="Soberana Sans Light"/>
                <w:noProof/>
                <w:webHidden/>
                <w:sz w:val="18"/>
              </w:rPr>
              <w:t>56</w:t>
            </w:r>
            <w:r w:rsidR="00266A9F" w:rsidRPr="003562B5">
              <w:rPr>
                <w:rFonts w:ascii="Soberana Sans Light" w:hAnsi="Soberana Sans Light"/>
                <w:noProof/>
                <w:webHidden/>
                <w:sz w:val="18"/>
              </w:rPr>
              <w:fldChar w:fldCharType="end"/>
            </w:r>
          </w:hyperlink>
        </w:p>
        <w:p w14:paraId="3D8E15B9" w14:textId="77777777" w:rsidR="00266A9F" w:rsidRPr="003562B5" w:rsidRDefault="00263B55">
          <w:pPr>
            <w:pStyle w:val="TDC3"/>
            <w:tabs>
              <w:tab w:val="right" w:leader="dot" w:pos="9962"/>
            </w:tabs>
            <w:rPr>
              <w:rFonts w:ascii="Soberana Sans Light" w:eastAsiaTheme="minorEastAsia" w:hAnsi="Soberana Sans Light" w:cstheme="minorBidi"/>
              <w:noProof/>
              <w:szCs w:val="22"/>
              <w:lang w:val="es-MX" w:eastAsia="es-MX"/>
            </w:rPr>
          </w:pPr>
          <w:hyperlink w:anchor="_Toc512364671" w:history="1">
            <w:r w:rsidR="00266A9F" w:rsidRPr="003562B5">
              <w:rPr>
                <w:rStyle w:val="Hipervnculo"/>
                <w:rFonts w:ascii="Soberana Sans Light" w:eastAsiaTheme="majorEastAsia" w:hAnsi="Soberana Sans Light" w:cstheme="majorBidi"/>
                <w:bCs/>
                <w:noProof/>
                <w:sz w:val="18"/>
                <w:lang w:val="es-MX" w:eastAsia="en-US"/>
              </w:rPr>
              <w:t>EVALUACIÓN ESPECÍFICA DE PROCESOS CON MÓDULO COMPLETO DE DISEÑO</w:t>
            </w:r>
            <w:r w:rsidR="00266A9F" w:rsidRPr="003562B5">
              <w:rPr>
                <w:rFonts w:ascii="Soberana Sans Light" w:hAnsi="Soberana Sans Light"/>
                <w:noProof/>
                <w:webHidden/>
                <w:sz w:val="18"/>
              </w:rPr>
              <w:tab/>
            </w:r>
            <w:r w:rsidR="00266A9F" w:rsidRPr="003562B5">
              <w:rPr>
                <w:rFonts w:ascii="Soberana Sans Light" w:hAnsi="Soberana Sans Light"/>
                <w:noProof/>
                <w:webHidden/>
                <w:sz w:val="18"/>
              </w:rPr>
              <w:fldChar w:fldCharType="begin"/>
            </w:r>
            <w:r w:rsidR="00266A9F" w:rsidRPr="003562B5">
              <w:rPr>
                <w:rFonts w:ascii="Soberana Sans Light" w:hAnsi="Soberana Sans Light"/>
                <w:noProof/>
                <w:webHidden/>
                <w:sz w:val="18"/>
              </w:rPr>
              <w:instrText xml:space="preserve"> PAGEREF _Toc512364671 \h </w:instrText>
            </w:r>
            <w:r w:rsidR="00266A9F" w:rsidRPr="003562B5">
              <w:rPr>
                <w:rFonts w:ascii="Soberana Sans Light" w:hAnsi="Soberana Sans Light"/>
                <w:noProof/>
                <w:webHidden/>
                <w:sz w:val="18"/>
              </w:rPr>
            </w:r>
            <w:r w:rsidR="00266A9F" w:rsidRPr="003562B5">
              <w:rPr>
                <w:rFonts w:ascii="Soberana Sans Light" w:hAnsi="Soberana Sans Light"/>
                <w:noProof/>
                <w:webHidden/>
                <w:sz w:val="18"/>
              </w:rPr>
              <w:fldChar w:fldCharType="separate"/>
            </w:r>
            <w:r w:rsidR="00304A38">
              <w:rPr>
                <w:rFonts w:ascii="Soberana Sans Light" w:hAnsi="Soberana Sans Light"/>
                <w:noProof/>
                <w:webHidden/>
                <w:sz w:val="18"/>
              </w:rPr>
              <w:t>59</w:t>
            </w:r>
            <w:r w:rsidR="00266A9F" w:rsidRPr="003562B5">
              <w:rPr>
                <w:rFonts w:ascii="Soberana Sans Light" w:hAnsi="Soberana Sans Light"/>
                <w:noProof/>
                <w:webHidden/>
                <w:sz w:val="18"/>
              </w:rPr>
              <w:fldChar w:fldCharType="end"/>
            </w:r>
          </w:hyperlink>
        </w:p>
        <w:p w14:paraId="0EE43A91" w14:textId="77777777" w:rsidR="00266A9F" w:rsidRPr="00266A9F" w:rsidRDefault="00263B55">
          <w:pPr>
            <w:pStyle w:val="TDC2"/>
            <w:tabs>
              <w:tab w:val="right" w:leader="dot" w:pos="9962"/>
            </w:tabs>
            <w:rPr>
              <w:rFonts w:ascii="Soberana Sans Light" w:eastAsiaTheme="minorEastAsia" w:hAnsi="Soberana Sans Light" w:cstheme="minorBidi"/>
              <w:b w:val="0"/>
              <w:bCs w:val="0"/>
              <w:noProof/>
              <w:lang w:val="es-MX" w:eastAsia="es-MX"/>
            </w:rPr>
          </w:pPr>
          <w:hyperlink w:anchor="_Toc512364672" w:history="1">
            <w:r w:rsidR="00266A9F" w:rsidRPr="003562B5">
              <w:rPr>
                <w:rStyle w:val="Hipervnculo"/>
                <w:rFonts w:ascii="Soberana Sans Light" w:eastAsia="MS Gothic" w:hAnsi="Soberana Sans Light"/>
                <w:noProof/>
                <w:sz w:val="20"/>
              </w:rPr>
              <w:t>ASPECTOS SUSCEPTIBLES DE MEJORA</w:t>
            </w:r>
            <w:r w:rsidR="006F4A52">
              <w:rPr>
                <w:rStyle w:val="Hipervnculo"/>
                <w:rFonts w:ascii="Soberana Sans Light" w:eastAsia="MS Gothic" w:hAnsi="Soberana Sans Light"/>
                <w:noProof/>
                <w:sz w:val="20"/>
              </w:rPr>
              <w:t xml:space="preserve"> </w:t>
            </w:r>
            <w:r w:rsidR="00266A9F" w:rsidRPr="003562B5">
              <w:rPr>
                <w:rStyle w:val="Hipervnculo"/>
                <w:rFonts w:ascii="Soberana Sans Light" w:eastAsia="MS Gothic" w:hAnsi="Soberana Sans Light"/>
                <w:noProof/>
                <w:sz w:val="20"/>
              </w:rPr>
              <w:t>PARA EL PRIMER TRIMESTRE DE 2018</w:t>
            </w:r>
            <w:r w:rsidR="00266A9F" w:rsidRPr="003562B5">
              <w:rPr>
                <w:rFonts w:ascii="Soberana Sans Light" w:hAnsi="Soberana Sans Light"/>
                <w:b w:val="0"/>
                <w:noProof/>
                <w:webHidden/>
                <w:sz w:val="20"/>
              </w:rPr>
              <w:tab/>
            </w:r>
            <w:r w:rsidR="00266A9F" w:rsidRPr="003562B5">
              <w:rPr>
                <w:rFonts w:ascii="Soberana Sans Light" w:hAnsi="Soberana Sans Light"/>
                <w:b w:val="0"/>
                <w:noProof/>
                <w:webHidden/>
                <w:sz w:val="20"/>
              </w:rPr>
              <w:fldChar w:fldCharType="begin"/>
            </w:r>
            <w:r w:rsidR="00266A9F" w:rsidRPr="003562B5">
              <w:rPr>
                <w:rFonts w:ascii="Soberana Sans Light" w:hAnsi="Soberana Sans Light"/>
                <w:b w:val="0"/>
                <w:noProof/>
                <w:webHidden/>
                <w:sz w:val="20"/>
              </w:rPr>
              <w:instrText xml:space="preserve"> PAGEREF _Toc512364672 \h </w:instrText>
            </w:r>
            <w:r w:rsidR="00266A9F" w:rsidRPr="003562B5">
              <w:rPr>
                <w:rFonts w:ascii="Soberana Sans Light" w:hAnsi="Soberana Sans Light"/>
                <w:b w:val="0"/>
                <w:noProof/>
                <w:webHidden/>
                <w:sz w:val="20"/>
              </w:rPr>
            </w:r>
            <w:r w:rsidR="00266A9F" w:rsidRPr="003562B5">
              <w:rPr>
                <w:rFonts w:ascii="Soberana Sans Light" w:hAnsi="Soberana Sans Light"/>
                <w:b w:val="0"/>
                <w:noProof/>
                <w:webHidden/>
                <w:sz w:val="20"/>
              </w:rPr>
              <w:fldChar w:fldCharType="separate"/>
            </w:r>
            <w:r w:rsidR="00304A38">
              <w:rPr>
                <w:rFonts w:ascii="Soberana Sans Light" w:hAnsi="Soberana Sans Light"/>
                <w:b w:val="0"/>
                <w:noProof/>
                <w:webHidden/>
                <w:sz w:val="20"/>
              </w:rPr>
              <w:t>63</w:t>
            </w:r>
            <w:r w:rsidR="00266A9F" w:rsidRPr="003562B5">
              <w:rPr>
                <w:rFonts w:ascii="Soberana Sans Light" w:hAnsi="Soberana Sans Light"/>
                <w:b w:val="0"/>
                <w:noProof/>
                <w:webHidden/>
                <w:sz w:val="20"/>
              </w:rPr>
              <w:fldChar w:fldCharType="end"/>
            </w:r>
          </w:hyperlink>
        </w:p>
        <w:p w14:paraId="64A796C7" w14:textId="77777777" w:rsidR="00DA2A38" w:rsidRPr="00266A9F" w:rsidRDefault="00DA2A38">
          <w:pPr>
            <w:rPr>
              <w:rFonts w:ascii="Soberana Sans Light" w:hAnsi="Soberana Sans Light"/>
            </w:rPr>
          </w:pPr>
          <w:r w:rsidRPr="00266A9F">
            <w:rPr>
              <w:rFonts w:ascii="Soberana Sans Light" w:hAnsi="Soberana Sans Light"/>
              <w:bCs/>
              <w:sz w:val="24"/>
              <w:lang w:val="es-ES"/>
            </w:rPr>
            <w:fldChar w:fldCharType="end"/>
          </w:r>
        </w:p>
      </w:sdtContent>
    </w:sdt>
    <w:p w14:paraId="0C5042C9" w14:textId="77777777" w:rsidR="00DA2A38" w:rsidRDefault="00DA2A38" w:rsidP="006A524A">
      <w:pPr>
        <w:pStyle w:val="TDC2"/>
        <w:tabs>
          <w:tab w:val="right" w:leader="dot" w:pos="9962"/>
        </w:tabs>
        <w:spacing w:after="120"/>
        <w:ind w:left="0"/>
        <w:rPr>
          <w:rFonts w:ascii="Soberana Sans" w:hAnsi="Soberana Sans"/>
          <w:lang w:val="es-ES_tradnl"/>
        </w:rPr>
      </w:pPr>
    </w:p>
    <w:p w14:paraId="7E1EE179" w14:textId="77777777" w:rsidR="00DA2A38" w:rsidRDefault="00DA2A38" w:rsidP="006A524A">
      <w:pPr>
        <w:pStyle w:val="TDC2"/>
        <w:tabs>
          <w:tab w:val="right" w:leader="dot" w:pos="9962"/>
        </w:tabs>
        <w:spacing w:after="120"/>
        <w:ind w:left="0"/>
        <w:rPr>
          <w:rFonts w:ascii="Soberana Sans" w:hAnsi="Soberana Sans"/>
          <w:lang w:val="es-ES_tradnl"/>
        </w:rPr>
      </w:pPr>
    </w:p>
    <w:p w14:paraId="01BCD19A" w14:textId="77777777" w:rsidR="00DA2A38" w:rsidRDefault="00DA2A38">
      <w:pPr>
        <w:spacing w:after="0"/>
        <w:rPr>
          <w:rFonts w:ascii="Soberana Titular" w:eastAsia="MS Gothic" w:hAnsi="Soberana Titular"/>
          <w:b/>
          <w:bCs/>
          <w:sz w:val="24"/>
          <w:szCs w:val="26"/>
        </w:rPr>
      </w:pPr>
      <w:bookmarkStart w:id="3" w:name="_Toc480972639"/>
      <w:bookmarkEnd w:id="0"/>
      <w:bookmarkEnd w:id="1"/>
      <w:r>
        <w:br w:type="page"/>
      </w:r>
    </w:p>
    <w:p w14:paraId="43C1B120" w14:textId="77777777" w:rsidR="00F13410" w:rsidRPr="00D24803" w:rsidRDefault="009D5D15" w:rsidP="00D24803">
      <w:pPr>
        <w:pStyle w:val="Ttulo2"/>
      </w:pPr>
      <w:bookmarkStart w:id="4" w:name="_Toc512364665"/>
      <w:r w:rsidRPr="00D24803">
        <w:lastRenderedPageBreak/>
        <w:t xml:space="preserve">EVALUACIONES EN EL </w:t>
      </w:r>
      <w:r w:rsidR="00076E24">
        <w:t>PRIMER</w:t>
      </w:r>
      <w:r w:rsidR="0018096A" w:rsidRPr="00D24803">
        <w:t xml:space="preserve"> </w:t>
      </w:r>
      <w:r w:rsidR="00293B22" w:rsidRPr="00D24803">
        <w:t>TRIMESTRE DE 201</w:t>
      </w:r>
      <w:bookmarkEnd w:id="3"/>
      <w:r w:rsidR="00076E24">
        <w:t>8</w:t>
      </w:r>
      <w:bookmarkEnd w:id="4"/>
    </w:p>
    <w:p w14:paraId="78B4EA99" w14:textId="77777777" w:rsidR="00F13410" w:rsidRPr="006241BE" w:rsidRDefault="00F13410" w:rsidP="00F13410">
      <w:pPr>
        <w:pStyle w:val="Cdetexto"/>
        <w:rPr>
          <w:szCs w:val="22"/>
        </w:rPr>
      </w:pPr>
      <w:r w:rsidRPr="006E4C63">
        <w:rPr>
          <w:szCs w:val="22"/>
        </w:rPr>
        <w:t xml:space="preserve">En cumplimiento a lo establecido en los </w:t>
      </w:r>
      <w:r w:rsidRPr="002D4831">
        <w:rPr>
          <w:szCs w:val="22"/>
        </w:rPr>
        <w:t xml:space="preserve">artículos 45, 78, 85, 110 y 111 de la Ley Federal de Presupuesto y Responsabilidad Hacendaria (LFPRH) y </w:t>
      </w:r>
      <w:r w:rsidR="00D32D6F" w:rsidRPr="002D4831">
        <w:rPr>
          <w:szCs w:val="22"/>
        </w:rPr>
        <w:t xml:space="preserve">29 </w:t>
      </w:r>
      <w:r w:rsidRPr="002D4831">
        <w:rPr>
          <w:szCs w:val="22"/>
        </w:rPr>
        <w:t>del Decreto de Presupuesto de Egresos de la Federación para el Ejercicio Fiscal 201</w:t>
      </w:r>
      <w:r w:rsidR="00D32D6F" w:rsidRPr="002D4831">
        <w:rPr>
          <w:szCs w:val="22"/>
        </w:rPr>
        <w:t>7</w:t>
      </w:r>
      <w:r w:rsidRPr="002D4831">
        <w:rPr>
          <w:szCs w:val="22"/>
        </w:rPr>
        <w:t>, y conforme</w:t>
      </w:r>
      <w:r w:rsidRPr="006E4C63">
        <w:rPr>
          <w:szCs w:val="22"/>
        </w:rPr>
        <w:t xml:space="preserve"> a lo señalado en los numerales Décimo Sexto y Décimo Séptimo de los Lineamientos generales para la evaluación de los Programas Federales de la Administración Pública Federal (</w:t>
      </w:r>
      <w:r w:rsidR="00DC35CC" w:rsidRPr="006E4C63">
        <w:rPr>
          <w:szCs w:val="22"/>
        </w:rPr>
        <w:t>Lineamientos de Evaluación</w:t>
      </w:r>
      <w:r w:rsidRPr="006E4C63">
        <w:rPr>
          <w:szCs w:val="22"/>
        </w:rPr>
        <w:t>), publicados en el Diario Oficial de la Federación</w:t>
      </w:r>
      <w:r w:rsidR="008F40AF">
        <w:rPr>
          <w:szCs w:val="22"/>
        </w:rPr>
        <w:t xml:space="preserve"> (DOF)</w:t>
      </w:r>
      <w:r w:rsidRPr="006E4C63">
        <w:rPr>
          <w:szCs w:val="22"/>
        </w:rPr>
        <w:t xml:space="preserve"> el 30 de marzo de 2007, se informa sobre las evaluaciones externas entregadas a la Secretaría de Hacienda y Crédito Público (SHCP) por las dependencias y entidades responsables de los </w:t>
      </w:r>
      <w:r w:rsidR="00DC35CC" w:rsidRPr="006E4C63">
        <w:rPr>
          <w:szCs w:val="22"/>
        </w:rPr>
        <w:t>p</w:t>
      </w:r>
      <w:r w:rsidRPr="006E4C63">
        <w:rPr>
          <w:szCs w:val="22"/>
        </w:rPr>
        <w:t xml:space="preserve">rogramas </w:t>
      </w:r>
      <w:r w:rsidR="00DC35CC" w:rsidRPr="006E4C63">
        <w:rPr>
          <w:szCs w:val="22"/>
        </w:rPr>
        <w:t>p</w:t>
      </w:r>
      <w:r w:rsidRPr="006E4C63">
        <w:rPr>
          <w:szCs w:val="22"/>
        </w:rPr>
        <w:t>resupuestarios (</w:t>
      </w:r>
      <w:proofErr w:type="spellStart"/>
      <w:r w:rsidRPr="006E4C63">
        <w:rPr>
          <w:szCs w:val="22"/>
        </w:rPr>
        <w:t>Pp</w:t>
      </w:r>
      <w:proofErr w:type="spellEnd"/>
      <w:r w:rsidRPr="006E4C63">
        <w:rPr>
          <w:szCs w:val="22"/>
        </w:rPr>
        <w:t xml:space="preserve">) evaluados, durante el periodo comprendido entre los </w:t>
      </w:r>
      <w:r w:rsidRPr="006241BE">
        <w:rPr>
          <w:szCs w:val="22"/>
        </w:rPr>
        <w:t xml:space="preserve">meses de </w:t>
      </w:r>
      <w:r w:rsidR="00076E24">
        <w:rPr>
          <w:lang w:val="es-MX"/>
        </w:rPr>
        <w:t>enero</w:t>
      </w:r>
      <w:r w:rsidR="00543B27" w:rsidRPr="006241BE">
        <w:rPr>
          <w:lang w:val="es-MX"/>
        </w:rPr>
        <w:t xml:space="preserve"> </w:t>
      </w:r>
      <w:r w:rsidR="006D135B" w:rsidRPr="006241BE">
        <w:rPr>
          <w:lang w:val="es-MX"/>
        </w:rPr>
        <w:t>y</w:t>
      </w:r>
      <w:r w:rsidR="00543B27" w:rsidRPr="006241BE">
        <w:rPr>
          <w:lang w:val="es-MX"/>
        </w:rPr>
        <w:t xml:space="preserve"> </w:t>
      </w:r>
      <w:r w:rsidR="00076E24">
        <w:rPr>
          <w:lang w:val="es-MX"/>
        </w:rPr>
        <w:t xml:space="preserve">marzo </w:t>
      </w:r>
      <w:r w:rsidRPr="006241BE">
        <w:rPr>
          <w:szCs w:val="22"/>
        </w:rPr>
        <w:t>de 201</w:t>
      </w:r>
      <w:r w:rsidR="00076E24">
        <w:rPr>
          <w:szCs w:val="22"/>
        </w:rPr>
        <w:t>8</w:t>
      </w:r>
      <w:r w:rsidRPr="006241BE">
        <w:rPr>
          <w:szCs w:val="22"/>
        </w:rPr>
        <w:t xml:space="preserve">. </w:t>
      </w:r>
    </w:p>
    <w:p w14:paraId="4F98D57C" w14:textId="77777777" w:rsidR="00F13410" w:rsidRPr="006241BE" w:rsidRDefault="00F13410" w:rsidP="00F13410">
      <w:pPr>
        <w:pStyle w:val="Cdetexto"/>
        <w:rPr>
          <w:szCs w:val="22"/>
        </w:rPr>
      </w:pPr>
      <w:r w:rsidRPr="006241BE">
        <w:rPr>
          <w:szCs w:val="22"/>
        </w:rPr>
        <w:t xml:space="preserve">Dichas evaluaciones </w:t>
      </w:r>
      <w:r w:rsidR="00A851BD" w:rsidRPr="006241BE">
        <w:rPr>
          <w:szCs w:val="22"/>
        </w:rPr>
        <w:t>se realizaron</w:t>
      </w:r>
      <w:r w:rsidRPr="006241BE">
        <w:rPr>
          <w:szCs w:val="22"/>
        </w:rPr>
        <w:t xml:space="preserve"> </w:t>
      </w:r>
      <w:r w:rsidR="00A851BD" w:rsidRPr="006241BE">
        <w:rPr>
          <w:szCs w:val="22"/>
        </w:rPr>
        <w:t>en el marco del</w:t>
      </w:r>
      <w:r w:rsidRPr="006241BE">
        <w:rPr>
          <w:szCs w:val="22"/>
        </w:rPr>
        <w:t xml:space="preserve"> Programa Anual de Evaluación </w:t>
      </w:r>
      <w:r w:rsidR="009047B6" w:rsidRPr="006241BE">
        <w:rPr>
          <w:szCs w:val="22"/>
        </w:rPr>
        <w:t>para el</w:t>
      </w:r>
      <w:r w:rsidR="005B58A3" w:rsidRPr="006241BE">
        <w:rPr>
          <w:szCs w:val="22"/>
        </w:rPr>
        <w:t xml:space="preserve"> Ejercicio F</w:t>
      </w:r>
      <w:r w:rsidR="009047B6" w:rsidRPr="006241BE">
        <w:rPr>
          <w:szCs w:val="22"/>
        </w:rPr>
        <w:t>iscal 201</w:t>
      </w:r>
      <w:r w:rsidR="005502D7" w:rsidRPr="006241BE">
        <w:rPr>
          <w:szCs w:val="22"/>
        </w:rPr>
        <w:t>7</w:t>
      </w:r>
      <w:r w:rsidR="009047B6" w:rsidRPr="006241BE">
        <w:rPr>
          <w:szCs w:val="22"/>
        </w:rPr>
        <w:t xml:space="preserve"> </w:t>
      </w:r>
      <w:r w:rsidRPr="006241BE">
        <w:rPr>
          <w:szCs w:val="22"/>
        </w:rPr>
        <w:t xml:space="preserve">de los Programas Federales de la Administración Pública Federal </w:t>
      </w:r>
      <w:r w:rsidR="007E1361" w:rsidRPr="006241BE">
        <w:rPr>
          <w:szCs w:val="22"/>
        </w:rPr>
        <w:t xml:space="preserve">y de los Fondos de Aportaciones Federales </w:t>
      </w:r>
      <w:r w:rsidRPr="006241BE">
        <w:rPr>
          <w:szCs w:val="22"/>
        </w:rPr>
        <w:t>(PAE</w:t>
      </w:r>
      <w:r w:rsidR="009047B6" w:rsidRPr="006241BE">
        <w:rPr>
          <w:szCs w:val="22"/>
        </w:rPr>
        <w:t xml:space="preserve"> 201</w:t>
      </w:r>
      <w:r w:rsidR="004858F1" w:rsidRPr="006241BE">
        <w:rPr>
          <w:szCs w:val="22"/>
        </w:rPr>
        <w:t>7</w:t>
      </w:r>
      <w:r w:rsidR="00003049" w:rsidRPr="006241BE">
        <w:rPr>
          <w:szCs w:val="22"/>
        </w:rPr>
        <w:t xml:space="preserve">), así como de </w:t>
      </w:r>
      <w:r w:rsidR="00C42CF4">
        <w:rPr>
          <w:szCs w:val="22"/>
        </w:rPr>
        <w:t>Programas Anuales de E</w:t>
      </w:r>
      <w:r w:rsidR="007E1361" w:rsidRPr="006241BE">
        <w:rPr>
          <w:szCs w:val="22"/>
        </w:rPr>
        <w:t>valuación</w:t>
      </w:r>
      <w:r w:rsidR="00003049" w:rsidRPr="006241BE">
        <w:rPr>
          <w:szCs w:val="22"/>
        </w:rPr>
        <w:t xml:space="preserve"> correspondientes a ejercicios fiscales </w:t>
      </w:r>
      <w:r w:rsidR="005502D7" w:rsidRPr="006241BE">
        <w:rPr>
          <w:szCs w:val="22"/>
        </w:rPr>
        <w:t>anteriores</w:t>
      </w:r>
      <w:r w:rsidRPr="006241BE">
        <w:rPr>
          <w:szCs w:val="22"/>
        </w:rPr>
        <w:t>, emitido</w:t>
      </w:r>
      <w:r w:rsidR="00964E91" w:rsidRPr="006241BE">
        <w:rPr>
          <w:szCs w:val="22"/>
        </w:rPr>
        <w:t>s</w:t>
      </w:r>
      <w:r w:rsidRPr="006241BE">
        <w:rPr>
          <w:szCs w:val="22"/>
        </w:rPr>
        <w:t xml:space="preserve"> de manera conjunta por la SHCP y el Consejo Nacional de Evaluación de la Política de Desarrollo Social (CONEVAL).</w:t>
      </w:r>
    </w:p>
    <w:p w14:paraId="3542D116" w14:textId="5FA8A99B" w:rsidR="00F13410" w:rsidRDefault="00F13410" w:rsidP="006A6F5E">
      <w:pPr>
        <w:pStyle w:val="Cdetexto"/>
      </w:pPr>
      <w:r w:rsidRPr="006241BE">
        <w:rPr>
          <w:szCs w:val="22"/>
        </w:rPr>
        <w:t xml:space="preserve">Durante el periodo de </w:t>
      </w:r>
      <w:r w:rsidR="00076E24">
        <w:rPr>
          <w:lang w:val="es-MX"/>
        </w:rPr>
        <w:t>enero</w:t>
      </w:r>
      <w:r w:rsidR="00543B27" w:rsidRPr="006241BE">
        <w:rPr>
          <w:lang w:val="es-MX"/>
        </w:rPr>
        <w:t xml:space="preserve"> a </w:t>
      </w:r>
      <w:r w:rsidR="00076E24">
        <w:rPr>
          <w:lang w:val="es-MX"/>
        </w:rPr>
        <w:t xml:space="preserve">marzo </w:t>
      </w:r>
      <w:r w:rsidRPr="006241BE">
        <w:rPr>
          <w:szCs w:val="22"/>
        </w:rPr>
        <w:t>de 201</w:t>
      </w:r>
      <w:r w:rsidR="00076E24">
        <w:rPr>
          <w:szCs w:val="22"/>
        </w:rPr>
        <w:t>8</w:t>
      </w:r>
      <w:r w:rsidR="00BB3786" w:rsidRPr="006241BE">
        <w:rPr>
          <w:szCs w:val="22"/>
        </w:rPr>
        <w:t xml:space="preserve">, se recibieron en la SHCP </w:t>
      </w:r>
      <w:r w:rsidR="00076E24" w:rsidRPr="00630036">
        <w:rPr>
          <w:szCs w:val="22"/>
        </w:rPr>
        <w:t>21</w:t>
      </w:r>
      <w:r w:rsidR="005E42E3" w:rsidRPr="006241BE">
        <w:rPr>
          <w:szCs w:val="22"/>
        </w:rPr>
        <w:t xml:space="preserve"> </w:t>
      </w:r>
      <w:r w:rsidRPr="006241BE">
        <w:rPr>
          <w:szCs w:val="22"/>
        </w:rPr>
        <w:t>evaluaciones externas</w:t>
      </w:r>
      <w:r w:rsidR="006A6F5E" w:rsidRPr="006241BE">
        <w:rPr>
          <w:szCs w:val="22"/>
        </w:rPr>
        <w:t xml:space="preserve">, de las cuales </w:t>
      </w:r>
      <w:r w:rsidR="00284CB4">
        <w:t>ocho</w:t>
      </w:r>
      <w:r w:rsidR="00284CB4" w:rsidRPr="006241BE">
        <w:t xml:space="preserve"> </w:t>
      </w:r>
      <w:r w:rsidR="00D0291B">
        <w:t>corresponden a evaluaciones</w:t>
      </w:r>
      <w:r w:rsidR="00D0291B" w:rsidRPr="006241BE">
        <w:t xml:space="preserve"> </w:t>
      </w:r>
      <w:r w:rsidRPr="006241BE">
        <w:t>en materia</w:t>
      </w:r>
      <w:r w:rsidR="00284CB4">
        <w:t xml:space="preserve"> </w:t>
      </w:r>
      <w:r w:rsidR="00284CB4" w:rsidRPr="006241BE">
        <w:t>de Consistencia y Resultados</w:t>
      </w:r>
      <w:r w:rsidR="00A7223C" w:rsidRPr="006241BE">
        <w:t xml:space="preserve">, </w:t>
      </w:r>
      <w:r w:rsidR="00630036">
        <w:t>seis</w:t>
      </w:r>
      <w:r w:rsidR="00292063" w:rsidRPr="006241BE">
        <w:t xml:space="preserve"> de Procesos</w:t>
      </w:r>
      <w:r w:rsidR="00630036">
        <w:t>,</w:t>
      </w:r>
      <w:r w:rsidR="00AD7E64" w:rsidRPr="006241BE">
        <w:t xml:space="preserve"> </w:t>
      </w:r>
      <w:r w:rsidR="00284CB4">
        <w:rPr>
          <w:szCs w:val="22"/>
        </w:rPr>
        <w:t>cinco</w:t>
      </w:r>
      <w:r w:rsidR="00284CB4" w:rsidRPr="006241BE">
        <w:t xml:space="preserve"> de Diseño,</w:t>
      </w:r>
      <w:r w:rsidR="00284CB4">
        <w:t xml:space="preserve"> </w:t>
      </w:r>
      <w:r w:rsidR="00630036">
        <w:t xml:space="preserve">una Específica de Consistencia y Resultados con módulo de Diseño y </w:t>
      </w:r>
      <w:r w:rsidR="00543B27" w:rsidRPr="00630036">
        <w:t>una</w:t>
      </w:r>
      <w:r w:rsidR="00543B27" w:rsidRPr="006241BE">
        <w:t xml:space="preserve"> </w:t>
      </w:r>
      <w:r w:rsidR="00292063" w:rsidRPr="006241BE">
        <w:t xml:space="preserve">Específica </w:t>
      </w:r>
      <w:r w:rsidRPr="006241BE">
        <w:t>de Procesos</w:t>
      </w:r>
      <w:r w:rsidR="00A7223C" w:rsidRPr="006241BE">
        <w:t xml:space="preserve"> con módulo de Diseño</w:t>
      </w:r>
      <w:r w:rsidR="006A6F5E" w:rsidRPr="006241BE">
        <w:t>, de acuerdo con la siguiente tabla</w:t>
      </w:r>
      <w:r w:rsidR="006A6F5E" w:rsidRPr="006241BE">
        <w:rPr>
          <w:rStyle w:val="Refdenotaalpie"/>
        </w:rPr>
        <w:footnoteReference w:id="1"/>
      </w:r>
      <w:r w:rsidR="006A6F5E" w:rsidRPr="006241BE">
        <w:rPr>
          <w:szCs w:val="22"/>
          <w:vertAlign w:val="superscript"/>
        </w:rPr>
        <w:t>_/</w:t>
      </w:r>
      <w:r w:rsidR="006A6F5E" w:rsidRPr="006241BE">
        <w:t>:</w:t>
      </w:r>
    </w:p>
    <w:p w14:paraId="5F5C0711" w14:textId="77777777" w:rsidR="001A7EED" w:rsidRDefault="001A7EED" w:rsidP="006A6F5E">
      <w:pPr>
        <w:pStyle w:val="Cdetexto"/>
      </w:pPr>
    </w:p>
    <w:tbl>
      <w:tblPr>
        <w:tblW w:w="0" w:type="auto"/>
        <w:jc w:val="center"/>
        <w:tblLayout w:type="fixed"/>
        <w:tblCellMar>
          <w:left w:w="70" w:type="dxa"/>
          <w:right w:w="70" w:type="dxa"/>
        </w:tblCellMar>
        <w:tblLook w:val="04A0" w:firstRow="1" w:lastRow="0" w:firstColumn="1" w:lastColumn="0" w:noHBand="0" w:noVBand="1"/>
      </w:tblPr>
      <w:tblGrid>
        <w:gridCol w:w="8"/>
        <w:gridCol w:w="733"/>
        <w:gridCol w:w="3170"/>
        <w:gridCol w:w="993"/>
        <w:gridCol w:w="708"/>
        <w:gridCol w:w="709"/>
        <w:gridCol w:w="1051"/>
        <w:gridCol w:w="558"/>
        <w:gridCol w:w="791"/>
      </w:tblGrid>
      <w:tr w:rsidR="00D10BF7" w:rsidRPr="0043350C" w14:paraId="43C2A647" w14:textId="77777777" w:rsidTr="005A7CAD">
        <w:trPr>
          <w:gridBefore w:val="1"/>
          <w:wBefore w:w="8" w:type="dxa"/>
          <w:cantSplit/>
          <w:tblHeader/>
          <w:jc w:val="center"/>
        </w:trPr>
        <w:tc>
          <w:tcPr>
            <w:tcW w:w="8713" w:type="dxa"/>
            <w:gridSpan w:val="8"/>
            <w:shd w:val="clear" w:color="auto" w:fill="D6E3BC" w:themeFill="accent3" w:themeFillTint="66"/>
            <w:noWrap/>
            <w:vAlign w:val="center"/>
          </w:tcPr>
          <w:p w14:paraId="6887FB5A" w14:textId="77777777" w:rsidR="00D10BF7" w:rsidRPr="008873F7" w:rsidRDefault="00D10BF7" w:rsidP="005A7CAD">
            <w:pPr>
              <w:spacing w:before="120"/>
              <w:ind w:left="284"/>
              <w:contextualSpacing/>
              <w:jc w:val="center"/>
              <w:rPr>
                <w:rFonts w:eastAsia="Times New Roman"/>
                <w:noProof/>
                <w:sz w:val="18"/>
                <w:szCs w:val="20"/>
              </w:rPr>
            </w:pPr>
            <w:r w:rsidRPr="008873F7">
              <w:rPr>
                <w:rFonts w:eastAsia="Times New Roman"/>
                <w:noProof/>
                <w:sz w:val="18"/>
                <w:szCs w:val="20"/>
              </w:rPr>
              <w:t xml:space="preserve">Tabla 1. Evaluaciones recibidas por la SHCP </w:t>
            </w:r>
            <w:r>
              <w:rPr>
                <w:rFonts w:eastAsia="Times New Roman"/>
                <w:noProof/>
                <w:sz w:val="18"/>
                <w:szCs w:val="20"/>
              </w:rPr>
              <w:br/>
              <w:t>Enero</w:t>
            </w:r>
            <w:r w:rsidRPr="006241BE">
              <w:rPr>
                <w:rFonts w:eastAsia="Times New Roman"/>
                <w:noProof/>
                <w:sz w:val="18"/>
                <w:szCs w:val="20"/>
              </w:rPr>
              <w:t>-</w:t>
            </w:r>
            <w:r>
              <w:rPr>
                <w:rFonts w:eastAsia="Times New Roman"/>
                <w:noProof/>
                <w:sz w:val="18"/>
                <w:szCs w:val="20"/>
              </w:rPr>
              <w:t>marzo</w:t>
            </w:r>
            <w:r w:rsidRPr="006241BE">
              <w:rPr>
                <w:rFonts w:eastAsia="Times New Roman"/>
                <w:noProof/>
                <w:sz w:val="18"/>
                <w:szCs w:val="20"/>
              </w:rPr>
              <w:t xml:space="preserve"> de</w:t>
            </w:r>
            <w:r w:rsidRPr="008873F7">
              <w:rPr>
                <w:rFonts w:eastAsia="Times New Roman"/>
                <w:noProof/>
                <w:sz w:val="18"/>
                <w:szCs w:val="20"/>
              </w:rPr>
              <w:t xml:space="preserve"> 201</w:t>
            </w:r>
            <w:r>
              <w:rPr>
                <w:rFonts w:eastAsia="Times New Roman"/>
                <w:noProof/>
                <w:sz w:val="18"/>
                <w:szCs w:val="20"/>
              </w:rPr>
              <w:t>8</w:t>
            </w:r>
            <w:r w:rsidRPr="008873F7">
              <w:rPr>
                <w:rFonts w:eastAsia="Times New Roman"/>
                <w:noProof/>
                <w:sz w:val="18"/>
                <w:szCs w:val="20"/>
              </w:rPr>
              <w:t xml:space="preserve"> y acumulad</w:t>
            </w:r>
            <w:r>
              <w:rPr>
                <w:rFonts w:eastAsia="Times New Roman"/>
                <w:noProof/>
                <w:sz w:val="18"/>
                <w:szCs w:val="20"/>
              </w:rPr>
              <w:t>o anual</w:t>
            </w:r>
          </w:p>
        </w:tc>
      </w:tr>
      <w:tr w:rsidR="00D10BF7" w:rsidRPr="0043350C" w14:paraId="540D16CC" w14:textId="77777777" w:rsidTr="00FC5FC6">
        <w:trPr>
          <w:cantSplit/>
          <w:tblHeader/>
          <w:jc w:val="center"/>
        </w:trPr>
        <w:tc>
          <w:tcPr>
            <w:tcW w:w="3911" w:type="dxa"/>
            <w:gridSpan w:val="3"/>
            <w:vMerge w:val="restart"/>
            <w:shd w:val="clear" w:color="auto" w:fill="FFFFFF" w:themeFill="background1"/>
            <w:noWrap/>
            <w:vAlign w:val="center"/>
            <w:hideMark/>
          </w:tcPr>
          <w:p w14:paraId="1D71D1EE" w14:textId="77777777" w:rsidR="00D10BF7" w:rsidRPr="0043350C" w:rsidRDefault="00D0291B" w:rsidP="00FA766E">
            <w:pPr>
              <w:pStyle w:val="SUBCAB7"/>
            </w:pPr>
            <w:r>
              <w:t xml:space="preserve">Tipo de Evaluación y </w:t>
            </w:r>
            <w:r w:rsidR="00D10BF7" w:rsidRPr="0043350C">
              <w:t>Ramo</w:t>
            </w:r>
          </w:p>
        </w:tc>
        <w:tc>
          <w:tcPr>
            <w:tcW w:w="4810" w:type="dxa"/>
            <w:gridSpan w:val="6"/>
            <w:shd w:val="clear" w:color="auto" w:fill="FFFFFF" w:themeFill="background1"/>
            <w:noWrap/>
            <w:vAlign w:val="center"/>
            <w:hideMark/>
          </w:tcPr>
          <w:p w14:paraId="328F4CA9" w14:textId="77777777" w:rsidR="00D10BF7" w:rsidRPr="0043350C" w:rsidRDefault="00D10BF7" w:rsidP="00FA766E">
            <w:pPr>
              <w:pStyle w:val="SUBCAB7"/>
            </w:pPr>
            <w:r w:rsidRPr="0043350C">
              <w:t xml:space="preserve">Número de Evaluaciones </w:t>
            </w:r>
            <w:r>
              <w:t>según</w:t>
            </w:r>
            <w:r w:rsidRPr="0043350C">
              <w:t xml:space="preserve"> </w:t>
            </w:r>
          </w:p>
          <w:p w14:paraId="3E7CC7E3" w14:textId="77777777" w:rsidR="00D10BF7" w:rsidRPr="0043350C" w:rsidRDefault="00D10BF7" w:rsidP="00FA766E">
            <w:pPr>
              <w:pStyle w:val="SUBCAB7"/>
            </w:pPr>
            <w:r w:rsidRPr="0043350C">
              <w:t xml:space="preserve">Instancia de Coordinación y Totales </w:t>
            </w:r>
          </w:p>
        </w:tc>
      </w:tr>
      <w:tr w:rsidR="00D10BF7" w:rsidRPr="0043350C" w14:paraId="46419D4F" w14:textId="77777777" w:rsidTr="00FC5FC6">
        <w:trPr>
          <w:cantSplit/>
          <w:tblHeader/>
          <w:jc w:val="center"/>
        </w:trPr>
        <w:tc>
          <w:tcPr>
            <w:tcW w:w="3911" w:type="dxa"/>
            <w:gridSpan w:val="3"/>
            <w:vMerge/>
            <w:shd w:val="clear" w:color="auto" w:fill="FFFFFF" w:themeFill="background1"/>
            <w:noWrap/>
            <w:vAlign w:val="center"/>
          </w:tcPr>
          <w:p w14:paraId="153066F4" w14:textId="77777777" w:rsidR="00D10BF7" w:rsidRPr="0043350C" w:rsidRDefault="00D10BF7" w:rsidP="00FA766E">
            <w:pPr>
              <w:pStyle w:val="SUBCAB7"/>
            </w:pPr>
          </w:p>
        </w:tc>
        <w:tc>
          <w:tcPr>
            <w:tcW w:w="2410" w:type="dxa"/>
            <w:gridSpan w:val="3"/>
            <w:tcBorders>
              <w:top w:val="single" w:sz="4" w:space="0" w:color="auto"/>
              <w:right w:val="single" w:sz="4" w:space="0" w:color="auto"/>
            </w:tcBorders>
            <w:shd w:val="clear" w:color="auto" w:fill="FFFFFF" w:themeFill="background1"/>
            <w:noWrap/>
            <w:vAlign w:val="center"/>
          </w:tcPr>
          <w:p w14:paraId="7CEA661E" w14:textId="77777777" w:rsidR="00D10BF7" w:rsidRPr="006241BE" w:rsidRDefault="00D10BF7" w:rsidP="00D10BF7">
            <w:pPr>
              <w:pStyle w:val="SUBCAB7"/>
            </w:pPr>
            <w:r w:rsidRPr="006241BE">
              <w:t xml:space="preserve">Durante el </w:t>
            </w:r>
            <w:r>
              <w:t>primer</w:t>
            </w:r>
            <w:r w:rsidRPr="006241BE">
              <w:t xml:space="preserve"> trimestre (</w:t>
            </w:r>
            <w:r>
              <w:t>enero</w:t>
            </w:r>
            <w:r w:rsidRPr="006241BE">
              <w:t>-</w:t>
            </w:r>
            <w:r>
              <w:t>marzo</w:t>
            </w:r>
            <w:r w:rsidRPr="006241BE">
              <w:t>) de 201</w:t>
            </w:r>
            <w:r>
              <w:t>8</w:t>
            </w:r>
          </w:p>
        </w:tc>
        <w:tc>
          <w:tcPr>
            <w:tcW w:w="2400" w:type="dxa"/>
            <w:gridSpan w:val="3"/>
            <w:tcBorders>
              <w:top w:val="single" w:sz="4" w:space="0" w:color="auto"/>
              <w:left w:val="single" w:sz="4" w:space="0" w:color="auto"/>
            </w:tcBorders>
            <w:shd w:val="clear" w:color="auto" w:fill="FFFFFF" w:themeFill="background1"/>
            <w:vAlign w:val="center"/>
          </w:tcPr>
          <w:p w14:paraId="475C980A" w14:textId="77777777" w:rsidR="00D10BF7" w:rsidRPr="006241BE" w:rsidRDefault="00D10BF7" w:rsidP="00D10BF7">
            <w:pPr>
              <w:pStyle w:val="SUBCAB7"/>
            </w:pPr>
            <w:r w:rsidRPr="006241BE">
              <w:t xml:space="preserve">Acumulado al </w:t>
            </w:r>
            <w:r>
              <w:t>primer</w:t>
            </w:r>
            <w:r w:rsidRPr="006241BE">
              <w:t xml:space="preserve"> trimestre (enero-</w:t>
            </w:r>
            <w:r>
              <w:t>marzo</w:t>
            </w:r>
            <w:r w:rsidRPr="006241BE">
              <w:t>) de 201</w:t>
            </w:r>
            <w:r>
              <w:t>8</w:t>
            </w:r>
          </w:p>
        </w:tc>
      </w:tr>
      <w:tr w:rsidR="00D10BF7" w:rsidRPr="0043350C" w14:paraId="336C2D94" w14:textId="77777777" w:rsidTr="00FC5FC6">
        <w:trPr>
          <w:cantSplit/>
          <w:tblHeader/>
          <w:jc w:val="center"/>
        </w:trPr>
        <w:tc>
          <w:tcPr>
            <w:tcW w:w="3911" w:type="dxa"/>
            <w:gridSpan w:val="3"/>
            <w:vMerge/>
            <w:shd w:val="clear" w:color="auto" w:fill="FFFFFF" w:themeFill="background1"/>
            <w:noWrap/>
            <w:vAlign w:val="center"/>
          </w:tcPr>
          <w:p w14:paraId="5E3CCC32" w14:textId="77777777" w:rsidR="00D10BF7" w:rsidRPr="0043350C" w:rsidRDefault="00D10BF7" w:rsidP="00FA766E">
            <w:pPr>
              <w:pStyle w:val="SUBCAB7"/>
            </w:pPr>
          </w:p>
        </w:tc>
        <w:tc>
          <w:tcPr>
            <w:tcW w:w="993" w:type="dxa"/>
            <w:shd w:val="clear" w:color="auto" w:fill="FFFFFF" w:themeFill="background1"/>
            <w:noWrap/>
            <w:vAlign w:val="center"/>
          </w:tcPr>
          <w:p w14:paraId="5D72749A" w14:textId="77777777" w:rsidR="00D10BF7" w:rsidRPr="0043350C" w:rsidRDefault="00D10BF7" w:rsidP="00FA766E">
            <w:pPr>
              <w:pStyle w:val="SUBCAB7"/>
            </w:pPr>
            <w:r w:rsidRPr="0043350C">
              <w:t>CONEVAL</w:t>
            </w:r>
          </w:p>
        </w:tc>
        <w:tc>
          <w:tcPr>
            <w:tcW w:w="708" w:type="dxa"/>
            <w:shd w:val="clear" w:color="auto" w:fill="FFFFFF" w:themeFill="background1"/>
            <w:vAlign w:val="center"/>
          </w:tcPr>
          <w:p w14:paraId="0AF01B01" w14:textId="77777777" w:rsidR="00D10BF7" w:rsidRPr="0043350C" w:rsidRDefault="00D10BF7" w:rsidP="00FA766E">
            <w:pPr>
              <w:pStyle w:val="SUBCAB7"/>
            </w:pPr>
            <w:r w:rsidRPr="0043350C">
              <w:t>SHCP</w:t>
            </w:r>
          </w:p>
        </w:tc>
        <w:tc>
          <w:tcPr>
            <w:tcW w:w="709" w:type="dxa"/>
            <w:tcBorders>
              <w:right w:val="single" w:sz="4" w:space="0" w:color="auto"/>
            </w:tcBorders>
            <w:shd w:val="clear" w:color="auto" w:fill="FFFFFF" w:themeFill="background1"/>
            <w:vAlign w:val="center"/>
          </w:tcPr>
          <w:p w14:paraId="3848ADC9" w14:textId="77777777" w:rsidR="00D10BF7" w:rsidRPr="0043350C" w:rsidRDefault="00D10BF7" w:rsidP="00FA766E">
            <w:pPr>
              <w:pStyle w:val="SUBCAB7"/>
            </w:pPr>
            <w:r w:rsidRPr="0043350C">
              <w:t>TOTAL</w:t>
            </w:r>
          </w:p>
        </w:tc>
        <w:tc>
          <w:tcPr>
            <w:tcW w:w="1051" w:type="dxa"/>
            <w:tcBorders>
              <w:left w:val="single" w:sz="4" w:space="0" w:color="auto"/>
            </w:tcBorders>
            <w:shd w:val="clear" w:color="auto" w:fill="FFFFFF" w:themeFill="background1"/>
            <w:vAlign w:val="center"/>
          </w:tcPr>
          <w:p w14:paraId="573FC93E" w14:textId="77777777" w:rsidR="00D10BF7" w:rsidRPr="000853A3" w:rsidRDefault="00D10BF7" w:rsidP="00FA766E">
            <w:pPr>
              <w:pStyle w:val="SUBCAB7"/>
            </w:pPr>
            <w:r w:rsidRPr="000853A3">
              <w:t>CONEVAL</w:t>
            </w:r>
          </w:p>
        </w:tc>
        <w:tc>
          <w:tcPr>
            <w:tcW w:w="558" w:type="dxa"/>
            <w:shd w:val="clear" w:color="auto" w:fill="FFFFFF" w:themeFill="background1"/>
            <w:vAlign w:val="center"/>
          </w:tcPr>
          <w:p w14:paraId="45182577" w14:textId="77777777" w:rsidR="00D10BF7" w:rsidRPr="000853A3" w:rsidRDefault="00D10BF7" w:rsidP="00FA766E">
            <w:pPr>
              <w:pStyle w:val="SUBCAB7"/>
            </w:pPr>
            <w:r w:rsidRPr="000853A3">
              <w:t>SHCP</w:t>
            </w:r>
          </w:p>
        </w:tc>
        <w:tc>
          <w:tcPr>
            <w:tcW w:w="791" w:type="dxa"/>
            <w:shd w:val="clear" w:color="auto" w:fill="FFFFFF" w:themeFill="background1"/>
            <w:vAlign w:val="center"/>
          </w:tcPr>
          <w:p w14:paraId="4A622D2E" w14:textId="77777777" w:rsidR="00D10BF7" w:rsidRPr="000853A3" w:rsidRDefault="00D10BF7" w:rsidP="00FA766E">
            <w:pPr>
              <w:pStyle w:val="SUBCAB7"/>
            </w:pPr>
            <w:r w:rsidRPr="000853A3">
              <w:t>TOTAL</w:t>
            </w:r>
          </w:p>
        </w:tc>
      </w:tr>
      <w:tr w:rsidR="00D10BF7" w:rsidRPr="0043350C" w14:paraId="43DB2366" w14:textId="77777777" w:rsidTr="00FC5FC6">
        <w:trPr>
          <w:cantSplit/>
          <w:jc w:val="center"/>
        </w:trPr>
        <w:tc>
          <w:tcPr>
            <w:tcW w:w="3911" w:type="dxa"/>
            <w:gridSpan w:val="3"/>
            <w:shd w:val="clear" w:color="auto" w:fill="D9D9D9" w:themeFill="background1" w:themeFillShade="D9"/>
            <w:noWrap/>
            <w:vAlign w:val="center"/>
            <w:hideMark/>
          </w:tcPr>
          <w:p w14:paraId="581D67DF" w14:textId="77777777" w:rsidR="00D10BF7" w:rsidRPr="001A6F5D" w:rsidRDefault="00D10BF7" w:rsidP="00FA766E">
            <w:pPr>
              <w:pStyle w:val="Textocuadro"/>
              <w:rPr>
                <w:b/>
              </w:rPr>
            </w:pPr>
            <w:r w:rsidRPr="001A6F5D">
              <w:rPr>
                <w:b/>
              </w:rPr>
              <w:t>Total</w:t>
            </w:r>
          </w:p>
        </w:tc>
        <w:tc>
          <w:tcPr>
            <w:tcW w:w="993" w:type="dxa"/>
            <w:shd w:val="clear" w:color="auto" w:fill="D9D9D9" w:themeFill="background1" w:themeFillShade="D9"/>
            <w:noWrap/>
            <w:vAlign w:val="center"/>
          </w:tcPr>
          <w:p w14:paraId="7B26BF6F" w14:textId="77777777" w:rsidR="00D10BF7" w:rsidRPr="00017EF1" w:rsidRDefault="00D10BF7" w:rsidP="00FA766E">
            <w:pPr>
              <w:pStyle w:val="Textocuadrocentrado"/>
              <w:rPr>
                <w:b/>
                <w:highlight w:val="yellow"/>
              </w:rPr>
            </w:pPr>
          </w:p>
        </w:tc>
        <w:tc>
          <w:tcPr>
            <w:tcW w:w="708" w:type="dxa"/>
            <w:shd w:val="clear" w:color="auto" w:fill="D9D9D9" w:themeFill="background1" w:themeFillShade="D9"/>
            <w:vAlign w:val="center"/>
          </w:tcPr>
          <w:p w14:paraId="188AF4F8" w14:textId="77777777" w:rsidR="00D10BF7" w:rsidRPr="001A6F5D" w:rsidRDefault="00D10BF7" w:rsidP="00FA766E">
            <w:pPr>
              <w:pStyle w:val="Textocuadrocentrado"/>
              <w:rPr>
                <w:b/>
              </w:rPr>
            </w:pPr>
            <w:r>
              <w:rPr>
                <w:b/>
              </w:rPr>
              <w:t>21</w:t>
            </w:r>
          </w:p>
        </w:tc>
        <w:tc>
          <w:tcPr>
            <w:tcW w:w="709" w:type="dxa"/>
            <w:tcBorders>
              <w:right w:val="single" w:sz="4" w:space="0" w:color="auto"/>
            </w:tcBorders>
            <w:shd w:val="clear" w:color="auto" w:fill="D9D9D9" w:themeFill="background1" w:themeFillShade="D9"/>
            <w:vAlign w:val="center"/>
          </w:tcPr>
          <w:p w14:paraId="25E49A73" w14:textId="77777777" w:rsidR="00D10BF7" w:rsidRPr="001A6F5D" w:rsidRDefault="00D10BF7" w:rsidP="00FA766E">
            <w:pPr>
              <w:pStyle w:val="Textocuadrocentrado"/>
              <w:rPr>
                <w:b/>
              </w:rPr>
            </w:pPr>
            <w:r>
              <w:rPr>
                <w:b/>
              </w:rPr>
              <w:t>21</w:t>
            </w:r>
          </w:p>
        </w:tc>
        <w:tc>
          <w:tcPr>
            <w:tcW w:w="1051" w:type="dxa"/>
            <w:tcBorders>
              <w:left w:val="single" w:sz="4" w:space="0" w:color="auto"/>
            </w:tcBorders>
            <w:shd w:val="clear" w:color="auto" w:fill="D9D9D9" w:themeFill="background1" w:themeFillShade="D9"/>
            <w:vAlign w:val="center"/>
          </w:tcPr>
          <w:p w14:paraId="4E05E4C6" w14:textId="77777777" w:rsidR="00D10BF7" w:rsidRPr="001A6F5D" w:rsidRDefault="00D10BF7" w:rsidP="00FA766E">
            <w:pPr>
              <w:pStyle w:val="Textocuadrocentrado"/>
              <w:rPr>
                <w:b/>
              </w:rPr>
            </w:pPr>
          </w:p>
        </w:tc>
        <w:tc>
          <w:tcPr>
            <w:tcW w:w="558" w:type="dxa"/>
            <w:shd w:val="clear" w:color="auto" w:fill="D9D9D9" w:themeFill="background1" w:themeFillShade="D9"/>
            <w:vAlign w:val="center"/>
          </w:tcPr>
          <w:p w14:paraId="53266635" w14:textId="77777777" w:rsidR="00D10BF7" w:rsidRPr="001A6F5D" w:rsidRDefault="00D10BF7" w:rsidP="00FA766E">
            <w:pPr>
              <w:pStyle w:val="Textocuadrocentrado"/>
              <w:rPr>
                <w:b/>
              </w:rPr>
            </w:pPr>
            <w:r>
              <w:rPr>
                <w:b/>
              </w:rPr>
              <w:t>21</w:t>
            </w:r>
          </w:p>
        </w:tc>
        <w:tc>
          <w:tcPr>
            <w:tcW w:w="791" w:type="dxa"/>
            <w:shd w:val="clear" w:color="auto" w:fill="D9D9D9" w:themeFill="background1" w:themeFillShade="D9"/>
            <w:vAlign w:val="center"/>
          </w:tcPr>
          <w:p w14:paraId="032BD6C6" w14:textId="77777777" w:rsidR="00D10BF7" w:rsidRPr="001A6F5D" w:rsidRDefault="00D10BF7" w:rsidP="00FA766E">
            <w:pPr>
              <w:pStyle w:val="Textocuadrocentrado"/>
              <w:rPr>
                <w:b/>
              </w:rPr>
            </w:pPr>
            <w:r>
              <w:rPr>
                <w:b/>
              </w:rPr>
              <w:t>21</w:t>
            </w:r>
          </w:p>
        </w:tc>
      </w:tr>
      <w:tr w:rsidR="00D10BF7" w:rsidRPr="0043350C" w14:paraId="22F2C055" w14:textId="77777777" w:rsidTr="00FC5FC6">
        <w:trPr>
          <w:cantSplit/>
          <w:trHeight w:hRule="exact" w:val="57"/>
          <w:jc w:val="center"/>
        </w:trPr>
        <w:tc>
          <w:tcPr>
            <w:tcW w:w="3911" w:type="dxa"/>
            <w:gridSpan w:val="3"/>
            <w:shd w:val="clear" w:color="auto" w:fill="FFFFFF" w:themeFill="background1"/>
            <w:noWrap/>
            <w:vAlign w:val="center"/>
            <w:hideMark/>
          </w:tcPr>
          <w:p w14:paraId="48E9E61C" w14:textId="77777777" w:rsidR="00D10BF7" w:rsidRPr="001A6F5D" w:rsidRDefault="00D10BF7" w:rsidP="00FA766E">
            <w:pPr>
              <w:pStyle w:val="Textocuadro"/>
              <w:rPr>
                <w:rFonts w:cstheme="minorBidi"/>
                <w:b/>
              </w:rPr>
            </w:pPr>
          </w:p>
        </w:tc>
        <w:tc>
          <w:tcPr>
            <w:tcW w:w="993" w:type="dxa"/>
            <w:shd w:val="clear" w:color="auto" w:fill="FFFFFF" w:themeFill="background1"/>
            <w:noWrap/>
            <w:vAlign w:val="center"/>
          </w:tcPr>
          <w:p w14:paraId="502D99C9" w14:textId="77777777" w:rsidR="00D10BF7" w:rsidRPr="00017EF1" w:rsidRDefault="00D10BF7" w:rsidP="00FA766E">
            <w:pPr>
              <w:pStyle w:val="Textocuadrocentrado"/>
              <w:rPr>
                <w:rFonts w:cstheme="minorBidi"/>
                <w:b/>
                <w:highlight w:val="yellow"/>
              </w:rPr>
            </w:pPr>
          </w:p>
        </w:tc>
        <w:tc>
          <w:tcPr>
            <w:tcW w:w="708" w:type="dxa"/>
            <w:shd w:val="clear" w:color="auto" w:fill="FFFFFF" w:themeFill="background1"/>
            <w:vAlign w:val="center"/>
          </w:tcPr>
          <w:p w14:paraId="00719727" w14:textId="77777777" w:rsidR="00D10BF7" w:rsidRPr="001A6F5D" w:rsidRDefault="00D10BF7" w:rsidP="00FA766E">
            <w:pPr>
              <w:pStyle w:val="Textocuadrocentrado"/>
              <w:jc w:val="left"/>
              <w:rPr>
                <w:rFonts w:cstheme="minorBidi"/>
                <w:b/>
              </w:rPr>
            </w:pPr>
          </w:p>
        </w:tc>
        <w:tc>
          <w:tcPr>
            <w:tcW w:w="709" w:type="dxa"/>
            <w:tcBorders>
              <w:right w:val="single" w:sz="4" w:space="0" w:color="auto"/>
            </w:tcBorders>
            <w:shd w:val="clear" w:color="auto" w:fill="FFFFFF" w:themeFill="background1"/>
            <w:vAlign w:val="center"/>
          </w:tcPr>
          <w:p w14:paraId="20C0728F" w14:textId="77777777" w:rsidR="00D10BF7" w:rsidRPr="001A6F5D" w:rsidRDefault="00D10BF7" w:rsidP="00FA766E">
            <w:pPr>
              <w:pStyle w:val="Textocuadrocentrado"/>
              <w:jc w:val="left"/>
              <w:rPr>
                <w:rFonts w:cstheme="minorBidi"/>
                <w:b/>
              </w:rPr>
            </w:pPr>
          </w:p>
        </w:tc>
        <w:tc>
          <w:tcPr>
            <w:tcW w:w="1051" w:type="dxa"/>
            <w:tcBorders>
              <w:left w:val="single" w:sz="4" w:space="0" w:color="auto"/>
            </w:tcBorders>
            <w:shd w:val="clear" w:color="auto" w:fill="FFFFFF" w:themeFill="background1"/>
            <w:vAlign w:val="center"/>
          </w:tcPr>
          <w:p w14:paraId="11F7A50E" w14:textId="77777777" w:rsidR="00D10BF7" w:rsidRPr="001A6F5D" w:rsidRDefault="00D10BF7" w:rsidP="00FA766E">
            <w:pPr>
              <w:pStyle w:val="Textocuadrocentrado"/>
              <w:rPr>
                <w:rFonts w:cstheme="minorBidi"/>
                <w:b/>
              </w:rPr>
            </w:pPr>
          </w:p>
        </w:tc>
        <w:tc>
          <w:tcPr>
            <w:tcW w:w="558" w:type="dxa"/>
            <w:shd w:val="clear" w:color="auto" w:fill="FFFFFF" w:themeFill="background1"/>
            <w:vAlign w:val="center"/>
          </w:tcPr>
          <w:p w14:paraId="6483C58A" w14:textId="77777777" w:rsidR="00D10BF7" w:rsidRPr="001A6F5D" w:rsidRDefault="00D10BF7" w:rsidP="00FA766E">
            <w:pPr>
              <w:pStyle w:val="Textocuadrocentrado"/>
              <w:rPr>
                <w:rFonts w:cstheme="minorBidi"/>
                <w:b/>
              </w:rPr>
            </w:pPr>
          </w:p>
        </w:tc>
        <w:tc>
          <w:tcPr>
            <w:tcW w:w="791" w:type="dxa"/>
            <w:shd w:val="clear" w:color="auto" w:fill="FFFFFF" w:themeFill="background1"/>
            <w:vAlign w:val="center"/>
          </w:tcPr>
          <w:p w14:paraId="2E3E3136" w14:textId="77777777" w:rsidR="00D10BF7" w:rsidRPr="001A6F5D" w:rsidRDefault="00D10BF7" w:rsidP="00FA766E">
            <w:pPr>
              <w:pStyle w:val="Textocuadrocentrado"/>
              <w:rPr>
                <w:rFonts w:cstheme="minorBidi"/>
                <w:b/>
              </w:rPr>
            </w:pPr>
          </w:p>
        </w:tc>
      </w:tr>
      <w:tr w:rsidR="00D10BF7" w:rsidRPr="0043350C" w14:paraId="6A6D1ED7" w14:textId="77777777" w:rsidTr="00FC5FC6">
        <w:trPr>
          <w:cantSplit/>
          <w:jc w:val="center"/>
        </w:trPr>
        <w:tc>
          <w:tcPr>
            <w:tcW w:w="3911" w:type="dxa"/>
            <w:gridSpan w:val="3"/>
            <w:shd w:val="clear" w:color="auto" w:fill="D9D9D9" w:themeFill="background1" w:themeFillShade="D9"/>
            <w:noWrap/>
            <w:vAlign w:val="center"/>
          </w:tcPr>
          <w:p w14:paraId="55C93CF1" w14:textId="77777777" w:rsidR="00D10BF7" w:rsidRPr="001A6F5D" w:rsidDel="002E5590" w:rsidRDefault="00D10BF7" w:rsidP="00D10BF7">
            <w:pPr>
              <w:pStyle w:val="Textocuadro"/>
              <w:rPr>
                <w:rFonts w:cstheme="minorBidi"/>
                <w:b/>
                <w:color w:val="A6A6A6" w:themeColor="background1" w:themeShade="A6"/>
                <w:szCs w:val="22"/>
              </w:rPr>
            </w:pPr>
            <w:r w:rsidRPr="001A6F5D">
              <w:rPr>
                <w:rFonts w:cstheme="minorBidi"/>
                <w:b/>
                <w:szCs w:val="22"/>
              </w:rPr>
              <w:t>PAE 201</w:t>
            </w:r>
            <w:r w:rsidR="00630036">
              <w:rPr>
                <w:rFonts w:cstheme="minorBidi"/>
                <w:b/>
                <w:szCs w:val="22"/>
              </w:rPr>
              <w:t>5</w:t>
            </w:r>
          </w:p>
        </w:tc>
        <w:tc>
          <w:tcPr>
            <w:tcW w:w="993" w:type="dxa"/>
            <w:shd w:val="clear" w:color="auto" w:fill="D9D9D9" w:themeFill="background1" w:themeFillShade="D9"/>
            <w:noWrap/>
            <w:vAlign w:val="center"/>
          </w:tcPr>
          <w:p w14:paraId="2433CF01" w14:textId="77777777" w:rsidR="00D10BF7" w:rsidRPr="00017EF1" w:rsidRDefault="00D10BF7" w:rsidP="00FA766E">
            <w:pPr>
              <w:pStyle w:val="Textocuadrocentrado"/>
              <w:rPr>
                <w:rFonts w:cstheme="minorBidi"/>
                <w:b/>
                <w:szCs w:val="22"/>
                <w:highlight w:val="yellow"/>
              </w:rPr>
            </w:pPr>
          </w:p>
        </w:tc>
        <w:tc>
          <w:tcPr>
            <w:tcW w:w="708" w:type="dxa"/>
            <w:shd w:val="clear" w:color="auto" w:fill="D9D9D9" w:themeFill="background1" w:themeFillShade="D9"/>
            <w:vAlign w:val="center"/>
          </w:tcPr>
          <w:p w14:paraId="729930F4" w14:textId="77777777" w:rsidR="00D10BF7" w:rsidRPr="001A6F5D" w:rsidRDefault="00630036" w:rsidP="00FA766E">
            <w:pPr>
              <w:pStyle w:val="Textocuadrocentrado"/>
              <w:rPr>
                <w:rFonts w:cstheme="minorBidi"/>
                <w:b/>
                <w:szCs w:val="22"/>
              </w:rPr>
            </w:pPr>
            <w:r>
              <w:rPr>
                <w:rFonts w:cstheme="minorBidi"/>
                <w:b/>
                <w:szCs w:val="22"/>
              </w:rPr>
              <w:t>1</w:t>
            </w:r>
          </w:p>
        </w:tc>
        <w:tc>
          <w:tcPr>
            <w:tcW w:w="709" w:type="dxa"/>
            <w:tcBorders>
              <w:right w:val="single" w:sz="4" w:space="0" w:color="auto"/>
            </w:tcBorders>
            <w:shd w:val="clear" w:color="auto" w:fill="D9D9D9" w:themeFill="background1" w:themeFillShade="D9"/>
            <w:vAlign w:val="center"/>
          </w:tcPr>
          <w:p w14:paraId="79F7E770" w14:textId="77777777" w:rsidR="00D10BF7" w:rsidRPr="001A6F5D" w:rsidRDefault="00630036" w:rsidP="00FA766E">
            <w:pPr>
              <w:pStyle w:val="Textocuadrocentrado"/>
              <w:rPr>
                <w:rFonts w:cstheme="minorBidi"/>
                <w:b/>
                <w:szCs w:val="22"/>
              </w:rPr>
            </w:pPr>
            <w:r>
              <w:rPr>
                <w:rFonts w:cstheme="minorBidi"/>
                <w:b/>
                <w:szCs w:val="22"/>
              </w:rPr>
              <w:t>1</w:t>
            </w:r>
          </w:p>
        </w:tc>
        <w:tc>
          <w:tcPr>
            <w:tcW w:w="1051" w:type="dxa"/>
            <w:tcBorders>
              <w:left w:val="single" w:sz="4" w:space="0" w:color="auto"/>
            </w:tcBorders>
            <w:shd w:val="clear" w:color="auto" w:fill="D9D9D9" w:themeFill="background1" w:themeFillShade="D9"/>
            <w:vAlign w:val="center"/>
          </w:tcPr>
          <w:p w14:paraId="3676BBFC" w14:textId="77777777" w:rsidR="00D10BF7" w:rsidRPr="001A6F5D" w:rsidRDefault="00D10BF7" w:rsidP="00FA766E">
            <w:pPr>
              <w:pStyle w:val="Textocuadrocentrado"/>
              <w:rPr>
                <w:rFonts w:cstheme="minorBidi"/>
                <w:b/>
                <w:szCs w:val="22"/>
              </w:rPr>
            </w:pPr>
          </w:p>
        </w:tc>
        <w:tc>
          <w:tcPr>
            <w:tcW w:w="558" w:type="dxa"/>
            <w:shd w:val="clear" w:color="auto" w:fill="D9D9D9" w:themeFill="background1" w:themeFillShade="D9"/>
            <w:vAlign w:val="center"/>
          </w:tcPr>
          <w:p w14:paraId="0416759D" w14:textId="77777777" w:rsidR="00D10BF7" w:rsidRPr="001A6F5D" w:rsidRDefault="00D10BF7" w:rsidP="00FA766E">
            <w:pPr>
              <w:pStyle w:val="Textocuadrocentrado"/>
              <w:rPr>
                <w:rFonts w:cstheme="minorBidi"/>
                <w:b/>
                <w:szCs w:val="22"/>
              </w:rPr>
            </w:pPr>
            <w:r w:rsidRPr="001A6F5D">
              <w:rPr>
                <w:rFonts w:cstheme="minorBidi"/>
                <w:b/>
                <w:szCs w:val="22"/>
              </w:rPr>
              <w:t>1</w:t>
            </w:r>
          </w:p>
        </w:tc>
        <w:tc>
          <w:tcPr>
            <w:tcW w:w="791" w:type="dxa"/>
            <w:shd w:val="clear" w:color="auto" w:fill="D9D9D9" w:themeFill="background1" w:themeFillShade="D9"/>
            <w:vAlign w:val="center"/>
          </w:tcPr>
          <w:p w14:paraId="6CAAAAF3" w14:textId="77777777" w:rsidR="00D10BF7" w:rsidRPr="001A6F5D" w:rsidRDefault="00D10BF7" w:rsidP="00FA766E">
            <w:pPr>
              <w:pStyle w:val="Textocuadrocentrado"/>
              <w:rPr>
                <w:rFonts w:cstheme="minorBidi"/>
                <w:b/>
                <w:szCs w:val="22"/>
              </w:rPr>
            </w:pPr>
            <w:r w:rsidRPr="001A6F5D">
              <w:rPr>
                <w:rFonts w:cstheme="minorBidi"/>
                <w:b/>
                <w:szCs w:val="22"/>
              </w:rPr>
              <w:t>1</w:t>
            </w:r>
          </w:p>
        </w:tc>
      </w:tr>
      <w:tr w:rsidR="00D10BF7" w:rsidRPr="0043350C" w14:paraId="4F02D37F" w14:textId="77777777" w:rsidTr="00FC5FC6">
        <w:trPr>
          <w:cantSplit/>
          <w:trHeight w:hRule="exact" w:val="57"/>
          <w:jc w:val="center"/>
        </w:trPr>
        <w:tc>
          <w:tcPr>
            <w:tcW w:w="3911" w:type="dxa"/>
            <w:gridSpan w:val="3"/>
            <w:shd w:val="clear" w:color="auto" w:fill="auto"/>
            <w:noWrap/>
            <w:vAlign w:val="center"/>
          </w:tcPr>
          <w:p w14:paraId="774513F7" w14:textId="77777777" w:rsidR="00D10BF7" w:rsidRPr="001A6F5D" w:rsidRDefault="00D10BF7" w:rsidP="00FA766E">
            <w:pPr>
              <w:pStyle w:val="Textocuadro"/>
              <w:rPr>
                <w:rFonts w:cstheme="minorBidi"/>
                <w:b/>
              </w:rPr>
            </w:pPr>
          </w:p>
        </w:tc>
        <w:tc>
          <w:tcPr>
            <w:tcW w:w="993" w:type="dxa"/>
            <w:shd w:val="clear" w:color="auto" w:fill="FFFFFF" w:themeFill="background1"/>
            <w:noWrap/>
            <w:vAlign w:val="center"/>
          </w:tcPr>
          <w:p w14:paraId="301BE038" w14:textId="77777777" w:rsidR="00D10BF7" w:rsidRPr="00017EF1" w:rsidRDefault="00D10BF7" w:rsidP="00FA766E">
            <w:pPr>
              <w:pStyle w:val="Textocuadrocentrado"/>
              <w:rPr>
                <w:rFonts w:cstheme="minorBidi"/>
                <w:b/>
                <w:highlight w:val="yellow"/>
              </w:rPr>
            </w:pPr>
          </w:p>
        </w:tc>
        <w:tc>
          <w:tcPr>
            <w:tcW w:w="708" w:type="dxa"/>
            <w:shd w:val="clear" w:color="auto" w:fill="FFFFFF" w:themeFill="background1"/>
            <w:vAlign w:val="center"/>
          </w:tcPr>
          <w:p w14:paraId="387596FE" w14:textId="77777777" w:rsidR="00D10BF7" w:rsidRPr="001A6F5D" w:rsidRDefault="00D10BF7" w:rsidP="00FA766E">
            <w:pPr>
              <w:pStyle w:val="Textocuadrocentrado"/>
              <w:rPr>
                <w:rFonts w:cstheme="minorBidi"/>
                <w:b/>
              </w:rPr>
            </w:pPr>
          </w:p>
        </w:tc>
        <w:tc>
          <w:tcPr>
            <w:tcW w:w="709" w:type="dxa"/>
            <w:tcBorders>
              <w:right w:val="single" w:sz="4" w:space="0" w:color="auto"/>
            </w:tcBorders>
            <w:shd w:val="clear" w:color="auto" w:fill="FFFFFF" w:themeFill="background1"/>
            <w:vAlign w:val="center"/>
          </w:tcPr>
          <w:p w14:paraId="122E4F2A" w14:textId="77777777" w:rsidR="00D10BF7" w:rsidRPr="001A6F5D" w:rsidRDefault="00D10BF7" w:rsidP="00FA766E">
            <w:pPr>
              <w:pStyle w:val="Textocuadrocentrado"/>
              <w:jc w:val="left"/>
              <w:rPr>
                <w:rFonts w:cstheme="minorBidi"/>
                <w:b/>
              </w:rPr>
            </w:pPr>
          </w:p>
        </w:tc>
        <w:tc>
          <w:tcPr>
            <w:tcW w:w="1051" w:type="dxa"/>
            <w:tcBorders>
              <w:left w:val="single" w:sz="4" w:space="0" w:color="auto"/>
            </w:tcBorders>
            <w:shd w:val="clear" w:color="auto" w:fill="FFFFFF" w:themeFill="background1"/>
            <w:vAlign w:val="center"/>
          </w:tcPr>
          <w:p w14:paraId="159FBD47" w14:textId="77777777" w:rsidR="00D10BF7" w:rsidRPr="001A6F5D" w:rsidRDefault="00D10BF7" w:rsidP="00FA766E">
            <w:pPr>
              <w:pStyle w:val="Textocuadrocentrado"/>
              <w:rPr>
                <w:rFonts w:cstheme="minorBidi"/>
                <w:b/>
              </w:rPr>
            </w:pPr>
          </w:p>
        </w:tc>
        <w:tc>
          <w:tcPr>
            <w:tcW w:w="558" w:type="dxa"/>
            <w:shd w:val="clear" w:color="auto" w:fill="FFFFFF" w:themeFill="background1"/>
            <w:vAlign w:val="center"/>
          </w:tcPr>
          <w:p w14:paraId="2C2CF70E" w14:textId="77777777" w:rsidR="00D10BF7" w:rsidRPr="001A6F5D" w:rsidRDefault="00D10BF7" w:rsidP="00FA766E">
            <w:pPr>
              <w:pStyle w:val="Textocuadrocentrado"/>
              <w:rPr>
                <w:rFonts w:cstheme="minorBidi"/>
                <w:b/>
              </w:rPr>
            </w:pPr>
          </w:p>
        </w:tc>
        <w:tc>
          <w:tcPr>
            <w:tcW w:w="791" w:type="dxa"/>
            <w:shd w:val="clear" w:color="auto" w:fill="FFFFFF" w:themeFill="background1"/>
            <w:vAlign w:val="center"/>
          </w:tcPr>
          <w:p w14:paraId="540E98A5" w14:textId="77777777" w:rsidR="00D10BF7" w:rsidRPr="001A6F5D" w:rsidRDefault="00D10BF7" w:rsidP="00FA766E">
            <w:pPr>
              <w:pStyle w:val="Textocuadrocentrado"/>
              <w:rPr>
                <w:rFonts w:cstheme="minorBidi"/>
                <w:b/>
              </w:rPr>
            </w:pPr>
          </w:p>
        </w:tc>
      </w:tr>
      <w:tr w:rsidR="00630036" w:rsidRPr="0043350C" w14:paraId="7884BA2B" w14:textId="77777777" w:rsidTr="00FC5FC6">
        <w:trPr>
          <w:cantSplit/>
          <w:jc w:val="center"/>
        </w:trPr>
        <w:tc>
          <w:tcPr>
            <w:tcW w:w="741" w:type="dxa"/>
            <w:gridSpan w:val="2"/>
            <w:shd w:val="clear" w:color="auto" w:fill="D9D9D9" w:themeFill="background1" w:themeFillShade="D9"/>
            <w:noWrap/>
            <w:vAlign w:val="center"/>
          </w:tcPr>
          <w:p w14:paraId="3A789C02" w14:textId="77777777" w:rsidR="00630036" w:rsidRPr="001A6F5D" w:rsidRDefault="00630036" w:rsidP="00FA766E">
            <w:pPr>
              <w:pStyle w:val="Textocuadro"/>
              <w:rPr>
                <w:rFonts w:cstheme="minorBidi"/>
                <w:b/>
                <w:szCs w:val="22"/>
              </w:rPr>
            </w:pPr>
          </w:p>
        </w:tc>
        <w:tc>
          <w:tcPr>
            <w:tcW w:w="3170" w:type="dxa"/>
            <w:shd w:val="clear" w:color="auto" w:fill="D9D9D9" w:themeFill="background1" w:themeFillShade="D9"/>
            <w:vAlign w:val="center"/>
          </w:tcPr>
          <w:p w14:paraId="4005CFA5" w14:textId="77777777" w:rsidR="00630036" w:rsidRPr="001A6F5D" w:rsidRDefault="00630036" w:rsidP="00FA766E">
            <w:pPr>
              <w:pStyle w:val="Textocuadro"/>
              <w:rPr>
                <w:rFonts w:cstheme="minorBidi"/>
                <w:b/>
                <w:szCs w:val="22"/>
              </w:rPr>
            </w:pPr>
            <w:r w:rsidRPr="001A6F5D">
              <w:rPr>
                <w:rFonts w:cstheme="minorBidi"/>
                <w:b/>
                <w:szCs w:val="22"/>
              </w:rPr>
              <w:t>Consistencia y Resultados</w:t>
            </w:r>
          </w:p>
        </w:tc>
        <w:tc>
          <w:tcPr>
            <w:tcW w:w="993" w:type="dxa"/>
            <w:shd w:val="clear" w:color="auto" w:fill="D9D9D9" w:themeFill="background1" w:themeFillShade="D9"/>
            <w:noWrap/>
            <w:vAlign w:val="center"/>
          </w:tcPr>
          <w:p w14:paraId="39FBBB64" w14:textId="77777777" w:rsidR="00630036" w:rsidRPr="00017EF1" w:rsidRDefault="00630036" w:rsidP="00162911">
            <w:pPr>
              <w:pStyle w:val="Textocuadro"/>
              <w:rPr>
                <w:rFonts w:cstheme="minorBidi"/>
                <w:b/>
                <w:szCs w:val="22"/>
                <w:highlight w:val="yellow"/>
              </w:rPr>
            </w:pPr>
          </w:p>
        </w:tc>
        <w:tc>
          <w:tcPr>
            <w:tcW w:w="708" w:type="dxa"/>
            <w:shd w:val="clear" w:color="auto" w:fill="D9D9D9" w:themeFill="background1" w:themeFillShade="D9"/>
            <w:vAlign w:val="center"/>
          </w:tcPr>
          <w:p w14:paraId="0950CBFD" w14:textId="77777777" w:rsidR="00630036" w:rsidRPr="001A6F5D" w:rsidRDefault="00630036" w:rsidP="00FA766E">
            <w:pPr>
              <w:pStyle w:val="Textocuadrocentrado"/>
              <w:rPr>
                <w:rFonts w:cstheme="minorBidi"/>
                <w:b/>
                <w:szCs w:val="22"/>
              </w:rPr>
            </w:pPr>
            <w:r>
              <w:rPr>
                <w:rFonts w:cstheme="minorBidi"/>
                <w:b/>
                <w:szCs w:val="22"/>
              </w:rPr>
              <w:t>1</w:t>
            </w:r>
          </w:p>
        </w:tc>
        <w:tc>
          <w:tcPr>
            <w:tcW w:w="709" w:type="dxa"/>
            <w:tcBorders>
              <w:right w:val="single" w:sz="4" w:space="0" w:color="auto"/>
            </w:tcBorders>
            <w:shd w:val="clear" w:color="auto" w:fill="D9D9D9" w:themeFill="background1" w:themeFillShade="D9"/>
            <w:vAlign w:val="center"/>
          </w:tcPr>
          <w:p w14:paraId="7BAE6885" w14:textId="77777777" w:rsidR="00630036" w:rsidRPr="001A6F5D" w:rsidRDefault="00630036" w:rsidP="00FA766E">
            <w:pPr>
              <w:pStyle w:val="Textocuadrocentrado"/>
              <w:rPr>
                <w:rFonts w:cstheme="minorBidi"/>
                <w:b/>
                <w:szCs w:val="22"/>
              </w:rPr>
            </w:pPr>
            <w:r>
              <w:rPr>
                <w:rFonts w:cstheme="minorBidi"/>
                <w:b/>
                <w:szCs w:val="22"/>
              </w:rPr>
              <w:t>1</w:t>
            </w:r>
          </w:p>
        </w:tc>
        <w:tc>
          <w:tcPr>
            <w:tcW w:w="1051" w:type="dxa"/>
            <w:tcBorders>
              <w:left w:val="single" w:sz="4" w:space="0" w:color="auto"/>
            </w:tcBorders>
            <w:shd w:val="clear" w:color="auto" w:fill="D9D9D9" w:themeFill="background1" w:themeFillShade="D9"/>
            <w:vAlign w:val="center"/>
          </w:tcPr>
          <w:p w14:paraId="6CECBEAF" w14:textId="77777777" w:rsidR="00630036" w:rsidRPr="001A6F5D" w:rsidRDefault="00630036" w:rsidP="00FA766E">
            <w:pPr>
              <w:pStyle w:val="Textocuadrocentrado"/>
              <w:rPr>
                <w:rFonts w:cstheme="minorBidi"/>
                <w:b/>
                <w:szCs w:val="22"/>
              </w:rPr>
            </w:pPr>
          </w:p>
        </w:tc>
        <w:tc>
          <w:tcPr>
            <w:tcW w:w="558" w:type="dxa"/>
            <w:shd w:val="clear" w:color="auto" w:fill="D9D9D9" w:themeFill="background1" w:themeFillShade="D9"/>
            <w:vAlign w:val="center"/>
          </w:tcPr>
          <w:p w14:paraId="515C2FE4" w14:textId="77777777" w:rsidR="00630036" w:rsidRPr="001A6F5D" w:rsidRDefault="00630036" w:rsidP="00FA766E">
            <w:pPr>
              <w:pStyle w:val="Textocuadrocentrado"/>
              <w:rPr>
                <w:rFonts w:cstheme="minorBidi"/>
                <w:b/>
                <w:szCs w:val="22"/>
              </w:rPr>
            </w:pPr>
            <w:r w:rsidRPr="001A6F5D">
              <w:rPr>
                <w:rFonts w:cstheme="minorBidi"/>
                <w:b/>
                <w:szCs w:val="22"/>
              </w:rPr>
              <w:t>1</w:t>
            </w:r>
          </w:p>
        </w:tc>
        <w:tc>
          <w:tcPr>
            <w:tcW w:w="791" w:type="dxa"/>
            <w:shd w:val="clear" w:color="auto" w:fill="D9D9D9" w:themeFill="background1" w:themeFillShade="D9"/>
            <w:vAlign w:val="center"/>
          </w:tcPr>
          <w:p w14:paraId="58A62275" w14:textId="77777777" w:rsidR="00630036" w:rsidRPr="001A6F5D" w:rsidRDefault="00630036" w:rsidP="00FA766E">
            <w:pPr>
              <w:pStyle w:val="Textocuadrocentrado"/>
              <w:rPr>
                <w:rFonts w:cstheme="minorBidi"/>
                <w:b/>
                <w:szCs w:val="22"/>
              </w:rPr>
            </w:pPr>
            <w:r w:rsidRPr="001A6F5D">
              <w:rPr>
                <w:rFonts w:cstheme="minorBidi"/>
                <w:b/>
                <w:szCs w:val="22"/>
              </w:rPr>
              <w:t>1</w:t>
            </w:r>
          </w:p>
        </w:tc>
      </w:tr>
      <w:tr w:rsidR="00D10BF7" w:rsidRPr="0043350C" w14:paraId="03B40EC9" w14:textId="77777777" w:rsidTr="00FC5FC6">
        <w:trPr>
          <w:cantSplit/>
          <w:jc w:val="center"/>
        </w:trPr>
        <w:tc>
          <w:tcPr>
            <w:tcW w:w="741" w:type="dxa"/>
            <w:gridSpan w:val="2"/>
            <w:shd w:val="clear" w:color="auto" w:fill="auto"/>
            <w:noWrap/>
            <w:vAlign w:val="center"/>
          </w:tcPr>
          <w:p w14:paraId="16E6F165" w14:textId="77777777" w:rsidR="00D10BF7" w:rsidRPr="00FA672E" w:rsidRDefault="00D10BF7" w:rsidP="00FA766E">
            <w:pPr>
              <w:pStyle w:val="Textocuadro"/>
              <w:rPr>
                <w:lang w:val="es-MX"/>
              </w:rPr>
            </w:pPr>
          </w:p>
        </w:tc>
        <w:tc>
          <w:tcPr>
            <w:tcW w:w="3170" w:type="dxa"/>
            <w:shd w:val="clear" w:color="auto" w:fill="auto"/>
            <w:noWrap/>
            <w:vAlign w:val="center"/>
          </w:tcPr>
          <w:p w14:paraId="34C76737" w14:textId="77777777" w:rsidR="00D10BF7" w:rsidRPr="0043350C" w:rsidRDefault="00630036" w:rsidP="00630036">
            <w:pPr>
              <w:pStyle w:val="Textocuadro"/>
            </w:pPr>
            <w:r>
              <w:t>0</w:t>
            </w:r>
            <w:r w:rsidR="00D10BF7" w:rsidRPr="0043350C">
              <w:t xml:space="preserve">4 – </w:t>
            </w:r>
            <w:r>
              <w:t>Gobernación</w:t>
            </w:r>
          </w:p>
        </w:tc>
        <w:tc>
          <w:tcPr>
            <w:tcW w:w="993" w:type="dxa"/>
            <w:shd w:val="clear" w:color="auto" w:fill="FFFFFF" w:themeFill="background1"/>
            <w:noWrap/>
            <w:vAlign w:val="center"/>
          </w:tcPr>
          <w:p w14:paraId="60CF734F" w14:textId="77777777" w:rsidR="00D10BF7" w:rsidRPr="00017EF1" w:rsidRDefault="00D10BF7" w:rsidP="00FA766E">
            <w:pPr>
              <w:pStyle w:val="Textocuadrocentrado"/>
              <w:rPr>
                <w:rFonts w:cstheme="minorBidi"/>
                <w:highlight w:val="yellow"/>
              </w:rPr>
            </w:pPr>
          </w:p>
        </w:tc>
        <w:tc>
          <w:tcPr>
            <w:tcW w:w="708" w:type="dxa"/>
            <w:shd w:val="clear" w:color="auto" w:fill="FFFFFF" w:themeFill="background1"/>
            <w:vAlign w:val="center"/>
          </w:tcPr>
          <w:p w14:paraId="11877EBC" w14:textId="77777777" w:rsidR="00D10BF7" w:rsidRPr="0043350C" w:rsidRDefault="00630036" w:rsidP="00FA766E">
            <w:pPr>
              <w:pStyle w:val="Textocuadrocentrado"/>
              <w:rPr>
                <w:rFonts w:cstheme="minorBidi"/>
              </w:rPr>
            </w:pPr>
            <w:r>
              <w:rPr>
                <w:rFonts w:cstheme="minorBidi"/>
              </w:rPr>
              <w:t>1</w:t>
            </w:r>
          </w:p>
        </w:tc>
        <w:tc>
          <w:tcPr>
            <w:tcW w:w="709" w:type="dxa"/>
            <w:tcBorders>
              <w:right w:val="single" w:sz="4" w:space="0" w:color="auto"/>
            </w:tcBorders>
            <w:shd w:val="clear" w:color="auto" w:fill="FFFFFF" w:themeFill="background1"/>
            <w:vAlign w:val="center"/>
          </w:tcPr>
          <w:p w14:paraId="1615AE64" w14:textId="77777777" w:rsidR="00D10BF7" w:rsidRPr="0043350C" w:rsidRDefault="00630036" w:rsidP="00FA766E">
            <w:pPr>
              <w:pStyle w:val="Textocuadrocentrado"/>
              <w:rPr>
                <w:rFonts w:cstheme="minorBidi"/>
              </w:rPr>
            </w:pPr>
            <w:r>
              <w:rPr>
                <w:rFonts w:cstheme="minorBidi"/>
              </w:rPr>
              <w:t>1</w:t>
            </w:r>
          </w:p>
        </w:tc>
        <w:tc>
          <w:tcPr>
            <w:tcW w:w="1051" w:type="dxa"/>
            <w:tcBorders>
              <w:left w:val="single" w:sz="4" w:space="0" w:color="auto"/>
            </w:tcBorders>
            <w:shd w:val="clear" w:color="auto" w:fill="FFFFFF" w:themeFill="background1"/>
            <w:vAlign w:val="center"/>
          </w:tcPr>
          <w:p w14:paraId="58CFFFBA" w14:textId="77777777" w:rsidR="00D10BF7" w:rsidRPr="0043350C" w:rsidRDefault="00D10BF7" w:rsidP="00FA766E">
            <w:pPr>
              <w:pStyle w:val="Textocuadrocentrado"/>
              <w:rPr>
                <w:rFonts w:cstheme="minorBidi"/>
              </w:rPr>
            </w:pPr>
          </w:p>
        </w:tc>
        <w:tc>
          <w:tcPr>
            <w:tcW w:w="558" w:type="dxa"/>
            <w:shd w:val="clear" w:color="auto" w:fill="FFFFFF" w:themeFill="background1"/>
            <w:vAlign w:val="center"/>
          </w:tcPr>
          <w:p w14:paraId="3E9274C3" w14:textId="77777777" w:rsidR="00D10BF7" w:rsidRPr="0043350C" w:rsidRDefault="00D10BF7" w:rsidP="00FA766E">
            <w:pPr>
              <w:pStyle w:val="Textocuadrocentrado"/>
              <w:rPr>
                <w:rFonts w:cstheme="minorBidi"/>
              </w:rPr>
            </w:pPr>
            <w:r w:rsidRPr="0043350C">
              <w:rPr>
                <w:rFonts w:cstheme="minorBidi"/>
              </w:rPr>
              <w:t>1</w:t>
            </w:r>
          </w:p>
        </w:tc>
        <w:tc>
          <w:tcPr>
            <w:tcW w:w="791" w:type="dxa"/>
            <w:shd w:val="clear" w:color="auto" w:fill="FFFFFF" w:themeFill="background1"/>
            <w:vAlign w:val="center"/>
          </w:tcPr>
          <w:p w14:paraId="13962FCA" w14:textId="77777777" w:rsidR="00D10BF7" w:rsidRPr="0043350C" w:rsidRDefault="00D10BF7" w:rsidP="00FA766E">
            <w:pPr>
              <w:pStyle w:val="Textocuadrocentrado"/>
              <w:rPr>
                <w:rFonts w:cstheme="minorBidi"/>
              </w:rPr>
            </w:pPr>
            <w:r w:rsidRPr="0043350C">
              <w:rPr>
                <w:rFonts w:cstheme="minorBidi"/>
              </w:rPr>
              <w:t>1</w:t>
            </w:r>
          </w:p>
        </w:tc>
      </w:tr>
      <w:tr w:rsidR="00D10BF7" w:rsidRPr="001A6F5D" w14:paraId="25EADBE7" w14:textId="77777777" w:rsidTr="00FC5FC6">
        <w:trPr>
          <w:cantSplit/>
          <w:jc w:val="center"/>
        </w:trPr>
        <w:tc>
          <w:tcPr>
            <w:tcW w:w="3911" w:type="dxa"/>
            <w:gridSpan w:val="3"/>
            <w:shd w:val="clear" w:color="auto" w:fill="D9D9D9" w:themeFill="background1" w:themeFillShade="D9"/>
            <w:noWrap/>
            <w:vAlign w:val="center"/>
          </w:tcPr>
          <w:p w14:paraId="2DA7E38D" w14:textId="77777777" w:rsidR="00D10BF7" w:rsidRPr="001A6F5D" w:rsidRDefault="00D10BF7" w:rsidP="00FA766E">
            <w:pPr>
              <w:pStyle w:val="Textocuadro"/>
              <w:rPr>
                <w:rFonts w:cstheme="minorBidi"/>
                <w:b/>
                <w:bCs/>
              </w:rPr>
            </w:pPr>
            <w:r w:rsidRPr="001A6F5D">
              <w:rPr>
                <w:rFonts w:cstheme="minorBidi"/>
                <w:b/>
                <w:bCs/>
              </w:rPr>
              <w:t>PAE 2016</w:t>
            </w:r>
          </w:p>
        </w:tc>
        <w:tc>
          <w:tcPr>
            <w:tcW w:w="993" w:type="dxa"/>
            <w:shd w:val="clear" w:color="auto" w:fill="D9D9D9" w:themeFill="background1" w:themeFillShade="D9"/>
            <w:noWrap/>
            <w:vAlign w:val="center"/>
          </w:tcPr>
          <w:p w14:paraId="1CD16A59" w14:textId="77777777" w:rsidR="00D10BF7" w:rsidRPr="00017EF1" w:rsidRDefault="00D10BF7" w:rsidP="00FA766E">
            <w:pPr>
              <w:pStyle w:val="Textocuadrocentrado"/>
              <w:rPr>
                <w:rFonts w:cstheme="minorBidi"/>
                <w:b/>
                <w:bCs/>
                <w:highlight w:val="yellow"/>
              </w:rPr>
            </w:pPr>
          </w:p>
        </w:tc>
        <w:tc>
          <w:tcPr>
            <w:tcW w:w="708" w:type="dxa"/>
            <w:shd w:val="clear" w:color="auto" w:fill="D9D9D9" w:themeFill="background1" w:themeFillShade="D9"/>
            <w:vAlign w:val="center"/>
          </w:tcPr>
          <w:p w14:paraId="28E98ECE" w14:textId="77777777" w:rsidR="00D10BF7" w:rsidRPr="001A6F5D" w:rsidRDefault="00630036" w:rsidP="00FA766E">
            <w:pPr>
              <w:pStyle w:val="Textocuadrocentrado"/>
              <w:rPr>
                <w:rFonts w:cstheme="minorBidi"/>
                <w:b/>
                <w:bCs/>
              </w:rPr>
            </w:pPr>
            <w:r>
              <w:rPr>
                <w:rFonts w:cstheme="minorBidi"/>
                <w:b/>
                <w:bCs/>
              </w:rPr>
              <w:t>7</w:t>
            </w:r>
          </w:p>
        </w:tc>
        <w:tc>
          <w:tcPr>
            <w:tcW w:w="709" w:type="dxa"/>
            <w:tcBorders>
              <w:right w:val="single" w:sz="4" w:space="0" w:color="auto"/>
            </w:tcBorders>
            <w:shd w:val="clear" w:color="auto" w:fill="D9D9D9" w:themeFill="background1" w:themeFillShade="D9"/>
            <w:vAlign w:val="center"/>
          </w:tcPr>
          <w:p w14:paraId="231850B3" w14:textId="77777777" w:rsidR="00D10BF7" w:rsidRPr="001A6F5D" w:rsidRDefault="00630036" w:rsidP="00FA766E">
            <w:pPr>
              <w:pStyle w:val="Textocuadrocentrado"/>
              <w:rPr>
                <w:rFonts w:cstheme="minorBidi"/>
                <w:b/>
                <w:bCs/>
              </w:rPr>
            </w:pPr>
            <w:r>
              <w:rPr>
                <w:rFonts w:cstheme="minorBidi"/>
                <w:b/>
                <w:bCs/>
              </w:rPr>
              <w:t>7</w:t>
            </w:r>
          </w:p>
        </w:tc>
        <w:tc>
          <w:tcPr>
            <w:tcW w:w="1051" w:type="dxa"/>
            <w:tcBorders>
              <w:left w:val="single" w:sz="4" w:space="0" w:color="auto"/>
            </w:tcBorders>
            <w:shd w:val="clear" w:color="auto" w:fill="D9D9D9" w:themeFill="background1" w:themeFillShade="D9"/>
            <w:vAlign w:val="center"/>
          </w:tcPr>
          <w:p w14:paraId="76DCB106" w14:textId="77777777" w:rsidR="00D10BF7" w:rsidRPr="001A6F5D" w:rsidRDefault="00D10BF7" w:rsidP="00FA766E">
            <w:pPr>
              <w:pStyle w:val="Textocuadrocentrado"/>
              <w:rPr>
                <w:rFonts w:cstheme="minorBidi"/>
                <w:b/>
                <w:bCs/>
              </w:rPr>
            </w:pPr>
          </w:p>
        </w:tc>
        <w:tc>
          <w:tcPr>
            <w:tcW w:w="558" w:type="dxa"/>
            <w:shd w:val="clear" w:color="auto" w:fill="D9D9D9" w:themeFill="background1" w:themeFillShade="D9"/>
            <w:vAlign w:val="center"/>
          </w:tcPr>
          <w:p w14:paraId="0B8036C2" w14:textId="77777777" w:rsidR="00D10BF7" w:rsidRPr="001A6F5D" w:rsidRDefault="00D10BF7" w:rsidP="00FA766E">
            <w:pPr>
              <w:pStyle w:val="Textocuadrocentrado"/>
              <w:rPr>
                <w:rFonts w:cstheme="minorBidi"/>
                <w:b/>
                <w:bCs/>
              </w:rPr>
            </w:pPr>
            <w:r>
              <w:rPr>
                <w:rFonts w:cstheme="minorBidi"/>
                <w:b/>
                <w:bCs/>
              </w:rPr>
              <w:t>7</w:t>
            </w:r>
          </w:p>
        </w:tc>
        <w:tc>
          <w:tcPr>
            <w:tcW w:w="791" w:type="dxa"/>
            <w:shd w:val="clear" w:color="auto" w:fill="D9D9D9" w:themeFill="background1" w:themeFillShade="D9"/>
            <w:vAlign w:val="center"/>
          </w:tcPr>
          <w:p w14:paraId="50C16274" w14:textId="77777777" w:rsidR="00D10BF7" w:rsidRPr="001A6F5D" w:rsidRDefault="00630036" w:rsidP="00FA766E">
            <w:pPr>
              <w:pStyle w:val="Textocuadrocentrado"/>
              <w:rPr>
                <w:rFonts w:cstheme="minorBidi"/>
                <w:b/>
                <w:bCs/>
              </w:rPr>
            </w:pPr>
            <w:r>
              <w:rPr>
                <w:rFonts w:cstheme="minorBidi"/>
                <w:b/>
                <w:bCs/>
              </w:rPr>
              <w:t>7</w:t>
            </w:r>
          </w:p>
        </w:tc>
      </w:tr>
      <w:tr w:rsidR="00D10BF7" w:rsidRPr="001A6F5D" w14:paraId="3935094F" w14:textId="77777777" w:rsidTr="00FC5FC6">
        <w:trPr>
          <w:cantSplit/>
          <w:trHeight w:hRule="exact" w:val="57"/>
          <w:jc w:val="center"/>
        </w:trPr>
        <w:tc>
          <w:tcPr>
            <w:tcW w:w="3911" w:type="dxa"/>
            <w:gridSpan w:val="3"/>
            <w:shd w:val="clear" w:color="auto" w:fill="auto"/>
            <w:noWrap/>
            <w:vAlign w:val="center"/>
          </w:tcPr>
          <w:p w14:paraId="3E02E5A4" w14:textId="77777777" w:rsidR="00D10BF7" w:rsidRPr="001A6F5D" w:rsidRDefault="00D10BF7" w:rsidP="00FA766E">
            <w:pPr>
              <w:pStyle w:val="Textocuadro"/>
              <w:rPr>
                <w:rFonts w:cstheme="minorBidi"/>
                <w:b/>
                <w:bCs/>
              </w:rPr>
            </w:pPr>
          </w:p>
        </w:tc>
        <w:tc>
          <w:tcPr>
            <w:tcW w:w="993" w:type="dxa"/>
            <w:shd w:val="clear" w:color="auto" w:fill="auto"/>
            <w:noWrap/>
            <w:vAlign w:val="center"/>
          </w:tcPr>
          <w:p w14:paraId="10308B50" w14:textId="77777777" w:rsidR="00D10BF7" w:rsidRPr="00017EF1" w:rsidRDefault="00D10BF7" w:rsidP="00FA766E">
            <w:pPr>
              <w:pStyle w:val="Textocuadrocentrado"/>
              <w:rPr>
                <w:rFonts w:cstheme="minorBidi"/>
                <w:b/>
                <w:bCs/>
                <w:highlight w:val="yellow"/>
              </w:rPr>
            </w:pPr>
          </w:p>
        </w:tc>
        <w:tc>
          <w:tcPr>
            <w:tcW w:w="708" w:type="dxa"/>
            <w:shd w:val="clear" w:color="auto" w:fill="auto"/>
            <w:vAlign w:val="center"/>
          </w:tcPr>
          <w:p w14:paraId="315D4186" w14:textId="77777777" w:rsidR="00D10BF7" w:rsidRPr="001A6F5D" w:rsidRDefault="00D10BF7" w:rsidP="00FA766E">
            <w:pPr>
              <w:pStyle w:val="Textocuadrocentrado"/>
              <w:rPr>
                <w:rFonts w:cstheme="minorBidi"/>
                <w:b/>
                <w:bCs/>
              </w:rPr>
            </w:pPr>
          </w:p>
        </w:tc>
        <w:tc>
          <w:tcPr>
            <w:tcW w:w="709" w:type="dxa"/>
            <w:tcBorders>
              <w:right w:val="single" w:sz="4" w:space="0" w:color="auto"/>
            </w:tcBorders>
            <w:shd w:val="clear" w:color="auto" w:fill="auto"/>
            <w:vAlign w:val="center"/>
          </w:tcPr>
          <w:p w14:paraId="61A773C4" w14:textId="77777777" w:rsidR="00D10BF7" w:rsidRPr="001A6F5D" w:rsidRDefault="00D10BF7" w:rsidP="00FA766E">
            <w:pPr>
              <w:pStyle w:val="Textocuadrocentrado"/>
              <w:rPr>
                <w:rFonts w:cstheme="minorBidi"/>
                <w:b/>
                <w:bCs/>
              </w:rPr>
            </w:pPr>
          </w:p>
        </w:tc>
        <w:tc>
          <w:tcPr>
            <w:tcW w:w="1051" w:type="dxa"/>
            <w:tcBorders>
              <w:left w:val="single" w:sz="4" w:space="0" w:color="auto"/>
            </w:tcBorders>
            <w:shd w:val="clear" w:color="auto" w:fill="auto"/>
            <w:vAlign w:val="center"/>
          </w:tcPr>
          <w:p w14:paraId="701107FB" w14:textId="77777777" w:rsidR="00D10BF7" w:rsidRPr="001A6F5D" w:rsidRDefault="00D10BF7" w:rsidP="00FA766E">
            <w:pPr>
              <w:pStyle w:val="Textocuadrocentrado"/>
              <w:rPr>
                <w:rFonts w:cstheme="minorBidi"/>
                <w:b/>
                <w:bCs/>
              </w:rPr>
            </w:pPr>
          </w:p>
        </w:tc>
        <w:tc>
          <w:tcPr>
            <w:tcW w:w="558" w:type="dxa"/>
            <w:shd w:val="clear" w:color="auto" w:fill="auto"/>
            <w:vAlign w:val="center"/>
          </w:tcPr>
          <w:p w14:paraId="586C29F5" w14:textId="77777777" w:rsidR="00D10BF7" w:rsidRPr="001A6F5D" w:rsidRDefault="00D10BF7" w:rsidP="00FA766E">
            <w:pPr>
              <w:pStyle w:val="Textocuadrocentrado"/>
              <w:rPr>
                <w:rFonts w:cstheme="minorBidi"/>
                <w:b/>
                <w:bCs/>
              </w:rPr>
            </w:pPr>
          </w:p>
        </w:tc>
        <w:tc>
          <w:tcPr>
            <w:tcW w:w="791" w:type="dxa"/>
            <w:shd w:val="clear" w:color="auto" w:fill="auto"/>
            <w:vAlign w:val="center"/>
          </w:tcPr>
          <w:p w14:paraId="48928CEC" w14:textId="77777777" w:rsidR="00D10BF7" w:rsidRPr="001A6F5D" w:rsidRDefault="00D10BF7" w:rsidP="00FA766E">
            <w:pPr>
              <w:pStyle w:val="Textocuadrocentrado"/>
              <w:rPr>
                <w:rFonts w:cstheme="minorBidi"/>
                <w:b/>
                <w:bCs/>
              </w:rPr>
            </w:pPr>
          </w:p>
        </w:tc>
      </w:tr>
      <w:tr w:rsidR="00D10BF7" w:rsidRPr="001A6F5D" w14:paraId="3098BE53" w14:textId="77777777" w:rsidTr="00FC5FC6">
        <w:trPr>
          <w:cantSplit/>
          <w:jc w:val="center"/>
        </w:trPr>
        <w:tc>
          <w:tcPr>
            <w:tcW w:w="741" w:type="dxa"/>
            <w:gridSpan w:val="2"/>
            <w:shd w:val="clear" w:color="auto" w:fill="D9D9D9" w:themeFill="background1" w:themeFillShade="D9"/>
            <w:noWrap/>
            <w:vAlign w:val="center"/>
          </w:tcPr>
          <w:p w14:paraId="42B2F1CB" w14:textId="77777777" w:rsidR="00D10BF7" w:rsidRPr="001A6F5D" w:rsidRDefault="00D10BF7" w:rsidP="00FA766E">
            <w:pPr>
              <w:pStyle w:val="Textocuadro"/>
              <w:rPr>
                <w:rFonts w:cstheme="minorBidi"/>
                <w:b/>
                <w:szCs w:val="22"/>
              </w:rPr>
            </w:pPr>
          </w:p>
        </w:tc>
        <w:tc>
          <w:tcPr>
            <w:tcW w:w="3170" w:type="dxa"/>
            <w:shd w:val="clear" w:color="auto" w:fill="D9D9D9" w:themeFill="background1" w:themeFillShade="D9"/>
            <w:noWrap/>
            <w:vAlign w:val="center"/>
          </w:tcPr>
          <w:p w14:paraId="65F2C745" w14:textId="77777777" w:rsidR="00D10BF7" w:rsidRPr="001A6F5D" w:rsidRDefault="00D10BF7" w:rsidP="00FA766E">
            <w:pPr>
              <w:pStyle w:val="Textocuadro"/>
              <w:rPr>
                <w:rFonts w:cstheme="minorBidi"/>
                <w:b/>
                <w:szCs w:val="22"/>
              </w:rPr>
            </w:pPr>
            <w:r w:rsidRPr="001A6F5D">
              <w:rPr>
                <w:rFonts w:cstheme="minorBidi"/>
                <w:b/>
                <w:szCs w:val="22"/>
              </w:rPr>
              <w:t>Diseño</w:t>
            </w:r>
          </w:p>
        </w:tc>
        <w:tc>
          <w:tcPr>
            <w:tcW w:w="993" w:type="dxa"/>
            <w:shd w:val="clear" w:color="auto" w:fill="D9D9D9" w:themeFill="background1" w:themeFillShade="D9"/>
            <w:noWrap/>
            <w:vAlign w:val="center"/>
          </w:tcPr>
          <w:p w14:paraId="2DD389B2" w14:textId="77777777" w:rsidR="00D10BF7" w:rsidRPr="00017EF1" w:rsidRDefault="00D10BF7" w:rsidP="00FA766E">
            <w:pPr>
              <w:pStyle w:val="Textocuadrocentrado"/>
              <w:rPr>
                <w:rFonts w:cstheme="minorBidi"/>
                <w:b/>
                <w:szCs w:val="22"/>
                <w:highlight w:val="yellow"/>
              </w:rPr>
            </w:pPr>
          </w:p>
        </w:tc>
        <w:tc>
          <w:tcPr>
            <w:tcW w:w="708" w:type="dxa"/>
            <w:shd w:val="clear" w:color="auto" w:fill="D9D9D9" w:themeFill="background1" w:themeFillShade="D9"/>
            <w:vAlign w:val="center"/>
          </w:tcPr>
          <w:p w14:paraId="27562D29" w14:textId="77777777" w:rsidR="00D10BF7" w:rsidRPr="001A6F5D" w:rsidRDefault="00FC5FC6" w:rsidP="00FA766E">
            <w:pPr>
              <w:pStyle w:val="Textocuadrocentrado"/>
              <w:rPr>
                <w:rFonts w:cstheme="minorBidi"/>
                <w:b/>
                <w:szCs w:val="22"/>
              </w:rPr>
            </w:pPr>
            <w:r>
              <w:rPr>
                <w:rFonts w:cstheme="minorBidi"/>
                <w:b/>
                <w:szCs w:val="22"/>
              </w:rPr>
              <w:t>1</w:t>
            </w:r>
          </w:p>
        </w:tc>
        <w:tc>
          <w:tcPr>
            <w:tcW w:w="709" w:type="dxa"/>
            <w:tcBorders>
              <w:right w:val="single" w:sz="4" w:space="0" w:color="auto"/>
            </w:tcBorders>
            <w:shd w:val="clear" w:color="auto" w:fill="D9D9D9" w:themeFill="background1" w:themeFillShade="D9"/>
            <w:vAlign w:val="center"/>
          </w:tcPr>
          <w:p w14:paraId="300F39EA" w14:textId="77777777" w:rsidR="00D10BF7" w:rsidRPr="001A6F5D" w:rsidRDefault="00FC5FC6" w:rsidP="00FA766E">
            <w:pPr>
              <w:pStyle w:val="Textocuadrocentrado"/>
              <w:rPr>
                <w:rFonts w:cstheme="minorBidi"/>
                <w:b/>
                <w:szCs w:val="22"/>
              </w:rPr>
            </w:pPr>
            <w:r>
              <w:rPr>
                <w:rFonts w:cstheme="minorBidi"/>
                <w:b/>
                <w:szCs w:val="22"/>
              </w:rPr>
              <w:t>1</w:t>
            </w:r>
          </w:p>
        </w:tc>
        <w:tc>
          <w:tcPr>
            <w:tcW w:w="1051" w:type="dxa"/>
            <w:tcBorders>
              <w:left w:val="single" w:sz="4" w:space="0" w:color="auto"/>
            </w:tcBorders>
            <w:shd w:val="clear" w:color="auto" w:fill="D9D9D9" w:themeFill="background1" w:themeFillShade="D9"/>
            <w:vAlign w:val="center"/>
          </w:tcPr>
          <w:p w14:paraId="532D8C71" w14:textId="77777777" w:rsidR="00D10BF7" w:rsidRPr="001A6F5D" w:rsidRDefault="00D10BF7" w:rsidP="00FA766E">
            <w:pPr>
              <w:pStyle w:val="Textocuadrocentrado"/>
              <w:rPr>
                <w:rFonts w:cstheme="minorBidi"/>
                <w:b/>
                <w:szCs w:val="22"/>
              </w:rPr>
            </w:pPr>
          </w:p>
        </w:tc>
        <w:tc>
          <w:tcPr>
            <w:tcW w:w="558" w:type="dxa"/>
            <w:shd w:val="clear" w:color="auto" w:fill="D9D9D9" w:themeFill="background1" w:themeFillShade="D9"/>
            <w:vAlign w:val="center"/>
          </w:tcPr>
          <w:p w14:paraId="15719B01" w14:textId="77777777" w:rsidR="00D10BF7" w:rsidRPr="005E7C46" w:rsidRDefault="00D10BF7" w:rsidP="00FA766E">
            <w:pPr>
              <w:pStyle w:val="Textocuadrocentrado"/>
              <w:rPr>
                <w:rFonts w:cstheme="minorBidi"/>
                <w:b/>
                <w:szCs w:val="22"/>
              </w:rPr>
            </w:pPr>
            <w:r>
              <w:rPr>
                <w:rFonts w:cstheme="minorBidi"/>
                <w:b/>
                <w:szCs w:val="22"/>
              </w:rPr>
              <w:t>1</w:t>
            </w:r>
          </w:p>
        </w:tc>
        <w:tc>
          <w:tcPr>
            <w:tcW w:w="791" w:type="dxa"/>
            <w:shd w:val="clear" w:color="auto" w:fill="D9D9D9" w:themeFill="background1" w:themeFillShade="D9"/>
            <w:vAlign w:val="center"/>
          </w:tcPr>
          <w:p w14:paraId="42542192" w14:textId="77777777" w:rsidR="00D10BF7" w:rsidRPr="005E7C46" w:rsidRDefault="00FC5FC6" w:rsidP="00FA766E">
            <w:pPr>
              <w:pStyle w:val="Textocuadrocentrado"/>
              <w:rPr>
                <w:rFonts w:cstheme="minorBidi"/>
                <w:b/>
                <w:szCs w:val="22"/>
              </w:rPr>
            </w:pPr>
            <w:r>
              <w:rPr>
                <w:rFonts w:cstheme="minorBidi"/>
                <w:b/>
                <w:szCs w:val="22"/>
              </w:rPr>
              <w:t>1</w:t>
            </w:r>
          </w:p>
        </w:tc>
      </w:tr>
      <w:tr w:rsidR="00D10BF7" w:rsidRPr="0043350C" w14:paraId="088076C9" w14:textId="77777777" w:rsidTr="00FC5FC6">
        <w:trPr>
          <w:cantSplit/>
          <w:trHeight w:val="158"/>
          <w:jc w:val="center"/>
        </w:trPr>
        <w:tc>
          <w:tcPr>
            <w:tcW w:w="741" w:type="dxa"/>
            <w:gridSpan w:val="2"/>
            <w:shd w:val="clear" w:color="auto" w:fill="auto"/>
            <w:noWrap/>
            <w:vAlign w:val="center"/>
          </w:tcPr>
          <w:p w14:paraId="6ECA3949" w14:textId="77777777" w:rsidR="00D10BF7" w:rsidRPr="0043350C" w:rsidRDefault="00D10BF7" w:rsidP="00FA766E">
            <w:pPr>
              <w:pStyle w:val="Textocuadro"/>
            </w:pPr>
          </w:p>
        </w:tc>
        <w:tc>
          <w:tcPr>
            <w:tcW w:w="3170" w:type="dxa"/>
            <w:shd w:val="clear" w:color="auto" w:fill="auto"/>
            <w:noWrap/>
            <w:vAlign w:val="center"/>
          </w:tcPr>
          <w:p w14:paraId="5F049C21" w14:textId="77777777" w:rsidR="00D10BF7" w:rsidRPr="0043350C" w:rsidRDefault="00D10BF7" w:rsidP="00FA766E">
            <w:pPr>
              <w:pStyle w:val="Textocuadro"/>
            </w:pPr>
            <w:r w:rsidRPr="0043350C">
              <w:t>09 – Comunicaciones y Transportes</w:t>
            </w:r>
          </w:p>
        </w:tc>
        <w:tc>
          <w:tcPr>
            <w:tcW w:w="993" w:type="dxa"/>
            <w:shd w:val="clear" w:color="auto" w:fill="FFFFFF" w:themeFill="background1"/>
            <w:noWrap/>
            <w:vAlign w:val="center"/>
          </w:tcPr>
          <w:p w14:paraId="4EE68C82" w14:textId="77777777" w:rsidR="00D10BF7" w:rsidRPr="00017EF1" w:rsidRDefault="00D10BF7" w:rsidP="00FA766E">
            <w:pPr>
              <w:pStyle w:val="Textocuadrocentrado"/>
              <w:rPr>
                <w:highlight w:val="yellow"/>
              </w:rPr>
            </w:pPr>
          </w:p>
        </w:tc>
        <w:tc>
          <w:tcPr>
            <w:tcW w:w="708" w:type="dxa"/>
            <w:shd w:val="clear" w:color="auto" w:fill="FFFFFF" w:themeFill="background1"/>
            <w:vAlign w:val="center"/>
          </w:tcPr>
          <w:p w14:paraId="7DA92DFD" w14:textId="77777777" w:rsidR="00D10BF7" w:rsidRPr="0043350C" w:rsidRDefault="00FC5FC6" w:rsidP="00FA766E">
            <w:pPr>
              <w:pStyle w:val="Textocuadrocentrado"/>
            </w:pPr>
            <w:r>
              <w:t>1</w:t>
            </w:r>
          </w:p>
        </w:tc>
        <w:tc>
          <w:tcPr>
            <w:tcW w:w="709" w:type="dxa"/>
            <w:tcBorders>
              <w:right w:val="single" w:sz="4" w:space="0" w:color="auto"/>
            </w:tcBorders>
            <w:shd w:val="clear" w:color="auto" w:fill="FFFFFF" w:themeFill="background1"/>
            <w:vAlign w:val="center"/>
          </w:tcPr>
          <w:p w14:paraId="5E565026" w14:textId="77777777" w:rsidR="00D10BF7" w:rsidRPr="0043350C" w:rsidRDefault="00FC5FC6" w:rsidP="00FA766E">
            <w:pPr>
              <w:pStyle w:val="Textocuadrocentrado"/>
            </w:pPr>
            <w:r>
              <w:t>1</w:t>
            </w:r>
          </w:p>
        </w:tc>
        <w:tc>
          <w:tcPr>
            <w:tcW w:w="1051" w:type="dxa"/>
            <w:tcBorders>
              <w:left w:val="single" w:sz="4" w:space="0" w:color="auto"/>
            </w:tcBorders>
            <w:shd w:val="clear" w:color="auto" w:fill="FFFFFF" w:themeFill="background1"/>
            <w:vAlign w:val="center"/>
          </w:tcPr>
          <w:p w14:paraId="304DAAC8" w14:textId="77777777" w:rsidR="00D10BF7" w:rsidRPr="0043350C" w:rsidRDefault="00D10BF7" w:rsidP="00FA766E">
            <w:pPr>
              <w:pStyle w:val="Textocuadrocentrado"/>
            </w:pPr>
          </w:p>
        </w:tc>
        <w:tc>
          <w:tcPr>
            <w:tcW w:w="558" w:type="dxa"/>
            <w:shd w:val="clear" w:color="auto" w:fill="FFFFFF" w:themeFill="background1"/>
            <w:vAlign w:val="center"/>
          </w:tcPr>
          <w:p w14:paraId="2E9D807E" w14:textId="77777777" w:rsidR="00D10BF7" w:rsidRPr="0043350C" w:rsidRDefault="00D10BF7" w:rsidP="00FA766E">
            <w:pPr>
              <w:pStyle w:val="Textocuadrocentrado"/>
            </w:pPr>
            <w:r w:rsidRPr="0043350C">
              <w:t>1</w:t>
            </w:r>
          </w:p>
        </w:tc>
        <w:tc>
          <w:tcPr>
            <w:tcW w:w="791" w:type="dxa"/>
            <w:shd w:val="clear" w:color="auto" w:fill="FFFFFF" w:themeFill="background1"/>
            <w:vAlign w:val="center"/>
          </w:tcPr>
          <w:p w14:paraId="6B572056" w14:textId="77777777" w:rsidR="00D10BF7" w:rsidRPr="0043350C" w:rsidRDefault="00D10BF7" w:rsidP="00FA766E">
            <w:pPr>
              <w:pStyle w:val="Textocuadrocentrado"/>
            </w:pPr>
            <w:r w:rsidRPr="0043350C">
              <w:t>1</w:t>
            </w:r>
          </w:p>
        </w:tc>
      </w:tr>
      <w:tr w:rsidR="00D10BF7" w:rsidRPr="001A6F5D" w14:paraId="44F00297" w14:textId="77777777" w:rsidTr="00FC5FC6">
        <w:trPr>
          <w:cantSplit/>
          <w:jc w:val="center"/>
        </w:trPr>
        <w:tc>
          <w:tcPr>
            <w:tcW w:w="741" w:type="dxa"/>
            <w:gridSpan w:val="2"/>
            <w:shd w:val="clear" w:color="auto" w:fill="D9D9D9" w:themeFill="background1" w:themeFillShade="D9"/>
            <w:noWrap/>
            <w:vAlign w:val="center"/>
          </w:tcPr>
          <w:p w14:paraId="4359B418" w14:textId="77777777" w:rsidR="00D10BF7" w:rsidRPr="001A6F5D" w:rsidRDefault="00D10BF7" w:rsidP="00FA766E">
            <w:pPr>
              <w:pStyle w:val="Textocuadro"/>
              <w:rPr>
                <w:rFonts w:cstheme="minorBidi"/>
                <w:b/>
                <w:szCs w:val="22"/>
              </w:rPr>
            </w:pPr>
          </w:p>
        </w:tc>
        <w:tc>
          <w:tcPr>
            <w:tcW w:w="3170" w:type="dxa"/>
            <w:shd w:val="clear" w:color="auto" w:fill="D9D9D9" w:themeFill="background1" w:themeFillShade="D9"/>
            <w:noWrap/>
            <w:vAlign w:val="center"/>
          </w:tcPr>
          <w:p w14:paraId="635EC399" w14:textId="77777777" w:rsidR="00D10BF7" w:rsidRPr="001A6F5D" w:rsidRDefault="00D10BF7" w:rsidP="00FA766E">
            <w:pPr>
              <w:pStyle w:val="Textocuadro"/>
              <w:rPr>
                <w:rFonts w:cstheme="minorBidi"/>
                <w:b/>
                <w:szCs w:val="22"/>
              </w:rPr>
            </w:pPr>
            <w:r w:rsidRPr="001A6F5D">
              <w:rPr>
                <w:rFonts w:cstheme="minorBidi"/>
                <w:b/>
                <w:szCs w:val="22"/>
              </w:rPr>
              <w:t>Consistencia y Resultados</w:t>
            </w:r>
          </w:p>
        </w:tc>
        <w:tc>
          <w:tcPr>
            <w:tcW w:w="993" w:type="dxa"/>
            <w:shd w:val="clear" w:color="auto" w:fill="D9D9D9" w:themeFill="background1" w:themeFillShade="D9"/>
            <w:noWrap/>
            <w:vAlign w:val="center"/>
          </w:tcPr>
          <w:p w14:paraId="4582BE57" w14:textId="77777777" w:rsidR="00D10BF7" w:rsidRPr="00017EF1" w:rsidRDefault="00D10BF7" w:rsidP="00FA766E">
            <w:pPr>
              <w:pStyle w:val="Textocuadrocentrado"/>
              <w:rPr>
                <w:rFonts w:cstheme="minorBidi"/>
                <w:b/>
                <w:szCs w:val="22"/>
                <w:highlight w:val="yellow"/>
              </w:rPr>
            </w:pPr>
          </w:p>
        </w:tc>
        <w:tc>
          <w:tcPr>
            <w:tcW w:w="708" w:type="dxa"/>
            <w:shd w:val="clear" w:color="auto" w:fill="D9D9D9" w:themeFill="background1" w:themeFillShade="D9"/>
            <w:vAlign w:val="center"/>
          </w:tcPr>
          <w:p w14:paraId="43CCEFD0" w14:textId="77777777" w:rsidR="00D10BF7" w:rsidRPr="001A6F5D" w:rsidRDefault="00FC5FC6" w:rsidP="00FA766E">
            <w:pPr>
              <w:pStyle w:val="Textocuadrocentrado"/>
              <w:rPr>
                <w:rFonts w:cstheme="minorBidi"/>
                <w:b/>
                <w:szCs w:val="22"/>
              </w:rPr>
            </w:pPr>
            <w:r>
              <w:rPr>
                <w:rFonts w:cstheme="minorBidi"/>
                <w:b/>
                <w:szCs w:val="22"/>
              </w:rPr>
              <w:t>2</w:t>
            </w:r>
          </w:p>
        </w:tc>
        <w:tc>
          <w:tcPr>
            <w:tcW w:w="709" w:type="dxa"/>
            <w:tcBorders>
              <w:right w:val="single" w:sz="4" w:space="0" w:color="auto"/>
            </w:tcBorders>
            <w:shd w:val="clear" w:color="auto" w:fill="D9D9D9" w:themeFill="background1" w:themeFillShade="D9"/>
            <w:vAlign w:val="center"/>
          </w:tcPr>
          <w:p w14:paraId="2818E118" w14:textId="77777777" w:rsidR="00D10BF7" w:rsidRPr="001A6F5D" w:rsidRDefault="00FC5FC6" w:rsidP="00FA766E">
            <w:pPr>
              <w:pStyle w:val="Textocuadrocentrado"/>
              <w:rPr>
                <w:rFonts w:cstheme="minorBidi"/>
                <w:b/>
                <w:szCs w:val="22"/>
              </w:rPr>
            </w:pPr>
            <w:r>
              <w:rPr>
                <w:rFonts w:cstheme="minorBidi"/>
                <w:b/>
                <w:szCs w:val="22"/>
              </w:rPr>
              <w:t>2</w:t>
            </w:r>
          </w:p>
        </w:tc>
        <w:tc>
          <w:tcPr>
            <w:tcW w:w="1051" w:type="dxa"/>
            <w:tcBorders>
              <w:left w:val="single" w:sz="4" w:space="0" w:color="auto"/>
            </w:tcBorders>
            <w:shd w:val="clear" w:color="auto" w:fill="D9D9D9" w:themeFill="background1" w:themeFillShade="D9"/>
            <w:vAlign w:val="center"/>
          </w:tcPr>
          <w:p w14:paraId="5D802A16" w14:textId="77777777" w:rsidR="00D10BF7" w:rsidRPr="001A6F5D" w:rsidRDefault="00D10BF7" w:rsidP="00FA766E">
            <w:pPr>
              <w:pStyle w:val="Textocuadrocentrado"/>
              <w:rPr>
                <w:rFonts w:cstheme="minorBidi"/>
                <w:b/>
                <w:szCs w:val="22"/>
              </w:rPr>
            </w:pPr>
          </w:p>
        </w:tc>
        <w:tc>
          <w:tcPr>
            <w:tcW w:w="558" w:type="dxa"/>
            <w:shd w:val="clear" w:color="auto" w:fill="D9D9D9" w:themeFill="background1" w:themeFillShade="D9"/>
            <w:vAlign w:val="center"/>
          </w:tcPr>
          <w:p w14:paraId="18DB7C11" w14:textId="77777777" w:rsidR="00D10BF7" w:rsidRPr="001A6F5D" w:rsidRDefault="00D10BF7" w:rsidP="00FA766E">
            <w:pPr>
              <w:pStyle w:val="Textocuadrocentrado"/>
              <w:rPr>
                <w:rFonts w:cstheme="minorBidi"/>
                <w:b/>
                <w:szCs w:val="22"/>
              </w:rPr>
            </w:pPr>
            <w:r>
              <w:rPr>
                <w:rFonts w:cstheme="minorBidi"/>
                <w:b/>
                <w:szCs w:val="22"/>
              </w:rPr>
              <w:t>2</w:t>
            </w:r>
          </w:p>
        </w:tc>
        <w:tc>
          <w:tcPr>
            <w:tcW w:w="791" w:type="dxa"/>
            <w:shd w:val="clear" w:color="auto" w:fill="D9D9D9" w:themeFill="background1" w:themeFillShade="D9"/>
            <w:vAlign w:val="center"/>
          </w:tcPr>
          <w:p w14:paraId="37334522" w14:textId="77777777" w:rsidR="00D10BF7" w:rsidRPr="001A6F5D" w:rsidRDefault="00D10BF7" w:rsidP="00FA766E">
            <w:pPr>
              <w:pStyle w:val="Textocuadrocentrado"/>
              <w:rPr>
                <w:rFonts w:cstheme="minorBidi"/>
                <w:b/>
                <w:szCs w:val="22"/>
              </w:rPr>
            </w:pPr>
            <w:r>
              <w:rPr>
                <w:rFonts w:cstheme="minorBidi"/>
                <w:b/>
                <w:szCs w:val="22"/>
              </w:rPr>
              <w:t>2</w:t>
            </w:r>
          </w:p>
        </w:tc>
      </w:tr>
      <w:tr w:rsidR="00D10BF7" w:rsidRPr="0043350C" w14:paraId="2B3197CD" w14:textId="77777777" w:rsidTr="00FC5FC6">
        <w:trPr>
          <w:cantSplit/>
          <w:jc w:val="center"/>
        </w:trPr>
        <w:tc>
          <w:tcPr>
            <w:tcW w:w="741" w:type="dxa"/>
            <w:gridSpan w:val="2"/>
            <w:shd w:val="clear" w:color="auto" w:fill="auto"/>
            <w:noWrap/>
            <w:vAlign w:val="center"/>
          </w:tcPr>
          <w:p w14:paraId="46A04182" w14:textId="77777777" w:rsidR="00D10BF7" w:rsidRPr="0043350C" w:rsidRDefault="00D10BF7" w:rsidP="00FA766E">
            <w:pPr>
              <w:pStyle w:val="Textocuadro"/>
            </w:pPr>
          </w:p>
        </w:tc>
        <w:tc>
          <w:tcPr>
            <w:tcW w:w="3170" w:type="dxa"/>
            <w:shd w:val="clear" w:color="auto" w:fill="auto"/>
            <w:noWrap/>
            <w:vAlign w:val="center"/>
          </w:tcPr>
          <w:p w14:paraId="0CFDEC3A" w14:textId="77777777" w:rsidR="00D10BF7" w:rsidRPr="0043350C" w:rsidRDefault="00D10BF7" w:rsidP="00FC5FC6">
            <w:pPr>
              <w:pStyle w:val="Textocuadro"/>
            </w:pPr>
            <w:r w:rsidRPr="0043350C">
              <w:t>0</w:t>
            </w:r>
            <w:r w:rsidR="00FC5FC6">
              <w:t>4</w:t>
            </w:r>
            <w:r w:rsidRPr="0043350C">
              <w:t xml:space="preserve"> – </w:t>
            </w:r>
            <w:r w:rsidR="00FC5FC6">
              <w:t>Gobernación</w:t>
            </w:r>
          </w:p>
        </w:tc>
        <w:tc>
          <w:tcPr>
            <w:tcW w:w="993" w:type="dxa"/>
            <w:shd w:val="clear" w:color="auto" w:fill="FFFFFF" w:themeFill="background1"/>
            <w:noWrap/>
            <w:vAlign w:val="center"/>
          </w:tcPr>
          <w:p w14:paraId="045C11F0" w14:textId="77777777" w:rsidR="00D10BF7" w:rsidRPr="00017EF1" w:rsidRDefault="00D10BF7" w:rsidP="00FA766E">
            <w:pPr>
              <w:pStyle w:val="Textocuadrocentrado"/>
              <w:rPr>
                <w:rFonts w:cstheme="minorBidi"/>
                <w:highlight w:val="yellow"/>
              </w:rPr>
            </w:pPr>
          </w:p>
        </w:tc>
        <w:tc>
          <w:tcPr>
            <w:tcW w:w="708" w:type="dxa"/>
            <w:shd w:val="clear" w:color="auto" w:fill="FFFFFF" w:themeFill="background1"/>
            <w:vAlign w:val="center"/>
          </w:tcPr>
          <w:p w14:paraId="5B28E5C0" w14:textId="77777777" w:rsidR="00D10BF7" w:rsidRPr="0043350C" w:rsidRDefault="00FC5FC6" w:rsidP="00FA766E">
            <w:pPr>
              <w:pStyle w:val="Textocuadrocentrado"/>
              <w:rPr>
                <w:rFonts w:cstheme="minorBidi"/>
              </w:rPr>
            </w:pPr>
            <w:r>
              <w:rPr>
                <w:rFonts w:cstheme="minorBidi"/>
              </w:rPr>
              <w:t>1</w:t>
            </w:r>
          </w:p>
        </w:tc>
        <w:tc>
          <w:tcPr>
            <w:tcW w:w="709" w:type="dxa"/>
            <w:tcBorders>
              <w:right w:val="single" w:sz="4" w:space="0" w:color="auto"/>
            </w:tcBorders>
            <w:shd w:val="clear" w:color="auto" w:fill="FFFFFF" w:themeFill="background1"/>
            <w:vAlign w:val="center"/>
          </w:tcPr>
          <w:p w14:paraId="4B02CE1E" w14:textId="77777777" w:rsidR="00D10BF7" w:rsidRPr="0043350C" w:rsidRDefault="00FC5FC6" w:rsidP="00FA766E">
            <w:pPr>
              <w:pStyle w:val="Textocuadrocentrado"/>
              <w:rPr>
                <w:rFonts w:cstheme="minorBidi"/>
              </w:rPr>
            </w:pPr>
            <w:r>
              <w:rPr>
                <w:rFonts w:cstheme="minorBidi"/>
              </w:rPr>
              <w:t>1</w:t>
            </w:r>
          </w:p>
        </w:tc>
        <w:tc>
          <w:tcPr>
            <w:tcW w:w="1051" w:type="dxa"/>
            <w:tcBorders>
              <w:left w:val="single" w:sz="4" w:space="0" w:color="auto"/>
            </w:tcBorders>
            <w:shd w:val="clear" w:color="auto" w:fill="FFFFFF" w:themeFill="background1"/>
            <w:vAlign w:val="center"/>
          </w:tcPr>
          <w:p w14:paraId="45AA26CC" w14:textId="77777777" w:rsidR="00D10BF7" w:rsidRPr="0043350C" w:rsidRDefault="00D10BF7" w:rsidP="00FA766E">
            <w:pPr>
              <w:pStyle w:val="Textocuadrocentrado"/>
              <w:rPr>
                <w:rFonts w:cstheme="minorBidi"/>
              </w:rPr>
            </w:pPr>
          </w:p>
        </w:tc>
        <w:tc>
          <w:tcPr>
            <w:tcW w:w="558" w:type="dxa"/>
            <w:shd w:val="clear" w:color="auto" w:fill="FFFFFF" w:themeFill="background1"/>
            <w:vAlign w:val="center"/>
          </w:tcPr>
          <w:p w14:paraId="2B9F280B" w14:textId="77777777" w:rsidR="00D10BF7" w:rsidRPr="0043350C" w:rsidRDefault="00D10BF7" w:rsidP="00FA766E">
            <w:pPr>
              <w:pStyle w:val="Textocuadrocentrado"/>
              <w:rPr>
                <w:rFonts w:cstheme="minorBidi"/>
              </w:rPr>
            </w:pPr>
            <w:r w:rsidRPr="0043350C">
              <w:rPr>
                <w:rFonts w:cstheme="minorBidi"/>
              </w:rPr>
              <w:t>1</w:t>
            </w:r>
          </w:p>
        </w:tc>
        <w:tc>
          <w:tcPr>
            <w:tcW w:w="791" w:type="dxa"/>
            <w:shd w:val="clear" w:color="auto" w:fill="FFFFFF" w:themeFill="background1"/>
            <w:vAlign w:val="center"/>
          </w:tcPr>
          <w:p w14:paraId="13CFEFDC" w14:textId="77777777" w:rsidR="00D10BF7" w:rsidRPr="0043350C" w:rsidRDefault="00D10BF7" w:rsidP="00FA766E">
            <w:pPr>
              <w:pStyle w:val="Textocuadrocentrado"/>
              <w:rPr>
                <w:rFonts w:cstheme="minorBidi"/>
              </w:rPr>
            </w:pPr>
            <w:r w:rsidRPr="0043350C">
              <w:rPr>
                <w:rFonts w:cstheme="minorBidi"/>
              </w:rPr>
              <w:t>1</w:t>
            </w:r>
          </w:p>
        </w:tc>
      </w:tr>
      <w:tr w:rsidR="00D10BF7" w:rsidRPr="0043350C" w14:paraId="154761A6" w14:textId="77777777" w:rsidTr="00FC5FC6">
        <w:trPr>
          <w:cantSplit/>
          <w:trHeight w:val="57"/>
          <w:jc w:val="center"/>
        </w:trPr>
        <w:tc>
          <w:tcPr>
            <w:tcW w:w="741" w:type="dxa"/>
            <w:gridSpan w:val="2"/>
            <w:shd w:val="clear" w:color="auto" w:fill="auto"/>
            <w:noWrap/>
            <w:vAlign w:val="center"/>
          </w:tcPr>
          <w:p w14:paraId="289954E3" w14:textId="77777777" w:rsidR="00D10BF7" w:rsidRPr="0043350C" w:rsidRDefault="00D10BF7" w:rsidP="00FA766E">
            <w:pPr>
              <w:pStyle w:val="Textocuadro"/>
            </w:pPr>
          </w:p>
        </w:tc>
        <w:tc>
          <w:tcPr>
            <w:tcW w:w="3170" w:type="dxa"/>
            <w:shd w:val="clear" w:color="auto" w:fill="auto"/>
            <w:noWrap/>
            <w:vAlign w:val="center"/>
          </w:tcPr>
          <w:p w14:paraId="1D5A51E6" w14:textId="77777777" w:rsidR="00D10BF7" w:rsidRPr="0043350C" w:rsidRDefault="00D10BF7" w:rsidP="00FA766E">
            <w:pPr>
              <w:pStyle w:val="Textocuadro"/>
            </w:pPr>
            <w:r>
              <w:t>16 – Medio Ambiente y Recursos Naturales</w:t>
            </w:r>
          </w:p>
        </w:tc>
        <w:tc>
          <w:tcPr>
            <w:tcW w:w="993" w:type="dxa"/>
            <w:shd w:val="clear" w:color="auto" w:fill="FFFFFF" w:themeFill="background1"/>
            <w:noWrap/>
            <w:vAlign w:val="center"/>
          </w:tcPr>
          <w:p w14:paraId="2D049855" w14:textId="77777777" w:rsidR="00D10BF7" w:rsidRPr="00CE7ECC" w:rsidRDefault="00D10BF7" w:rsidP="00FA766E">
            <w:pPr>
              <w:pStyle w:val="Textocuadrocentrado"/>
              <w:rPr>
                <w:rFonts w:cstheme="minorBidi"/>
                <w:highlight w:val="yellow"/>
              </w:rPr>
            </w:pPr>
          </w:p>
        </w:tc>
        <w:tc>
          <w:tcPr>
            <w:tcW w:w="708" w:type="dxa"/>
            <w:shd w:val="clear" w:color="auto" w:fill="FFFFFF" w:themeFill="background1"/>
            <w:vAlign w:val="center"/>
          </w:tcPr>
          <w:p w14:paraId="2454BC10" w14:textId="77777777" w:rsidR="00D10BF7" w:rsidRPr="0043350C" w:rsidRDefault="00D10BF7" w:rsidP="00FA766E">
            <w:pPr>
              <w:pStyle w:val="Textocuadrocentrado"/>
              <w:rPr>
                <w:rFonts w:cstheme="minorBidi"/>
              </w:rPr>
            </w:pPr>
            <w:r>
              <w:rPr>
                <w:rFonts w:cstheme="minorBidi"/>
              </w:rPr>
              <w:t>1</w:t>
            </w:r>
          </w:p>
        </w:tc>
        <w:tc>
          <w:tcPr>
            <w:tcW w:w="709" w:type="dxa"/>
            <w:tcBorders>
              <w:right w:val="single" w:sz="4" w:space="0" w:color="auto"/>
            </w:tcBorders>
            <w:shd w:val="clear" w:color="auto" w:fill="FFFFFF" w:themeFill="background1"/>
            <w:vAlign w:val="center"/>
          </w:tcPr>
          <w:p w14:paraId="61BF7AB7" w14:textId="77777777" w:rsidR="00D10BF7" w:rsidRPr="0043350C" w:rsidRDefault="00D10BF7" w:rsidP="00FA766E">
            <w:pPr>
              <w:pStyle w:val="Textocuadrocentrado"/>
              <w:rPr>
                <w:rFonts w:cstheme="minorBidi"/>
              </w:rPr>
            </w:pPr>
            <w:r>
              <w:rPr>
                <w:rFonts w:cstheme="minorBidi"/>
              </w:rPr>
              <w:t>1</w:t>
            </w:r>
          </w:p>
        </w:tc>
        <w:tc>
          <w:tcPr>
            <w:tcW w:w="1051" w:type="dxa"/>
            <w:tcBorders>
              <w:left w:val="single" w:sz="4" w:space="0" w:color="auto"/>
            </w:tcBorders>
            <w:shd w:val="clear" w:color="auto" w:fill="FFFFFF" w:themeFill="background1"/>
            <w:vAlign w:val="center"/>
          </w:tcPr>
          <w:p w14:paraId="09D3B492" w14:textId="77777777" w:rsidR="00D10BF7" w:rsidRPr="0043350C" w:rsidRDefault="00D10BF7" w:rsidP="00FA766E">
            <w:pPr>
              <w:pStyle w:val="Textocuadrocentrado"/>
              <w:rPr>
                <w:rFonts w:cstheme="minorBidi"/>
              </w:rPr>
            </w:pPr>
          </w:p>
        </w:tc>
        <w:tc>
          <w:tcPr>
            <w:tcW w:w="558" w:type="dxa"/>
            <w:shd w:val="clear" w:color="auto" w:fill="FFFFFF" w:themeFill="background1"/>
            <w:vAlign w:val="center"/>
          </w:tcPr>
          <w:p w14:paraId="19C302B5" w14:textId="77777777" w:rsidR="00D10BF7" w:rsidRPr="0043350C" w:rsidRDefault="00D10BF7" w:rsidP="00FA766E">
            <w:pPr>
              <w:pStyle w:val="Textocuadrocentrado"/>
              <w:rPr>
                <w:rFonts w:cstheme="minorBidi"/>
              </w:rPr>
            </w:pPr>
            <w:r>
              <w:rPr>
                <w:rFonts w:cstheme="minorBidi"/>
              </w:rPr>
              <w:t>1</w:t>
            </w:r>
          </w:p>
        </w:tc>
        <w:tc>
          <w:tcPr>
            <w:tcW w:w="791" w:type="dxa"/>
            <w:shd w:val="clear" w:color="auto" w:fill="FFFFFF" w:themeFill="background1"/>
            <w:vAlign w:val="center"/>
          </w:tcPr>
          <w:p w14:paraId="694BA009" w14:textId="77777777" w:rsidR="00D10BF7" w:rsidRPr="0043350C" w:rsidRDefault="00D10BF7" w:rsidP="00FA766E">
            <w:pPr>
              <w:pStyle w:val="Textocuadrocentrado"/>
              <w:rPr>
                <w:rFonts w:cstheme="minorBidi"/>
              </w:rPr>
            </w:pPr>
            <w:r>
              <w:rPr>
                <w:rFonts w:cstheme="minorBidi"/>
              </w:rPr>
              <w:t>1</w:t>
            </w:r>
          </w:p>
        </w:tc>
      </w:tr>
      <w:tr w:rsidR="00D10BF7" w:rsidRPr="001A6F5D" w14:paraId="36271D9A" w14:textId="77777777" w:rsidTr="00FC5FC6">
        <w:trPr>
          <w:cantSplit/>
          <w:jc w:val="center"/>
        </w:trPr>
        <w:tc>
          <w:tcPr>
            <w:tcW w:w="741" w:type="dxa"/>
            <w:gridSpan w:val="2"/>
            <w:shd w:val="clear" w:color="auto" w:fill="D9D9D9" w:themeFill="background1" w:themeFillShade="D9"/>
            <w:noWrap/>
            <w:vAlign w:val="center"/>
          </w:tcPr>
          <w:p w14:paraId="6E79D1C1" w14:textId="77777777" w:rsidR="00D10BF7" w:rsidRPr="001A6F5D" w:rsidRDefault="00D10BF7" w:rsidP="00FA766E">
            <w:pPr>
              <w:pStyle w:val="Textocuadro"/>
              <w:rPr>
                <w:rFonts w:cstheme="minorBidi"/>
                <w:b/>
                <w:szCs w:val="22"/>
              </w:rPr>
            </w:pPr>
          </w:p>
        </w:tc>
        <w:tc>
          <w:tcPr>
            <w:tcW w:w="3170" w:type="dxa"/>
            <w:shd w:val="clear" w:color="auto" w:fill="D9D9D9" w:themeFill="background1" w:themeFillShade="D9"/>
            <w:noWrap/>
            <w:vAlign w:val="center"/>
          </w:tcPr>
          <w:p w14:paraId="5270B8A5" w14:textId="77777777" w:rsidR="00D10BF7" w:rsidRPr="001A6F5D" w:rsidRDefault="00D10BF7" w:rsidP="00FA766E">
            <w:pPr>
              <w:pStyle w:val="Textocuadro"/>
              <w:rPr>
                <w:rFonts w:cstheme="minorBidi"/>
                <w:b/>
                <w:szCs w:val="22"/>
              </w:rPr>
            </w:pPr>
            <w:r w:rsidRPr="001A6F5D">
              <w:rPr>
                <w:rFonts w:cstheme="minorBidi"/>
                <w:b/>
                <w:szCs w:val="22"/>
              </w:rPr>
              <w:t>Procesos</w:t>
            </w:r>
          </w:p>
        </w:tc>
        <w:tc>
          <w:tcPr>
            <w:tcW w:w="993" w:type="dxa"/>
            <w:shd w:val="clear" w:color="auto" w:fill="D9D9D9" w:themeFill="background1" w:themeFillShade="D9"/>
            <w:noWrap/>
            <w:vAlign w:val="center"/>
          </w:tcPr>
          <w:p w14:paraId="4968828F" w14:textId="77777777" w:rsidR="00D10BF7" w:rsidRPr="00017EF1" w:rsidRDefault="00D10BF7" w:rsidP="00FA766E">
            <w:pPr>
              <w:pStyle w:val="Textocuadrocentrado"/>
              <w:rPr>
                <w:rFonts w:cstheme="minorBidi"/>
                <w:b/>
                <w:szCs w:val="22"/>
                <w:highlight w:val="yellow"/>
              </w:rPr>
            </w:pPr>
          </w:p>
        </w:tc>
        <w:tc>
          <w:tcPr>
            <w:tcW w:w="708" w:type="dxa"/>
            <w:shd w:val="clear" w:color="auto" w:fill="D9D9D9" w:themeFill="background1" w:themeFillShade="D9"/>
            <w:vAlign w:val="center"/>
          </w:tcPr>
          <w:p w14:paraId="49658203" w14:textId="77777777" w:rsidR="00D10BF7" w:rsidRPr="001A6F5D" w:rsidRDefault="00FC5FC6" w:rsidP="00FA766E">
            <w:pPr>
              <w:pStyle w:val="Textocuadrocentrado"/>
              <w:rPr>
                <w:rFonts w:cstheme="minorBidi"/>
                <w:b/>
                <w:szCs w:val="22"/>
              </w:rPr>
            </w:pPr>
            <w:r>
              <w:rPr>
                <w:rFonts w:cstheme="minorBidi"/>
                <w:b/>
                <w:szCs w:val="22"/>
              </w:rPr>
              <w:t>4</w:t>
            </w:r>
          </w:p>
        </w:tc>
        <w:tc>
          <w:tcPr>
            <w:tcW w:w="709" w:type="dxa"/>
            <w:tcBorders>
              <w:right w:val="single" w:sz="4" w:space="0" w:color="auto"/>
            </w:tcBorders>
            <w:shd w:val="clear" w:color="auto" w:fill="D9D9D9" w:themeFill="background1" w:themeFillShade="D9"/>
            <w:vAlign w:val="center"/>
          </w:tcPr>
          <w:p w14:paraId="563993AA" w14:textId="77777777" w:rsidR="00D10BF7" w:rsidRPr="001A6F5D" w:rsidRDefault="00FC5FC6" w:rsidP="00FA766E">
            <w:pPr>
              <w:pStyle w:val="Textocuadrocentrado"/>
              <w:rPr>
                <w:rFonts w:cstheme="minorBidi"/>
                <w:b/>
                <w:szCs w:val="22"/>
              </w:rPr>
            </w:pPr>
            <w:r>
              <w:rPr>
                <w:rFonts w:cstheme="minorBidi"/>
                <w:b/>
                <w:szCs w:val="22"/>
              </w:rPr>
              <w:t>4</w:t>
            </w:r>
          </w:p>
        </w:tc>
        <w:tc>
          <w:tcPr>
            <w:tcW w:w="1051" w:type="dxa"/>
            <w:tcBorders>
              <w:left w:val="single" w:sz="4" w:space="0" w:color="auto"/>
            </w:tcBorders>
            <w:shd w:val="clear" w:color="auto" w:fill="D9D9D9" w:themeFill="background1" w:themeFillShade="D9"/>
            <w:vAlign w:val="center"/>
          </w:tcPr>
          <w:p w14:paraId="79E2D425" w14:textId="77777777" w:rsidR="00D10BF7" w:rsidRPr="001A6F5D" w:rsidRDefault="00D10BF7" w:rsidP="00FA766E">
            <w:pPr>
              <w:pStyle w:val="Textocuadrocentrado"/>
              <w:rPr>
                <w:rFonts w:cstheme="minorBidi"/>
                <w:b/>
                <w:szCs w:val="22"/>
              </w:rPr>
            </w:pPr>
          </w:p>
        </w:tc>
        <w:tc>
          <w:tcPr>
            <w:tcW w:w="558" w:type="dxa"/>
            <w:shd w:val="clear" w:color="auto" w:fill="D9D9D9" w:themeFill="background1" w:themeFillShade="D9"/>
            <w:vAlign w:val="center"/>
          </w:tcPr>
          <w:p w14:paraId="0DF18528" w14:textId="77777777" w:rsidR="00D10BF7" w:rsidRPr="001A6F5D" w:rsidRDefault="00D10BF7" w:rsidP="00FA766E">
            <w:pPr>
              <w:pStyle w:val="Textocuadrocentrado"/>
              <w:rPr>
                <w:rFonts w:cstheme="minorBidi"/>
                <w:b/>
                <w:szCs w:val="22"/>
              </w:rPr>
            </w:pPr>
            <w:r>
              <w:rPr>
                <w:rFonts w:cstheme="minorBidi"/>
                <w:b/>
                <w:szCs w:val="22"/>
              </w:rPr>
              <w:t>4</w:t>
            </w:r>
          </w:p>
        </w:tc>
        <w:tc>
          <w:tcPr>
            <w:tcW w:w="791" w:type="dxa"/>
            <w:shd w:val="clear" w:color="auto" w:fill="D9D9D9" w:themeFill="background1" w:themeFillShade="D9"/>
            <w:vAlign w:val="center"/>
          </w:tcPr>
          <w:p w14:paraId="058E10CC" w14:textId="77777777" w:rsidR="00D10BF7" w:rsidRPr="001A6F5D" w:rsidRDefault="00FC5FC6" w:rsidP="00FA766E">
            <w:pPr>
              <w:pStyle w:val="Textocuadrocentrado"/>
              <w:rPr>
                <w:rFonts w:cstheme="minorBidi"/>
                <w:b/>
                <w:szCs w:val="22"/>
              </w:rPr>
            </w:pPr>
            <w:r>
              <w:rPr>
                <w:rFonts w:cstheme="minorBidi"/>
                <w:b/>
                <w:szCs w:val="22"/>
              </w:rPr>
              <w:t>4</w:t>
            </w:r>
          </w:p>
        </w:tc>
      </w:tr>
      <w:tr w:rsidR="00D10BF7" w:rsidRPr="0043350C" w14:paraId="54D565C9" w14:textId="77777777" w:rsidTr="00FC5FC6">
        <w:trPr>
          <w:cantSplit/>
          <w:jc w:val="center"/>
        </w:trPr>
        <w:tc>
          <w:tcPr>
            <w:tcW w:w="741" w:type="dxa"/>
            <w:gridSpan w:val="2"/>
            <w:shd w:val="clear" w:color="auto" w:fill="auto"/>
            <w:noWrap/>
            <w:vAlign w:val="center"/>
          </w:tcPr>
          <w:p w14:paraId="15A77F54" w14:textId="77777777" w:rsidR="00D10BF7" w:rsidRPr="0043350C" w:rsidRDefault="00D10BF7" w:rsidP="00FA766E">
            <w:pPr>
              <w:pStyle w:val="Textocuadro"/>
            </w:pPr>
          </w:p>
        </w:tc>
        <w:tc>
          <w:tcPr>
            <w:tcW w:w="3170" w:type="dxa"/>
            <w:shd w:val="clear" w:color="auto" w:fill="auto"/>
            <w:noWrap/>
            <w:vAlign w:val="center"/>
          </w:tcPr>
          <w:p w14:paraId="55CC7FF2" w14:textId="77777777" w:rsidR="00D10BF7" w:rsidRPr="0043350C" w:rsidRDefault="00D10BF7" w:rsidP="00FA766E">
            <w:pPr>
              <w:pStyle w:val="Textocuadro"/>
            </w:pPr>
            <w:r>
              <w:t>04 – Gobernación</w:t>
            </w:r>
          </w:p>
        </w:tc>
        <w:tc>
          <w:tcPr>
            <w:tcW w:w="993" w:type="dxa"/>
            <w:shd w:val="clear" w:color="auto" w:fill="FFFFFF" w:themeFill="background1"/>
            <w:noWrap/>
            <w:vAlign w:val="center"/>
          </w:tcPr>
          <w:p w14:paraId="21555D3A" w14:textId="77777777" w:rsidR="00D10BF7" w:rsidRPr="00017EF1" w:rsidRDefault="00D10BF7" w:rsidP="00FA766E">
            <w:pPr>
              <w:pStyle w:val="Textocuadrocentrado"/>
              <w:rPr>
                <w:highlight w:val="yellow"/>
              </w:rPr>
            </w:pPr>
          </w:p>
        </w:tc>
        <w:tc>
          <w:tcPr>
            <w:tcW w:w="708" w:type="dxa"/>
            <w:shd w:val="clear" w:color="auto" w:fill="FFFFFF" w:themeFill="background1"/>
            <w:vAlign w:val="center"/>
          </w:tcPr>
          <w:p w14:paraId="62E64CA4" w14:textId="77777777" w:rsidR="00D10BF7" w:rsidRPr="0043350C" w:rsidRDefault="00FC5FC6" w:rsidP="00FA766E">
            <w:pPr>
              <w:pStyle w:val="Textocuadrocentrado"/>
            </w:pPr>
            <w:r>
              <w:t>3</w:t>
            </w:r>
          </w:p>
        </w:tc>
        <w:tc>
          <w:tcPr>
            <w:tcW w:w="709" w:type="dxa"/>
            <w:tcBorders>
              <w:right w:val="single" w:sz="4" w:space="0" w:color="auto"/>
            </w:tcBorders>
            <w:shd w:val="clear" w:color="auto" w:fill="FFFFFF" w:themeFill="background1"/>
            <w:vAlign w:val="center"/>
          </w:tcPr>
          <w:p w14:paraId="38170FDD" w14:textId="77777777" w:rsidR="00D10BF7" w:rsidRPr="0043350C" w:rsidRDefault="00FC5FC6" w:rsidP="00FA766E">
            <w:pPr>
              <w:pStyle w:val="Textocuadrocentrado"/>
            </w:pPr>
            <w:r>
              <w:t>3</w:t>
            </w:r>
          </w:p>
        </w:tc>
        <w:tc>
          <w:tcPr>
            <w:tcW w:w="1051" w:type="dxa"/>
            <w:tcBorders>
              <w:left w:val="single" w:sz="4" w:space="0" w:color="auto"/>
            </w:tcBorders>
            <w:shd w:val="clear" w:color="auto" w:fill="FFFFFF" w:themeFill="background1"/>
            <w:vAlign w:val="center"/>
          </w:tcPr>
          <w:p w14:paraId="67C8546B" w14:textId="77777777" w:rsidR="00D10BF7" w:rsidRPr="0043350C" w:rsidRDefault="00D10BF7" w:rsidP="00FA766E">
            <w:pPr>
              <w:pStyle w:val="Textocuadrocentrado"/>
            </w:pPr>
          </w:p>
        </w:tc>
        <w:tc>
          <w:tcPr>
            <w:tcW w:w="558" w:type="dxa"/>
            <w:shd w:val="clear" w:color="auto" w:fill="FFFFFF" w:themeFill="background1"/>
            <w:vAlign w:val="center"/>
          </w:tcPr>
          <w:p w14:paraId="0B5B837C" w14:textId="77777777" w:rsidR="00D10BF7" w:rsidRPr="0043350C" w:rsidRDefault="00FC5FC6" w:rsidP="00FA766E">
            <w:pPr>
              <w:pStyle w:val="Textocuadrocentrado"/>
            </w:pPr>
            <w:r>
              <w:t>3</w:t>
            </w:r>
          </w:p>
        </w:tc>
        <w:tc>
          <w:tcPr>
            <w:tcW w:w="791" w:type="dxa"/>
            <w:shd w:val="clear" w:color="auto" w:fill="FFFFFF" w:themeFill="background1"/>
            <w:vAlign w:val="center"/>
          </w:tcPr>
          <w:p w14:paraId="50CFF421" w14:textId="77777777" w:rsidR="00D10BF7" w:rsidRPr="0043350C" w:rsidRDefault="00FC5FC6" w:rsidP="00FA766E">
            <w:pPr>
              <w:pStyle w:val="Textocuadrocentrado"/>
            </w:pPr>
            <w:r>
              <w:t>3</w:t>
            </w:r>
          </w:p>
        </w:tc>
      </w:tr>
      <w:tr w:rsidR="00D10BF7" w:rsidRPr="0043350C" w14:paraId="70D0873A" w14:textId="77777777" w:rsidTr="00FC5FC6">
        <w:trPr>
          <w:cantSplit/>
          <w:jc w:val="center"/>
        </w:trPr>
        <w:tc>
          <w:tcPr>
            <w:tcW w:w="741" w:type="dxa"/>
            <w:gridSpan w:val="2"/>
            <w:shd w:val="clear" w:color="auto" w:fill="auto"/>
            <w:noWrap/>
            <w:vAlign w:val="center"/>
          </w:tcPr>
          <w:p w14:paraId="19AEBB05" w14:textId="77777777" w:rsidR="00D10BF7" w:rsidRPr="0043350C" w:rsidRDefault="00D10BF7" w:rsidP="00FA766E">
            <w:pPr>
              <w:pStyle w:val="Textocuadro"/>
            </w:pPr>
          </w:p>
        </w:tc>
        <w:tc>
          <w:tcPr>
            <w:tcW w:w="3170" w:type="dxa"/>
            <w:shd w:val="clear" w:color="auto" w:fill="auto"/>
            <w:noWrap/>
            <w:vAlign w:val="center"/>
          </w:tcPr>
          <w:p w14:paraId="5F4970FA" w14:textId="77777777" w:rsidR="00D10BF7" w:rsidRPr="0043350C" w:rsidRDefault="00D10BF7" w:rsidP="00FC5FC6">
            <w:pPr>
              <w:pStyle w:val="Textocuadro"/>
            </w:pPr>
            <w:r w:rsidRPr="0043350C">
              <w:t>0</w:t>
            </w:r>
            <w:r w:rsidR="00FC5FC6">
              <w:t>9</w:t>
            </w:r>
            <w:r w:rsidRPr="0043350C">
              <w:t xml:space="preserve"> – </w:t>
            </w:r>
            <w:r w:rsidR="00FC5FC6" w:rsidRPr="0043350C">
              <w:t>Comunicaciones y Transportes</w:t>
            </w:r>
          </w:p>
        </w:tc>
        <w:tc>
          <w:tcPr>
            <w:tcW w:w="993" w:type="dxa"/>
            <w:shd w:val="clear" w:color="auto" w:fill="FFFFFF" w:themeFill="background1"/>
            <w:noWrap/>
            <w:vAlign w:val="center"/>
          </w:tcPr>
          <w:p w14:paraId="1F800F93" w14:textId="77777777" w:rsidR="00D10BF7" w:rsidRPr="00017EF1" w:rsidRDefault="00D10BF7" w:rsidP="00FA766E">
            <w:pPr>
              <w:pStyle w:val="Textocuadrocentrado"/>
              <w:rPr>
                <w:highlight w:val="yellow"/>
              </w:rPr>
            </w:pPr>
          </w:p>
        </w:tc>
        <w:tc>
          <w:tcPr>
            <w:tcW w:w="708" w:type="dxa"/>
            <w:shd w:val="clear" w:color="auto" w:fill="FFFFFF" w:themeFill="background1"/>
            <w:vAlign w:val="center"/>
          </w:tcPr>
          <w:p w14:paraId="0EE22B55" w14:textId="77777777" w:rsidR="00D10BF7" w:rsidRPr="0043350C" w:rsidRDefault="00FC5FC6" w:rsidP="00FA766E">
            <w:pPr>
              <w:pStyle w:val="Textocuadrocentrado"/>
            </w:pPr>
            <w:r>
              <w:t>1</w:t>
            </w:r>
          </w:p>
        </w:tc>
        <w:tc>
          <w:tcPr>
            <w:tcW w:w="709" w:type="dxa"/>
            <w:tcBorders>
              <w:right w:val="single" w:sz="4" w:space="0" w:color="auto"/>
            </w:tcBorders>
            <w:shd w:val="clear" w:color="auto" w:fill="FFFFFF" w:themeFill="background1"/>
            <w:vAlign w:val="center"/>
          </w:tcPr>
          <w:p w14:paraId="15A526CF" w14:textId="77777777" w:rsidR="00D10BF7" w:rsidRPr="0043350C" w:rsidRDefault="00FC5FC6" w:rsidP="00FA766E">
            <w:pPr>
              <w:pStyle w:val="Textocuadrocentrado"/>
            </w:pPr>
            <w:r>
              <w:t>1</w:t>
            </w:r>
          </w:p>
        </w:tc>
        <w:tc>
          <w:tcPr>
            <w:tcW w:w="1051" w:type="dxa"/>
            <w:tcBorders>
              <w:left w:val="single" w:sz="4" w:space="0" w:color="auto"/>
            </w:tcBorders>
            <w:shd w:val="clear" w:color="auto" w:fill="FFFFFF" w:themeFill="background1"/>
            <w:vAlign w:val="center"/>
          </w:tcPr>
          <w:p w14:paraId="7BCE9F40" w14:textId="77777777" w:rsidR="00D10BF7" w:rsidRPr="0043350C" w:rsidRDefault="00D10BF7" w:rsidP="00FA766E">
            <w:pPr>
              <w:pStyle w:val="Textocuadrocentrado"/>
            </w:pPr>
          </w:p>
        </w:tc>
        <w:tc>
          <w:tcPr>
            <w:tcW w:w="558" w:type="dxa"/>
            <w:shd w:val="clear" w:color="auto" w:fill="FFFFFF" w:themeFill="background1"/>
            <w:vAlign w:val="center"/>
          </w:tcPr>
          <w:p w14:paraId="40C0421A" w14:textId="77777777" w:rsidR="00D10BF7" w:rsidRPr="0043350C" w:rsidRDefault="00D10BF7" w:rsidP="00FA766E">
            <w:pPr>
              <w:pStyle w:val="Textocuadrocentrado"/>
            </w:pPr>
            <w:r w:rsidRPr="0043350C">
              <w:t>1</w:t>
            </w:r>
          </w:p>
        </w:tc>
        <w:tc>
          <w:tcPr>
            <w:tcW w:w="791" w:type="dxa"/>
            <w:shd w:val="clear" w:color="auto" w:fill="FFFFFF" w:themeFill="background1"/>
            <w:vAlign w:val="center"/>
          </w:tcPr>
          <w:p w14:paraId="2AB4AFFF" w14:textId="77777777" w:rsidR="00D10BF7" w:rsidRPr="0043350C" w:rsidRDefault="00D10BF7" w:rsidP="00FA766E">
            <w:pPr>
              <w:pStyle w:val="Textocuadrocentrado"/>
            </w:pPr>
            <w:r w:rsidRPr="0043350C">
              <w:t>1</w:t>
            </w:r>
          </w:p>
        </w:tc>
      </w:tr>
      <w:tr w:rsidR="00D10BF7" w:rsidRPr="001A6F5D" w14:paraId="7D6DC54E" w14:textId="77777777" w:rsidTr="00FC5FC6">
        <w:trPr>
          <w:cantSplit/>
          <w:jc w:val="center"/>
        </w:trPr>
        <w:tc>
          <w:tcPr>
            <w:tcW w:w="3911" w:type="dxa"/>
            <w:gridSpan w:val="3"/>
            <w:shd w:val="clear" w:color="auto" w:fill="D9D9D9" w:themeFill="background1" w:themeFillShade="D9"/>
            <w:noWrap/>
            <w:vAlign w:val="center"/>
          </w:tcPr>
          <w:p w14:paraId="0AE0A1C0" w14:textId="77777777" w:rsidR="00D10BF7" w:rsidRPr="001A6F5D" w:rsidRDefault="00D10BF7" w:rsidP="00FA766E">
            <w:pPr>
              <w:pStyle w:val="Textocuadro"/>
              <w:rPr>
                <w:rFonts w:cstheme="minorBidi"/>
                <w:b/>
                <w:bCs/>
              </w:rPr>
            </w:pPr>
            <w:r>
              <w:rPr>
                <w:rFonts w:cstheme="minorBidi"/>
                <w:b/>
                <w:bCs/>
              </w:rPr>
              <w:t>PAE 2017</w:t>
            </w:r>
          </w:p>
        </w:tc>
        <w:tc>
          <w:tcPr>
            <w:tcW w:w="993" w:type="dxa"/>
            <w:shd w:val="clear" w:color="auto" w:fill="D9D9D9" w:themeFill="background1" w:themeFillShade="D9"/>
            <w:noWrap/>
            <w:vAlign w:val="center"/>
          </w:tcPr>
          <w:p w14:paraId="66AA08F5" w14:textId="77777777" w:rsidR="00D10BF7" w:rsidRPr="001A6F5D" w:rsidRDefault="00D10BF7" w:rsidP="00FA766E">
            <w:pPr>
              <w:pStyle w:val="Textocuadrocentrado"/>
              <w:rPr>
                <w:rFonts w:cstheme="minorBidi"/>
                <w:b/>
                <w:bCs/>
              </w:rPr>
            </w:pPr>
          </w:p>
        </w:tc>
        <w:tc>
          <w:tcPr>
            <w:tcW w:w="708" w:type="dxa"/>
            <w:shd w:val="clear" w:color="auto" w:fill="D9D9D9" w:themeFill="background1" w:themeFillShade="D9"/>
            <w:vAlign w:val="center"/>
          </w:tcPr>
          <w:p w14:paraId="2426806A" w14:textId="77777777" w:rsidR="00D10BF7" w:rsidRPr="001A6F5D" w:rsidRDefault="00FC5FC6" w:rsidP="00FA766E">
            <w:pPr>
              <w:pStyle w:val="Textocuadrocentrado"/>
              <w:rPr>
                <w:rFonts w:cstheme="minorBidi"/>
                <w:b/>
                <w:bCs/>
              </w:rPr>
            </w:pPr>
            <w:r>
              <w:rPr>
                <w:rFonts w:cstheme="minorBidi"/>
                <w:b/>
                <w:bCs/>
              </w:rPr>
              <w:t>13</w:t>
            </w:r>
          </w:p>
        </w:tc>
        <w:tc>
          <w:tcPr>
            <w:tcW w:w="709" w:type="dxa"/>
            <w:tcBorders>
              <w:right w:val="single" w:sz="4" w:space="0" w:color="auto"/>
            </w:tcBorders>
            <w:shd w:val="clear" w:color="auto" w:fill="D9D9D9" w:themeFill="background1" w:themeFillShade="D9"/>
            <w:vAlign w:val="center"/>
          </w:tcPr>
          <w:p w14:paraId="74191B13" w14:textId="77777777" w:rsidR="00D10BF7" w:rsidRPr="001A6F5D" w:rsidRDefault="00FC5FC6" w:rsidP="00FA766E">
            <w:pPr>
              <w:pStyle w:val="Textocuadrocentrado"/>
              <w:rPr>
                <w:rFonts w:cstheme="minorBidi"/>
                <w:b/>
                <w:bCs/>
              </w:rPr>
            </w:pPr>
            <w:r>
              <w:rPr>
                <w:rFonts w:cstheme="minorBidi"/>
                <w:b/>
                <w:bCs/>
              </w:rPr>
              <w:t>13</w:t>
            </w:r>
          </w:p>
        </w:tc>
        <w:tc>
          <w:tcPr>
            <w:tcW w:w="1051" w:type="dxa"/>
            <w:tcBorders>
              <w:left w:val="single" w:sz="4" w:space="0" w:color="auto"/>
            </w:tcBorders>
            <w:shd w:val="clear" w:color="auto" w:fill="D9D9D9" w:themeFill="background1" w:themeFillShade="D9"/>
            <w:vAlign w:val="center"/>
          </w:tcPr>
          <w:p w14:paraId="0230AD6E" w14:textId="77777777" w:rsidR="00D10BF7" w:rsidRPr="001A6F5D" w:rsidRDefault="00D10BF7" w:rsidP="00FA766E">
            <w:pPr>
              <w:pStyle w:val="Textocuadrocentrado"/>
              <w:rPr>
                <w:rFonts w:cstheme="minorBidi"/>
                <w:b/>
                <w:bCs/>
              </w:rPr>
            </w:pPr>
          </w:p>
        </w:tc>
        <w:tc>
          <w:tcPr>
            <w:tcW w:w="558" w:type="dxa"/>
            <w:shd w:val="clear" w:color="auto" w:fill="D9D9D9" w:themeFill="background1" w:themeFillShade="D9"/>
            <w:vAlign w:val="center"/>
          </w:tcPr>
          <w:p w14:paraId="2079FC73" w14:textId="77777777" w:rsidR="00D10BF7" w:rsidRPr="001A6F5D" w:rsidRDefault="00D10BF7" w:rsidP="00FA766E">
            <w:pPr>
              <w:pStyle w:val="Textocuadrocentrado"/>
              <w:rPr>
                <w:rFonts w:cstheme="minorBidi"/>
                <w:b/>
                <w:bCs/>
              </w:rPr>
            </w:pPr>
            <w:r>
              <w:rPr>
                <w:rFonts w:cstheme="minorBidi"/>
                <w:b/>
                <w:bCs/>
              </w:rPr>
              <w:t>13</w:t>
            </w:r>
          </w:p>
        </w:tc>
        <w:tc>
          <w:tcPr>
            <w:tcW w:w="791" w:type="dxa"/>
            <w:shd w:val="clear" w:color="auto" w:fill="D9D9D9" w:themeFill="background1" w:themeFillShade="D9"/>
            <w:vAlign w:val="center"/>
          </w:tcPr>
          <w:p w14:paraId="02D6970F" w14:textId="77777777" w:rsidR="00D10BF7" w:rsidRPr="001A6F5D" w:rsidRDefault="00D10BF7" w:rsidP="00FA766E">
            <w:pPr>
              <w:pStyle w:val="Textocuadrocentrado"/>
              <w:rPr>
                <w:rFonts w:cstheme="minorBidi"/>
                <w:b/>
                <w:bCs/>
              </w:rPr>
            </w:pPr>
            <w:r>
              <w:rPr>
                <w:rFonts w:cstheme="minorBidi"/>
                <w:b/>
                <w:bCs/>
              </w:rPr>
              <w:t>13</w:t>
            </w:r>
          </w:p>
        </w:tc>
      </w:tr>
      <w:tr w:rsidR="00D10BF7" w:rsidRPr="001A6F5D" w14:paraId="30CBB60D" w14:textId="77777777" w:rsidTr="00FC5FC6">
        <w:trPr>
          <w:cantSplit/>
          <w:trHeight w:hRule="exact" w:val="57"/>
          <w:jc w:val="center"/>
        </w:trPr>
        <w:tc>
          <w:tcPr>
            <w:tcW w:w="3911" w:type="dxa"/>
            <w:gridSpan w:val="3"/>
            <w:shd w:val="clear" w:color="auto" w:fill="auto"/>
            <w:noWrap/>
            <w:vAlign w:val="center"/>
          </w:tcPr>
          <w:p w14:paraId="77373DA4" w14:textId="77777777" w:rsidR="00D10BF7" w:rsidRPr="001A6F5D" w:rsidRDefault="00D10BF7" w:rsidP="00FA766E">
            <w:pPr>
              <w:pStyle w:val="Textocuadro"/>
              <w:rPr>
                <w:rFonts w:cstheme="minorBidi"/>
                <w:b/>
                <w:bCs/>
              </w:rPr>
            </w:pPr>
          </w:p>
        </w:tc>
        <w:tc>
          <w:tcPr>
            <w:tcW w:w="993" w:type="dxa"/>
            <w:shd w:val="clear" w:color="auto" w:fill="auto"/>
            <w:noWrap/>
            <w:vAlign w:val="center"/>
          </w:tcPr>
          <w:p w14:paraId="1D44BA89" w14:textId="77777777" w:rsidR="00D10BF7" w:rsidRPr="001A6F5D" w:rsidRDefault="00D10BF7" w:rsidP="00FA766E">
            <w:pPr>
              <w:pStyle w:val="Textocuadrocentrado"/>
              <w:rPr>
                <w:rFonts w:cstheme="minorBidi"/>
                <w:b/>
                <w:bCs/>
              </w:rPr>
            </w:pPr>
          </w:p>
        </w:tc>
        <w:tc>
          <w:tcPr>
            <w:tcW w:w="708" w:type="dxa"/>
            <w:shd w:val="clear" w:color="auto" w:fill="auto"/>
            <w:vAlign w:val="center"/>
          </w:tcPr>
          <w:p w14:paraId="70B4DA48" w14:textId="77777777" w:rsidR="00D10BF7" w:rsidRPr="001A6F5D" w:rsidRDefault="00D10BF7" w:rsidP="00FA766E">
            <w:pPr>
              <w:pStyle w:val="Textocuadrocentrado"/>
              <w:rPr>
                <w:rFonts w:cstheme="minorBidi"/>
                <w:b/>
                <w:bCs/>
              </w:rPr>
            </w:pPr>
          </w:p>
        </w:tc>
        <w:tc>
          <w:tcPr>
            <w:tcW w:w="709" w:type="dxa"/>
            <w:tcBorders>
              <w:right w:val="single" w:sz="4" w:space="0" w:color="auto"/>
            </w:tcBorders>
            <w:shd w:val="clear" w:color="auto" w:fill="auto"/>
            <w:vAlign w:val="center"/>
          </w:tcPr>
          <w:p w14:paraId="6526E50E" w14:textId="77777777" w:rsidR="00D10BF7" w:rsidRPr="001A6F5D" w:rsidRDefault="00D10BF7" w:rsidP="00FA766E">
            <w:pPr>
              <w:pStyle w:val="Textocuadrocentrado"/>
              <w:rPr>
                <w:rFonts w:cstheme="minorBidi"/>
                <w:b/>
                <w:bCs/>
              </w:rPr>
            </w:pPr>
          </w:p>
        </w:tc>
        <w:tc>
          <w:tcPr>
            <w:tcW w:w="1051" w:type="dxa"/>
            <w:tcBorders>
              <w:left w:val="single" w:sz="4" w:space="0" w:color="auto"/>
            </w:tcBorders>
            <w:shd w:val="clear" w:color="auto" w:fill="auto"/>
            <w:vAlign w:val="center"/>
          </w:tcPr>
          <w:p w14:paraId="202E2F51" w14:textId="77777777" w:rsidR="00D10BF7" w:rsidRPr="001A6F5D" w:rsidRDefault="00D10BF7" w:rsidP="00FA766E">
            <w:pPr>
              <w:pStyle w:val="Textocuadrocentrado"/>
              <w:rPr>
                <w:rFonts w:cstheme="minorBidi"/>
                <w:b/>
                <w:bCs/>
              </w:rPr>
            </w:pPr>
          </w:p>
        </w:tc>
        <w:tc>
          <w:tcPr>
            <w:tcW w:w="558" w:type="dxa"/>
            <w:shd w:val="clear" w:color="auto" w:fill="auto"/>
            <w:vAlign w:val="center"/>
          </w:tcPr>
          <w:p w14:paraId="26D9F91D" w14:textId="77777777" w:rsidR="00D10BF7" w:rsidRPr="001A6F5D" w:rsidRDefault="00D10BF7" w:rsidP="00FA766E">
            <w:pPr>
              <w:pStyle w:val="Textocuadrocentrado"/>
              <w:rPr>
                <w:rFonts w:cstheme="minorBidi"/>
                <w:b/>
                <w:bCs/>
              </w:rPr>
            </w:pPr>
          </w:p>
        </w:tc>
        <w:tc>
          <w:tcPr>
            <w:tcW w:w="791" w:type="dxa"/>
            <w:shd w:val="clear" w:color="auto" w:fill="auto"/>
            <w:vAlign w:val="center"/>
          </w:tcPr>
          <w:p w14:paraId="13369A57" w14:textId="77777777" w:rsidR="00D10BF7" w:rsidRPr="001A6F5D" w:rsidRDefault="00D10BF7" w:rsidP="00FA766E">
            <w:pPr>
              <w:pStyle w:val="Textocuadrocentrado"/>
              <w:rPr>
                <w:rFonts w:cstheme="minorBidi"/>
                <w:b/>
                <w:bCs/>
              </w:rPr>
            </w:pPr>
          </w:p>
        </w:tc>
      </w:tr>
      <w:tr w:rsidR="00D10BF7" w:rsidRPr="001A6F5D" w14:paraId="7B079224" w14:textId="77777777" w:rsidTr="00FC5FC6">
        <w:trPr>
          <w:cantSplit/>
          <w:jc w:val="center"/>
        </w:trPr>
        <w:tc>
          <w:tcPr>
            <w:tcW w:w="741" w:type="dxa"/>
            <w:gridSpan w:val="2"/>
            <w:shd w:val="clear" w:color="auto" w:fill="D9D9D9" w:themeFill="background1" w:themeFillShade="D9"/>
            <w:noWrap/>
            <w:vAlign w:val="center"/>
          </w:tcPr>
          <w:p w14:paraId="1213DE47" w14:textId="77777777" w:rsidR="00D10BF7" w:rsidRPr="001A6F5D" w:rsidRDefault="00D10BF7" w:rsidP="00FA766E">
            <w:pPr>
              <w:pStyle w:val="Textocuadro"/>
              <w:rPr>
                <w:rFonts w:cstheme="minorBidi"/>
                <w:b/>
                <w:szCs w:val="22"/>
              </w:rPr>
            </w:pPr>
          </w:p>
        </w:tc>
        <w:tc>
          <w:tcPr>
            <w:tcW w:w="3170" w:type="dxa"/>
            <w:shd w:val="clear" w:color="auto" w:fill="D9D9D9" w:themeFill="background1" w:themeFillShade="D9"/>
            <w:noWrap/>
            <w:vAlign w:val="center"/>
          </w:tcPr>
          <w:p w14:paraId="1F42FD32" w14:textId="77777777" w:rsidR="00D10BF7" w:rsidRPr="001A6F5D" w:rsidRDefault="00D10BF7" w:rsidP="00FA766E">
            <w:pPr>
              <w:pStyle w:val="Textocuadro"/>
              <w:rPr>
                <w:rFonts w:cstheme="minorBidi"/>
                <w:b/>
                <w:szCs w:val="22"/>
              </w:rPr>
            </w:pPr>
            <w:r>
              <w:rPr>
                <w:rFonts w:cstheme="minorBidi"/>
                <w:b/>
                <w:szCs w:val="22"/>
              </w:rPr>
              <w:t>Diseño</w:t>
            </w:r>
          </w:p>
        </w:tc>
        <w:tc>
          <w:tcPr>
            <w:tcW w:w="993" w:type="dxa"/>
            <w:shd w:val="clear" w:color="auto" w:fill="D9D9D9" w:themeFill="background1" w:themeFillShade="D9"/>
            <w:noWrap/>
            <w:vAlign w:val="center"/>
          </w:tcPr>
          <w:p w14:paraId="67F831DE" w14:textId="77777777" w:rsidR="00D10BF7" w:rsidRPr="001A6F5D" w:rsidRDefault="00D10BF7" w:rsidP="00FA766E">
            <w:pPr>
              <w:pStyle w:val="Textocuadrocentrado"/>
              <w:rPr>
                <w:rFonts w:cstheme="minorBidi"/>
                <w:b/>
                <w:szCs w:val="22"/>
              </w:rPr>
            </w:pPr>
          </w:p>
        </w:tc>
        <w:tc>
          <w:tcPr>
            <w:tcW w:w="708" w:type="dxa"/>
            <w:shd w:val="clear" w:color="auto" w:fill="D9D9D9" w:themeFill="background1" w:themeFillShade="D9"/>
            <w:vAlign w:val="center"/>
          </w:tcPr>
          <w:p w14:paraId="379DEF29" w14:textId="77777777" w:rsidR="00D10BF7" w:rsidRPr="001A6F5D" w:rsidRDefault="00D10BF7" w:rsidP="00FA766E">
            <w:pPr>
              <w:pStyle w:val="Textocuadrocentrado"/>
              <w:rPr>
                <w:rFonts w:cstheme="minorBidi"/>
                <w:b/>
                <w:szCs w:val="22"/>
              </w:rPr>
            </w:pPr>
            <w:r>
              <w:rPr>
                <w:rFonts w:cstheme="minorBidi"/>
                <w:b/>
                <w:szCs w:val="22"/>
              </w:rPr>
              <w:t>4</w:t>
            </w:r>
          </w:p>
        </w:tc>
        <w:tc>
          <w:tcPr>
            <w:tcW w:w="709" w:type="dxa"/>
            <w:shd w:val="clear" w:color="auto" w:fill="D9D9D9" w:themeFill="background1" w:themeFillShade="D9"/>
            <w:vAlign w:val="center"/>
          </w:tcPr>
          <w:p w14:paraId="40ECC5BF" w14:textId="77777777" w:rsidR="00D10BF7" w:rsidRPr="001A6F5D" w:rsidRDefault="00D10BF7" w:rsidP="00FA766E">
            <w:pPr>
              <w:pStyle w:val="Textocuadrocentrado"/>
              <w:rPr>
                <w:rFonts w:cstheme="minorBidi"/>
                <w:b/>
                <w:szCs w:val="22"/>
              </w:rPr>
            </w:pPr>
            <w:r>
              <w:rPr>
                <w:rFonts w:cstheme="minorBidi"/>
                <w:b/>
                <w:szCs w:val="22"/>
              </w:rPr>
              <w:t>4</w:t>
            </w:r>
          </w:p>
        </w:tc>
        <w:tc>
          <w:tcPr>
            <w:tcW w:w="1051" w:type="dxa"/>
            <w:shd w:val="clear" w:color="auto" w:fill="D9D9D9" w:themeFill="background1" w:themeFillShade="D9"/>
            <w:vAlign w:val="center"/>
          </w:tcPr>
          <w:p w14:paraId="566AFFA9" w14:textId="77777777" w:rsidR="00D10BF7" w:rsidRPr="001A6F5D" w:rsidRDefault="00D10BF7" w:rsidP="00FA766E">
            <w:pPr>
              <w:pStyle w:val="Textocuadrocentrado"/>
              <w:rPr>
                <w:rFonts w:cstheme="minorBidi"/>
                <w:b/>
                <w:szCs w:val="22"/>
              </w:rPr>
            </w:pPr>
          </w:p>
        </w:tc>
        <w:tc>
          <w:tcPr>
            <w:tcW w:w="558" w:type="dxa"/>
            <w:shd w:val="clear" w:color="auto" w:fill="D9D9D9" w:themeFill="background1" w:themeFillShade="D9"/>
            <w:vAlign w:val="center"/>
          </w:tcPr>
          <w:p w14:paraId="61DED6FA" w14:textId="77777777" w:rsidR="00D10BF7" w:rsidRPr="001A6F5D" w:rsidRDefault="00FC5FC6" w:rsidP="00FA766E">
            <w:pPr>
              <w:pStyle w:val="Textocuadrocentrado"/>
              <w:rPr>
                <w:rFonts w:cstheme="minorBidi"/>
                <w:b/>
                <w:szCs w:val="22"/>
              </w:rPr>
            </w:pPr>
            <w:r>
              <w:rPr>
                <w:rFonts w:cstheme="minorBidi"/>
                <w:b/>
                <w:szCs w:val="22"/>
              </w:rPr>
              <w:t>4</w:t>
            </w:r>
          </w:p>
        </w:tc>
        <w:tc>
          <w:tcPr>
            <w:tcW w:w="791" w:type="dxa"/>
            <w:shd w:val="clear" w:color="auto" w:fill="D9D9D9" w:themeFill="background1" w:themeFillShade="D9"/>
            <w:vAlign w:val="center"/>
          </w:tcPr>
          <w:p w14:paraId="3CEA13D4" w14:textId="77777777" w:rsidR="00D10BF7" w:rsidRPr="001A6F5D" w:rsidRDefault="00FC5FC6" w:rsidP="00FA766E">
            <w:pPr>
              <w:pStyle w:val="Textocuadrocentrado"/>
              <w:rPr>
                <w:rFonts w:cstheme="minorBidi"/>
                <w:b/>
                <w:szCs w:val="22"/>
              </w:rPr>
            </w:pPr>
            <w:r>
              <w:rPr>
                <w:rFonts w:cstheme="minorBidi"/>
                <w:b/>
                <w:szCs w:val="22"/>
              </w:rPr>
              <w:t>4</w:t>
            </w:r>
          </w:p>
        </w:tc>
      </w:tr>
      <w:tr w:rsidR="00D10BF7" w:rsidRPr="0043350C" w14:paraId="29F0D0BB" w14:textId="77777777" w:rsidTr="00FC5FC6">
        <w:trPr>
          <w:cantSplit/>
          <w:trHeight w:val="68"/>
          <w:jc w:val="center"/>
        </w:trPr>
        <w:tc>
          <w:tcPr>
            <w:tcW w:w="741" w:type="dxa"/>
            <w:gridSpan w:val="2"/>
            <w:shd w:val="clear" w:color="auto" w:fill="auto"/>
            <w:noWrap/>
            <w:vAlign w:val="center"/>
          </w:tcPr>
          <w:p w14:paraId="6C7E5F05" w14:textId="77777777" w:rsidR="00D10BF7" w:rsidRPr="0043350C" w:rsidRDefault="00D10BF7" w:rsidP="00FA766E">
            <w:pPr>
              <w:pStyle w:val="Textocuadro"/>
            </w:pPr>
          </w:p>
        </w:tc>
        <w:tc>
          <w:tcPr>
            <w:tcW w:w="3170" w:type="dxa"/>
            <w:shd w:val="clear" w:color="auto" w:fill="auto"/>
            <w:noWrap/>
            <w:vAlign w:val="center"/>
          </w:tcPr>
          <w:p w14:paraId="47102B0B" w14:textId="77777777" w:rsidR="00D10BF7" w:rsidRPr="0043350C" w:rsidRDefault="00FC5FC6" w:rsidP="00FC5FC6">
            <w:pPr>
              <w:pStyle w:val="Textocuadro"/>
            </w:pPr>
            <w:r>
              <w:t>04</w:t>
            </w:r>
            <w:r w:rsidR="00D10BF7" w:rsidRPr="0043350C">
              <w:t xml:space="preserve"> – </w:t>
            </w:r>
            <w:r>
              <w:t>Gobernación</w:t>
            </w:r>
          </w:p>
        </w:tc>
        <w:tc>
          <w:tcPr>
            <w:tcW w:w="993" w:type="dxa"/>
            <w:shd w:val="clear" w:color="auto" w:fill="FFFFFF" w:themeFill="background1"/>
            <w:noWrap/>
            <w:vAlign w:val="center"/>
          </w:tcPr>
          <w:p w14:paraId="525011F2" w14:textId="77777777" w:rsidR="00D10BF7" w:rsidRPr="0043350C" w:rsidRDefault="00D10BF7" w:rsidP="00FA766E">
            <w:pPr>
              <w:pStyle w:val="Textocuadrocentrado"/>
            </w:pPr>
          </w:p>
        </w:tc>
        <w:tc>
          <w:tcPr>
            <w:tcW w:w="708" w:type="dxa"/>
            <w:shd w:val="clear" w:color="auto" w:fill="FFFFFF" w:themeFill="background1"/>
            <w:vAlign w:val="center"/>
          </w:tcPr>
          <w:p w14:paraId="64CD5FA8" w14:textId="77777777" w:rsidR="00D10BF7" w:rsidRPr="0043350C" w:rsidRDefault="00D10BF7" w:rsidP="00FA766E">
            <w:pPr>
              <w:pStyle w:val="Textocuadrocentrado"/>
            </w:pPr>
            <w:r>
              <w:t>2</w:t>
            </w:r>
          </w:p>
        </w:tc>
        <w:tc>
          <w:tcPr>
            <w:tcW w:w="709" w:type="dxa"/>
            <w:tcBorders>
              <w:right w:val="single" w:sz="4" w:space="0" w:color="auto"/>
            </w:tcBorders>
            <w:shd w:val="clear" w:color="auto" w:fill="FFFFFF" w:themeFill="background1"/>
            <w:vAlign w:val="center"/>
          </w:tcPr>
          <w:p w14:paraId="35DB9BB4" w14:textId="77777777" w:rsidR="00D10BF7" w:rsidRPr="0043350C" w:rsidRDefault="00D10BF7" w:rsidP="00FA766E">
            <w:pPr>
              <w:pStyle w:val="Textocuadrocentrado"/>
            </w:pPr>
            <w:r>
              <w:t>2</w:t>
            </w:r>
          </w:p>
        </w:tc>
        <w:tc>
          <w:tcPr>
            <w:tcW w:w="1051" w:type="dxa"/>
            <w:tcBorders>
              <w:left w:val="single" w:sz="4" w:space="0" w:color="auto"/>
            </w:tcBorders>
            <w:shd w:val="clear" w:color="auto" w:fill="FFFFFF" w:themeFill="background1"/>
            <w:vAlign w:val="center"/>
          </w:tcPr>
          <w:p w14:paraId="44F122E7" w14:textId="77777777" w:rsidR="00D10BF7" w:rsidRPr="0043350C" w:rsidRDefault="00D10BF7" w:rsidP="00FA766E">
            <w:pPr>
              <w:pStyle w:val="Textocuadrocentrado"/>
            </w:pPr>
          </w:p>
        </w:tc>
        <w:tc>
          <w:tcPr>
            <w:tcW w:w="558" w:type="dxa"/>
            <w:shd w:val="clear" w:color="auto" w:fill="FFFFFF" w:themeFill="background1"/>
            <w:vAlign w:val="center"/>
          </w:tcPr>
          <w:p w14:paraId="71D4E1F0" w14:textId="77777777" w:rsidR="00D10BF7" w:rsidRPr="0043350C" w:rsidRDefault="00D10BF7" w:rsidP="00FA766E">
            <w:pPr>
              <w:pStyle w:val="Textocuadrocentrado"/>
            </w:pPr>
            <w:r>
              <w:t>2</w:t>
            </w:r>
          </w:p>
        </w:tc>
        <w:tc>
          <w:tcPr>
            <w:tcW w:w="791" w:type="dxa"/>
            <w:shd w:val="clear" w:color="auto" w:fill="FFFFFF" w:themeFill="background1"/>
            <w:vAlign w:val="center"/>
          </w:tcPr>
          <w:p w14:paraId="0EECB538" w14:textId="77777777" w:rsidR="00D10BF7" w:rsidRPr="0043350C" w:rsidRDefault="00D10BF7" w:rsidP="00FA766E">
            <w:pPr>
              <w:pStyle w:val="Textocuadrocentrado"/>
            </w:pPr>
            <w:r>
              <w:t>2</w:t>
            </w:r>
          </w:p>
        </w:tc>
      </w:tr>
      <w:tr w:rsidR="00D10BF7" w:rsidRPr="0043350C" w14:paraId="3FE1773D" w14:textId="77777777" w:rsidTr="00FC5FC6">
        <w:trPr>
          <w:cantSplit/>
          <w:trHeight w:val="68"/>
          <w:jc w:val="center"/>
        </w:trPr>
        <w:tc>
          <w:tcPr>
            <w:tcW w:w="741" w:type="dxa"/>
            <w:gridSpan w:val="2"/>
            <w:shd w:val="clear" w:color="auto" w:fill="auto"/>
            <w:noWrap/>
            <w:vAlign w:val="center"/>
          </w:tcPr>
          <w:p w14:paraId="16844FEE" w14:textId="77777777" w:rsidR="00D10BF7" w:rsidRPr="0043350C" w:rsidRDefault="00D10BF7" w:rsidP="00FA766E">
            <w:pPr>
              <w:pStyle w:val="Textocuadro"/>
            </w:pPr>
          </w:p>
        </w:tc>
        <w:tc>
          <w:tcPr>
            <w:tcW w:w="3170" w:type="dxa"/>
            <w:shd w:val="clear" w:color="auto" w:fill="auto"/>
            <w:noWrap/>
            <w:vAlign w:val="center"/>
          </w:tcPr>
          <w:p w14:paraId="6CFB2790" w14:textId="77777777" w:rsidR="00D10BF7" w:rsidRPr="0043350C" w:rsidRDefault="00D10BF7" w:rsidP="00FC5FC6">
            <w:pPr>
              <w:pStyle w:val="Textocuadro"/>
            </w:pPr>
            <w:r w:rsidRPr="0043350C">
              <w:t>1</w:t>
            </w:r>
            <w:r w:rsidR="00FC5FC6">
              <w:t>1</w:t>
            </w:r>
            <w:r w:rsidRPr="0043350C">
              <w:t xml:space="preserve"> – </w:t>
            </w:r>
            <w:r w:rsidR="00FC5FC6">
              <w:t>Educación Pública</w:t>
            </w:r>
          </w:p>
        </w:tc>
        <w:tc>
          <w:tcPr>
            <w:tcW w:w="993" w:type="dxa"/>
            <w:shd w:val="clear" w:color="auto" w:fill="FFFFFF" w:themeFill="background1"/>
            <w:noWrap/>
            <w:vAlign w:val="center"/>
          </w:tcPr>
          <w:p w14:paraId="7A29B1CD" w14:textId="77777777" w:rsidR="00D10BF7" w:rsidRPr="0043350C" w:rsidRDefault="00D10BF7" w:rsidP="00FA766E">
            <w:pPr>
              <w:pStyle w:val="Textocuadrocentrado"/>
            </w:pPr>
          </w:p>
        </w:tc>
        <w:tc>
          <w:tcPr>
            <w:tcW w:w="708" w:type="dxa"/>
            <w:shd w:val="clear" w:color="auto" w:fill="FFFFFF" w:themeFill="background1"/>
            <w:vAlign w:val="center"/>
          </w:tcPr>
          <w:p w14:paraId="2C96F44B" w14:textId="77777777" w:rsidR="00D10BF7" w:rsidRDefault="00D10BF7" w:rsidP="00FA766E">
            <w:pPr>
              <w:pStyle w:val="Textocuadrocentrado"/>
            </w:pPr>
            <w:r>
              <w:t>1</w:t>
            </w:r>
          </w:p>
        </w:tc>
        <w:tc>
          <w:tcPr>
            <w:tcW w:w="709" w:type="dxa"/>
            <w:tcBorders>
              <w:right w:val="single" w:sz="4" w:space="0" w:color="auto"/>
            </w:tcBorders>
            <w:shd w:val="clear" w:color="auto" w:fill="FFFFFF" w:themeFill="background1"/>
            <w:vAlign w:val="center"/>
          </w:tcPr>
          <w:p w14:paraId="3626AD99" w14:textId="77777777" w:rsidR="00D10BF7" w:rsidRDefault="00D10BF7" w:rsidP="00FA766E">
            <w:pPr>
              <w:pStyle w:val="Textocuadrocentrado"/>
            </w:pPr>
            <w:r>
              <w:t>1</w:t>
            </w:r>
          </w:p>
        </w:tc>
        <w:tc>
          <w:tcPr>
            <w:tcW w:w="1051" w:type="dxa"/>
            <w:tcBorders>
              <w:left w:val="single" w:sz="4" w:space="0" w:color="auto"/>
            </w:tcBorders>
            <w:shd w:val="clear" w:color="auto" w:fill="FFFFFF" w:themeFill="background1"/>
            <w:vAlign w:val="center"/>
          </w:tcPr>
          <w:p w14:paraId="04DEA3F2" w14:textId="77777777" w:rsidR="00D10BF7" w:rsidRPr="0043350C" w:rsidRDefault="00D10BF7" w:rsidP="00FA766E">
            <w:pPr>
              <w:pStyle w:val="Textocuadrocentrado"/>
            </w:pPr>
          </w:p>
        </w:tc>
        <w:tc>
          <w:tcPr>
            <w:tcW w:w="558" w:type="dxa"/>
            <w:shd w:val="clear" w:color="auto" w:fill="FFFFFF" w:themeFill="background1"/>
            <w:vAlign w:val="center"/>
          </w:tcPr>
          <w:p w14:paraId="6C443AD3" w14:textId="77777777" w:rsidR="00D10BF7" w:rsidRDefault="00D10BF7" w:rsidP="00FA766E">
            <w:pPr>
              <w:pStyle w:val="Textocuadrocentrado"/>
            </w:pPr>
            <w:r>
              <w:t>1</w:t>
            </w:r>
          </w:p>
        </w:tc>
        <w:tc>
          <w:tcPr>
            <w:tcW w:w="791" w:type="dxa"/>
            <w:shd w:val="clear" w:color="auto" w:fill="FFFFFF" w:themeFill="background1"/>
            <w:vAlign w:val="center"/>
          </w:tcPr>
          <w:p w14:paraId="1091AE89" w14:textId="77777777" w:rsidR="00D10BF7" w:rsidRDefault="00D10BF7" w:rsidP="00FA766E">
            <w:pPr>
              <w:pStyle w:val="Textocuadrocentrado"/>
            </w:pPr>
            <w:r>
              <w:t>1</w:t>
            </w:r>
          </w:p>
        </w:tc>
      </w:tr>
      <w:tr w:rsidR="00D10BF7" w:rsidRPr="0043350C" w14:paraId="4314EE78" w14:textId="77777777" w:rsidTr="00FC5FC6">
        <w:trPr>
          <w:cantSplit/>
          <w:trHeight w:val="68"/>
          <w:jc w:val="center"/>
        </w:trPr>
        <w:tc>
          <w:tcPr>
            <w:tcW w:w="741" w:type="dxa"/>
            <w:gridSpan w:val="2"/>
            <w:shd w:val="clear" w:color="auto" w:fill="auto"/>
            <w:noWrap/>
            <w:vAlign w:val="center"/>
          </w:tcPr>
          <w:p w14:paraId="47A84536" w14:textId="77777777" w:rsidR="00D10BF7" w:rsidRPr="0043350C" w:rsidRDefault="00D10BF7" w:rsidP="00FA766E">
            <w:pPr>
              <w:pStyle w:val="Textocuadro"/>
            </w:pPr>
          </w:p>
        </w:tc>
        <w:tc>
          <w:tcPr>
            <w:tcW w:w="3170" w:type="dxa"/>
            <w:shd w:val="clear" w:color="auto" w:fill="auto"/>
            <w:noWrap/>
            <w:vAlign w:val="center"/>
          </w:tcPr>
          <w:p w14:paraId="1D741198" w14:textId="77777777" w:rsidR="00D10BF7" w:rsidRPr="0043350C" w:rsidRDefault="00FC5FC6" w:rsidP="00FC5FC6">
            <w:pPr>
              <w:pStyle w:val="Textocuadro"/>
            </w:pPr>
            <w:r>
              <w:t>18</w:t>
            </w:r>
            <w:r w:rsidR="00D10BF7" w:rsidRPr="0043350C">
              <w:t xml:space="preserve"> – </w:t>
            </w:r>
            <w:r>
              <w:t>Energía</w:t>
            </w:r>
          </w:p>
        </w:tc>
        <w:tc>
          <w:tcPr>
            <w:tcW w:w="993" w:type="dxa"/>
            <w:shd w:val="clear" w:color="auto" w:fill="FFFFFF" w:themeFill="background1"/>
            <w:noWrap/>
            <w:vAlign w:val="center"/>
          </w:tcPr>
          <w:p w14:paraId="08D3BA0E" w14:textId="77777777" w:rsidR="00D10BF7" w:rsidRPr="0043350C" w:rsidRDefault="00D10BF7" w:rsidP="00FA766E">
            <w:pPr>
              <w:pStyle w:val="Textocuadrocentrado"/>
            </w:pPr>
          </w:p>
        </w:tc>
        <w:tc>
          <w:tcPr>
            <w:tcW w:w="708" w:type="dxa"/>
            <w:shd w:val="clear" w:color="auto" w:fill="FFFFFF" w:themeFill="background1"/>
            <w:vAlign w:val="center"/>
          </w:tcPr>
          <w:p w14:paraId="3D9569A7" w14:textId="77777777" w:rsidR="00D10BF7" w:rsidRDefault="00D10BF7" w:rsidP="00FA766E">
            <w:pPr>
              <w:pStyle w:val="Textocuadrocentrado"/>
            </w:pPr>
            <w:r>
              <w:t>1</w:t>
            </w:r>
          </w:p>
        </w:tc>
        <w:tc>
          <w:tcPr>
            <w:tcW w:w="709" w:type="dxa"/>
            <w:tcBorders>
              <w:right w:val="single" w:sz="4" w:space="0" w:color="auto"/>
            </w:tcBorders>
            <w:shd w:val="clear" w:color="auto" w:fill="FFFFFF" w:themeFill="background1"/>
            <w:vAlign w:val="center"/>
          </w:tcPr>
          <w:p w14:paraId="2802F8D9" w14:textId="77777777" w:rsidR="00D10BF7" w:rsidRDefault="00D10BF7" w:rsidP="00FA766E">
            <w:pPr>
              <w:pStyle w:val="Textocuadrocentrado"/>
            </w:pPr>
            <w:r>
              <w:t>1</w:t>
            </w:r>
          </w:p>
        </w:tc>
        <w:tc>
          <w:tcPr>
            <w:tcW w:w="1051" w:type="dxa"/>
            <w:tcBorders>
              <w:left w:val="single" w:sz="4" w:space="0" w:color="auto"/>
            </w:tcBorders>
            <w:shd w:val="clear" w:color="auto" w:fill="FFFFFF" w:themeFill="background1"/>
            <w:vAlign w:val="center"/>
          </w:tcPr>
          <w:p w14:paraId="151153C2" w14:textId="77777777" w:rsidR="00D10BF7" w:rsidRPr="0043350C" w:rsidRDefault="00D10BF7" w:rsidP="00FA766E">
            <w:pPr>
              <w:pStyle w:val="Textocuadrocentrado"/>
            </w:pPr>
          </w:p>
        </w:tc>
        <w:tc>
          <w:tcPr>
            <w:tcW w:w="558" w:type="dxa"/>
            <w:shd w:val="clear" w:color="auto" w:fill="FFFFFF" w:themeFill="background1"/>
            <w:vAlign w:val="center"/>
          </w:tcPr>
          <w:p w14:paraId="54C6F26C" w14:textId="77777777" w:rsidR="00D10BF7" w:rsidRDefault="00D10BF7" w:rsidP="00FA766E">
            <w:pPr>
              <w:pStyle w:val="Textocuadrocentrado"/>
            </w:pPr>
            <w:r>
              <w:t>1</w:t>
            </w:r>
          </w:p>
        </w:tc>
        <w:tc>
          <w:tcPr>
            <w:tcW w:w="791" w:type="dxa"/>
            <w:shd w:val="clear" w:color="auto" w:fill="FFFFFF" w:themeFill="background1"/>
            <w:vAlign w:val="center"/>
          </w:tcPr>
          <w:p w14:paraId="6F4EF4DE" w14:textId="77777777" w:rsidR="00D10BF7" w:rsidRDefault="00D10BF7" w:rsidP="00FA766E">
            <w:pPr>
              <w:pStyle w:val="Textocuadrocentrado"/>
            </w:pPr>
            <w:r>
              <w:t>1</w:t>
            </w:r>
          </w:p>
        </w:tc>
      </w:tr>
      <w:tr w:rsidR="00D10BF7" w:rsidRPr="001A6F5D" w14:paraId="3A922A60" w14:textId="77777777" w:rsidTr="00FC5FC6">
        <w:trPr>
          <w:cantSplit/>
          <w:jc w:val="center"/>
        </w:trPr>
        <w:tc>
          <w:tcPr>
            <w:tcW w:w="741" w:type="dxa"/>
            <w:gridSpan w:val="2"/>
            <w:shd w:val="clear" w:color="auto" w:fill="D9D9D9" w:themeFill="background1" w:themeFillShade="D9"/>
            <w:noWrap/>
            <w:vAlign w:val="center"/>
          </w:tcPr>
          <w:p w14:paraId="150D5B52" w14:textId="77777777" w:rsidR="00D10BF7" w:rsidRPr="001A6F5D" w:rsidRDefault="00D10BF7" w:rsidP="00FA766E">
            <w:pPr>
              <w:pStyle w:val="Textocuadro"/>
              <w:rPr>
                <w:rFonts w:cstheme="minorBidi"/>
                <w:b/>
                <w:szCs w:val="22"/>
              </w:rPr>
            </w:pPr>
          </w:p>
        </w:tc>
        <w:tc>
          <w:tcPr>
            <w:tcW w:w="3170" w:type="dxa"/>
            <w:shd w:val="clear" w:color="auto" w:fill="D9D9D9" w:themeFill="background1" w:themeFillShade="D9"/>
            <w:noWrap/>
            <w:vAlign w:val="center"/>
          </w:tcPr>
          <w:p w14:paraId="3C751794" w14:textId="77777777" w:rsidR="00D10BF7" w:rsidRPr="001A6F5D" w:rsidRDefault="00D10BF7" w:rsidP="00FA766E">
            <w:pPr>
              <w:pStyle w:val="Textocuadro"/>
              <w:rPr>
                <w:rFonts w:cstheme="minorBidi"/>
                <w:b/>
                <w:szCs w:val="22"/>
              </w:rPr>
            </w:pPr>
            <w:r w:rsidRPr="001A6F5D">
              <w:rPr>
                <w:rFonts w:cstheme="minorBidi"/>
                <w:b/>
                <w:szCs w:val="22"/>
              </w:rPr>
              <w:t>Consistencia y Resultados</w:t>
            </w:r>
          </w:p>
        </w:tc>
        <w:tc>
          <w:tcPr>
            <w:tcW w:w="993" w:type="dxa"/>
            <w:shd w:val="clear" w:color="auto" w:fill="D9D9D9" w:themeFill="background1" w:themeFillShade="D9"/>
            <w:noWrap/>
            <w:vAlign w:val="center"/>
          </w:tcPr>
          <w:p w14:paraId="73166AD8" w14:textId="77777777" w:rsidR="00D10BF7" w:rsidRPr="001A6F5D" w:rsidRDefault="00D10BF7" w:rsidP="00FA766E">
            <w:pPr>
              <w:pStyle w:val="Textocuadrocentrado"/>
              <w:rPr>
                <w:rFonts w:cstheme="minorBidi"/>
                <w:b/>
                <w:szCs w:val="22"/>
              </w:rPr>
            </w:pPr>
          </w:p>
        </w:tc>
        <w:tc>
          <w:tcPr>
            <w:tcW w:w="708" w:type="dxa"/>
            <w:shd w:val="clear" w:color="auto" w:fill="D9D9D9" w:themeFill="background1" w:themeFillShade="D9"/>
            <w:vAlign w:val="center"/>
          </w:tcPr>
          <w:p w14:paraId="3E0DD7C1" w14:textId="77777777" w:rsidR="00D10BF7" w:rsidRPr="001A6F5D" w:rsidRDefault="00D10BF7" w:rsidP="00FA766E">
            <w:pPr>
              <w:pStyle w:val="Textocuadrocentrado"/>
              <w:rPr>
                <w:rFonts w:cstheme="minorBidi"/>
                <w:b/>
                <w:szCs w:val="22"/>
              </w:rPr>
            </w:pPr>
            <w:r>
              <w:rPr>
                <w:rFonts w:cstheme="minorBidi"/>
                <w:b/>
                <w:szCs w:val="22"/>
              </w:rPr>
              <w:t>5</w:t>
            </w:r>
          </w:p>
        </w:tc>
        <w:tc>
          <w:tcPr>
            <w:tcW w:w="709" w:type="dxa"/>
            <w:tcBorders>
              <w:right w:val="single" w:sz="4" w:space="0" w:color="auto"/>
            </w:tcBorders>
            <w:shd w:val="clear" w:color="auto" w:fill="D9D9D9" w:themeFill="background1" w:themeFillShade="D9"/>
            <w:vAlign w:val="center"/>
          </w:tcPr>
          <w:p w14:paraId="341AE78C" w14:textId="77777777" w:rsidR="00D10BF7" w:rsidRPr="001A6F5D" w:rsidRDefault="00D10BF7" w:rsidP="00FA766E">
            <w:pPr>
              <w:pStyle w:val="Textocuadrocentrado"/>
              <w:rPr>
                <w:rFonts w:cstheme="minorBidi"/>
                <w:b/>
                <w:szCs w:val="22"/>
              </w:rPr>
            </w:pPr>
            <w:r>
              <w:rPr>
                <w:rFonts w:cstheme="minorBidi"/>
                <w:b/>
                <w:szCs w:val="22"/>
              </w:rPr>
              <w:t>5</w:t>
            </w:r>
          </w:p>
        </w:tc>
        <w:tc>
          <w:tcPr>
            <w:tcW w:w="1051" w:type="dxa"/>
            <w:tcBorders>
              <w:left w:val="single" w:sz="4" w:space="0" w:color="auto"/>
            </w:tcBorders>
            <w:shd w:val="clear" w:color="auto" w:fill="D9D9D9" w:themeFill="background1" w:themeFillShade="D9"/>
            <w:vAlign w:val="center"/>
          </w:tcPr>
          <w:p w14:paraId="0731B6F0" w14:textId="77777777" w:rsidR="00D10BF7" w:rsidRPr="001A6F5D" w:rsidRDefault="00D10BF7" w:rsidP="00FA766E">
            <w:pPr>
              <w:pStyle w:val="Textocuadrocentrado"/>
              <w:rPr>
                <w:rFonts w:cstheme="minorBidi"/>
                <w:b/>
                <w:szCs w:val="22"/>
              </w:rPr>
            </w:pPr>
          </w:p>
        </w:tc>
        <w:tc>
          <w:tcPr>
            <w:tcW w:w="558" w:type="dxa"/>
            <w:shd w:val="clear" w:color="auto" w:fill="D9D9D9" w:themeFill="background1" w:themeFillShade="D9"/>
            <w:vAlign w:val="center"/>
          </w:tcPr>
          <w:p w14:paraId="1943B6D5" w14:textId="77777777" w:rsidR="00D10BF7" w:rsidRPr="001A6F5D" w:rsidRDefault="00D10BF7" w:rsidP="00FA766E">
            <w:pPr>
              <w:pStyle w:val="Textocuadrocentrado"/>
              <w:rPr>
                <w:rFonts w:cstheme="minorBidi"/>
                <w:b/>
                <w:szCs w:val="22"/>
              </w:rPr>
            </w:pPr>
            <w:r>
              <w:rPr>
                <w:rFonts w:cstheme="minorBidi"/>
                <w:b/>
                <w:szCs w:val="22"/>
              </w:rPr>
              <w:t>5</w:t>
            </w:r>
          </w:p>
        </w:tc>
        <w:tc>
          <w:tcPr>
            <w:tcW w:w="791" w:type="dxa"/>
            <w:shd w:val="clear" w:color="auto" w:fill="D9D9D9" w:themeFill="background1" w:themeFillShade="D9"/>
            <w:vAlign w:val="center"/>
          </w:tcPr>
          <w:p w14:paraId="55C9D235" w14:textId="77777777" w:rsidR="00D10BF7" w:rsidRPr="001A6F5D" w:rsidRDefault="00D10BF7" w:rsidP="00FA766E">
            <w:pPr>
              <w:pStyle w:val="Textocuadrocentrado"/>
              <w:rPr>
                <w:rFonts w:cstheme="minorBidi"/>
                <w:b/>
                <w:szCs w:val="22"/>
              </w:rPr>
            </w:pPr>
            <w:r>
              <w:rPr>
                <w:rFonts w:cstheme="minorBidi"/>
                <w:b/>
                <w:szCs w:val="22"/>
              </w:rPr>
              <w:t>5</w:t>
            </w:r>
          </w:p>
        </w:tc>
      </w:tr>
      <w:tr w:rsidR="00D10BF7" w:rsidRPr="0043350C" w14:paraId="7D0EC6B0" w14:textId="77777777" w:rsidTr="00FC5FC6">
        <w:trPr>
          <w:cantSplit/>
          <w:jc w:val="center"/>
        </w:trPr>
        <w:tc>
          <w:tcPr>
            <w:tcW w:w="741" w:type="dxa"/>
            <w:gridSpan w:val="2"/>
            <w:shd w:val="clear" w:color="auto" w:fill="auto"/>
            <w:noWrap/>
            <w:vAlign w:val="center"/>
          </w:tcPr>
          <w:p w14:paraId="147066AA" w14:textId="77777777" w:rsidR="00D10BF7" w:rsidRPr="0043350C" w:rsidRDefault="00D10BF7" w:rsidP="00FA766E">
            <w:pPr>
              <w:pStyle w:val="Textocuadro"/>
            </w:pPr>
          </w:p>
        </w:tc>
        <w:tc>
          <w:tcPr>
            <w:tcW w:w="3170" w:type="dxa"/>
            <w:shd w:val="clear" w:color="auto" w:fill="auto"/>
            <w:noWrap/>
            <w:vAlign w:val="center"/>
          </w:tcPr>
          <w:p w14:paraId="371F4DAB" w14:textId="77777777" w:rsidR="00D10BF7" w:rsidRPr="0043350C" w:rsidRDefault="00D10BF7" w:rsidP="00FC5FC6">
            <w:pPr>
              <w:pStyle w:val="Textocuadro"/>
            </w:pPr>
            <w:r w:rsidRPr="0043350C">
              <w:t>0</w:t>
            </w:r>
            <w:r w:rsidR="00FC5FC6">
              <w:t>4</w:t>
            </w:r>
            <w:r w:rsidRPr="0043350C">
              <w:t xml:space="preserve"> – </w:t>
            </w:r>
            <w:r w:rsidR="00FC5FC6">
              <w:t>Gobernación</w:t>
            </w:r>
          </w:p>
        </w:tc>
        <w:tc>
          <w:tcPr>
            <w:tcW w:w="993" w:type="dxa"/>
            <w:shd w:val="clear" w:color="auto" w:fill="FFFFFF" w:themeFill="background1"/>
            <w:noWrap/>
            <w:vAlign w:val="center"/>
          </w:tcPr>
          <w:p w14:paraId="46F35EA8" w14:textId="77777777" w:rsidR="00D10BF7" w:rsidRPr="0043350C" w:rsidRDefault="00D10BF7" w:rsidP="00FA766E">
            <w:pPr>
              <w:pStyle w:val="Textocuadrocentrado"/>
              <w:rPr>
                <w:rFonts w:cstheme="minorBidi"/>
              </w:rPr>
            </w:pPr>
          </w:p>
        </w:tc>
        <w:tc>
          <w:tcPr>
            <w:tcW w:w="708" w:type="dxa"/>
            <w:shd w:val="clear" w:color="auto" w:fill="FFFFFF" w:themeFill="background1"/>
            <w:vAlign w:val="center"/>
          </w:tcPr>
          <w:p w14:paraId="01831C17" w14:textId="77777777" w:rsidR="00D10BF7" w:rsidRPr="0043350C" w:rsidRDefault="00FC5FC6" w:rsidP="00FA766E">
            <w:pPr>
              <w:pStyle w:val="Textocuadrocentrado"/>
              <w:rPr>
                <w:rFonts w:cstheme="minorBidi"/>
              </w:rPr>
            </w:pPr>
            <w:r>
              <w:rPr>
                <w:rFonts w:cstheme="minorBidi"/>
              </w:rPr>
              <w:t>2</w:t>
            </w:r>
          </w:p>
        </w:tc>
        <w:tc>
          <w:tcPr>
            <w:tcW w:w="709" w:type="dxa"/>
            <w:tcBorders>
              <w:right w:val="single" w:sz="4" w:space="0" w:color="auto"/>
            </w:tcBorders>
            <w:shd w:val="clear" w:color="auto" w:fill="FFFFFF" w:themeFill="background1"/>
            <w:vAlign w:val="center"/>
          </w:tcPr>
          <w:p w14:paraId="1DD955A8" w14:textId="77777777" w:rsidR="00D10BF7" w:rsidRPr="0043350C" w:rsidRDefault="00FC5FC6" w:rsidP="00FA766E">
            <w:pPr>
              <w:pStyle w:val="Textocuadrocentrado"/>
              <w:rPr>
                <w:rFonts w:cstheme="minorBidi"/>
              </w:rPr>
            </w:pPr>
            <w:r>
              <w:rPr>
                <w:rFonts w:cstheme="minorBidi"/>
              </w:rPr>
              <w:t>2</w:t>
            </w:r>
          </w:p>
        </w:tc>
        <w:tc>
          <w:tcPr>
            <w:tcW w:w="1051" w:type="dxa"/>
            <w:tcBorders>
              <w:left w:val="single" w:sz="4" w:space="0" w:color="auto"/>
            </w:tcBorders>
            <w:shd w:val="clear" w:color="auto" w:fill="FFFFFF" w:themeFill="background1"/>
            <w:vAlign w:val="center"/>
          </w:tcPr>
          <w:p w14:paraId="35B7C375" w14:textId="77777777" w:rsidR="00D10BF7" w:rsidRPr="0043350C" w:rsidRDefault="00D10BF7" w:rsidP="00FA766E">
            <w:pPr>
              <w:pStyle w:val="Textocuadrocentrado"/>
              <w:rPr>
                <w:rFonts w:cstheme="minorBidi"/>
              </w:rPr>
            </w:pPr>
          </w:p>
        </w:tc>
        <w:tc>
          <w:tcPr>
            <w:tcW w:w="558" w:type="dxa"/>
            <w:shd w:val="clear" w:color="auto" w:fill="FFFFFF" w:themeFill="background1"/>
            <w:vAlign w:val="center"/>
          </w:tcPr>
          <w:p w14:paraId="65D23209" w14:textId="77777777" w:rsidR="00D10BF7" w:rsidRPr="0043350C" w:rsidRDefault="00FC5FC6" w:rsidP="00FA766E">
            <w:pPr>
              <w:pStyle w:val="Textocuadrocentrado"/>
              <w:rPr>
                <w:rFonts w:cstheme="minorBidi"/>
              </w:rPr>
            </w:pPr>
            <w:r>
              <w:rPr>
                <w:rFonts w:cstheme="minorBidi"/>
              </w:rPr>
              <w:t>2</w:t>
            </w:r>
          </w:p>
        </w:tc>
        <w:tc>
          <w:tcPr>
            <w:tcW w:w="791" w:type="dxa"/>
            <w:shd w:val="clear" w:color="auto" w:fill="FFFFFF" w:themeFill="background1"/>
            <w:vAlign w:val="center"/>
          </w:tcPr>
          <w:p w14:paraId="4BD67336" w14:textId="77777777" w:rsidR="00D10BF7" w:rsidRPr="0043350C" w:rsidRDefault="00FC5FC6" w:rsidP="00FA766E">
            <w:pPr>
              <w:pStyle w:val="Textocuadrocentrado"/>
              <w:rPr>
                <w:rFonts w:cstheme="minorBidi"/>
              </w:rPr>
            </w:pPr>
            <w:r>
              <w:rPr>
                <w:rFonts w:cstheme="minorBidi"/>
              </w:rPr>
              <w:t>2</w:t>
            </w:r>
          </w:p>
        </w:tc>
      </w:tr>
      <w:tr w:rsidR="00D10BF7" w:rsidRPr="0043350C" w14:paraId="6ABCA021" w14:textId="77777777" w:rsidTr="00FC5FC6">
        <w:trPr>
          <w:cantSplit/>
          <w:jc w:val="center"/>
        </w:trPr>
        <w:tc>
          <w:tcPr>
            <w:tcW w:w="741" w:type="dxa"/>
            <w:gridSpan w:val="2"/>
            <w:shd w:val="clear" w:color="auto" w:fill="auto"/>
            <w:noWrap/>
            <w:vAlign w:val="center"/>
          </w:tcPr>
          <w:p w14:paraId="3AE9599B" w14:textId="77777777" w:rsidR="00D10BF7" w:rsidRPr="0043350C" w:rsidRDefault="00D10BF7" w:rsidP="00FA766E">
            <w:pPr>
              <w:pStyle w:val="Textocuadro"/>
            </w:pPr>
          </w:p>
        </w:tc>
        <w:tc>
          <w:tcPr>
            <w:tcW w:w="3170" w:type="dxa"/>
            <w:shd w:val="clear" w:color="auto" w:fill="auto"/>
            <w:noWrap/>
            <w:vAlign w:val="center"/>
          </w:tcPr>
          <w:p w14:paraId="251F58F7" w14:textId="77777777" w:rsidR="00D10BF7" w:rsidRPr="0043350C" w:rsidRDefault="00FC5FC6" w:rsidP="00FC5FC6">
            <w:pPr>
              <w:pStyle w:val="Textocuadro"/>
            </w:pPr>
            <w:r>
              <w:t>13</w:t>
            </w:r>
            <w:r w:rsidR="00D10BF7" w:rsidRPr="0043350C">
              <w:t xml:space="preserve"> – </w:t>
            </w:r>
            <w:r>
              <w:t>Marina</w:t>
            </w:r>
          </w:p>
        </w:tc>
        <w:tc>
          <w:tcPr>
            <w:tcW w:w="993" w:type="dxa"/>
            <w:shd w:val="clear" w:color="auto" w:fill="FFFFFF" w:themeFill="background1"/>
            <w:noWrap/>
            <w:vAlign w:val="center"/>
          </w:tcPr>
          <w:p w14:paraId="3EA4C469" w14:textId="77777777" w:rsidR="00D10BF7" w:rsidRPr="0043350C" w:rsidRDefault="00D10BF7" w:rsidP="00FA766E">
            <w:pPr>
              <w:pStyle w:val="Textocuadrocentrado"/>
              <w:rPr>
                <w:rFonts w:cstheme="minorBidi"/>
              </w:rPr>
            </w:pPr>
          </w:p>
        </w:tc>
        <w:tc>
          <w:tcPr>
            <w:tcW w:w="708" w:type="dxa"/>
            <w:shd w:val="clear" w:color="auto" w:fill="FFFFFF" w:themeFill="background1"/>
            <w:vAlign w:val="center"/>
          </w:tcPr>
          <w:p w14:paraId="520FD153" w14:textId="77777777" w:rsidR="00D10BF7" w:rsidRPr="0043350C" w:rsidRDefault="00D10BF7" w:rsidP="00FA766E">
            <w:pPr>
              <w:pStyle w:val="Textocuadrocentrado"/>
              <w:rPr>
                <w:rFonts w:cstheme="minorBidi"/>
              </w:rPr>
            </w:pPr>
            <w:r>
              <w:rPr>
                <w:rFonts w:cstheme="minorBidi"/>
              </w:rPr>
              <w:t>1</w:t>
            </w:r>
          </w:p>
        </w:tc>
        <w:tc>
          <w:tcPr>
            <w:tcW w:w="709" w:type="dxa"/>
            <w:tcBorders>
              <w:right w:val="single" w:sz="4" w:space="0" w:color="auto"/>
            </w:tcBorders>
            <w:shd w:val="clear" w:color="auto" w:fill="FFFFFF" w:themeFill="background1"/>
            <w:vAlign w:val="center"/>
          </w:tcPr>
          <w:p w14:paraId="43DE4D8B" w14:textId="77777777" w:rsidR="00D10BF7" w:rsidRPr="0043350C" w:rsidRDefault="00D10BF7" w:rsidP="00FA766E">
            <w:pPr>
              <w:pStyle w:val="Textocuadrocentrado"/>
              <w:rPr>
                <w:rFonts w:cstheme="minorBidi"/>
              </w:rPr>
            </w:pPr>
            <w:r>
              <w:rPr>
                <w:rFonts w:cstheme="minorBidi"/>
              </w:rPr>
              <w:t>1</w:t>
            </w:r>
          </w:p>
        </w:tc>
        <w:tc>
          <w:tcPr>
            <w:tcW w:w="1051" w:type="dxa"/>
            <w:tcBorders>
              <w:left w:val="single" w:sz="4" w:space="0" w:color="auto"/>
            </w:tcBorders>
            <w:shd w:val="clear" w:color="auto" w:fill="FFFFFF" w:themeFill="background1"/>
            <w:vAlign w:val="center"/>
          </w:tcPr>
          <w:p w14:paraId="4251B905" w14:textId="77777777" w:rsidR="00D10BF7" w:rsidRPr="0043350C" w:rsidRDefault="00D10BF7" w:rsidP="00FA766E">
            <w:pPr>
              <w:pStyle w:val="Textocuadrocentrado"/>
              <w:rPr>
                <w:rFonts w:cstheme="minorBidi"/>
              </w:rPr>
            </w:pPr>
          </w:p>
        </w:tc>
        <w:tc>
          <w:tcPr>
            <w:tcW w:w="558" w:type="dxa"/>
            <w:shd w:val="clear" w:color="auto" w:fill="FFFFFF" w:themeFill="background1"/>
            <w:vAlign w:val="center"/>
          </w:tcPr>
          <w:p w14:paraId="5433C164" w14:textId="77777777" w:rsidR="00D10BF7" w:rsidRPr="0043350C" w:rsidRDefault="00D10BF7" w:rsidP="00FA766E">
            <w:pPr>
              <w:pStyle w:val="Textocuadrocentrado"/>
              <w:rPr>
                <w:rFonts w:cstheme="minorBidi"/>
              </w:rPr>
            </w:pPr>
            <w:r>
              <w:rPr>
                <w:rFonts w:cstheme="minorBidi"/>
              </w:rPr>
              <w:t>1</w:t>
            </w:r>
          </w:p>
        </w:tc>
        <w:tc>
          <w:tcPr>
            <w:tcW w:w="791" w:type="dxa"/>
            <w:shd w:val="clear" w:color="auto" w:fill="FFFFFF" w:themeFill="background1"/>
            <w:vAlign w:val="center"/>
          </w:tcPr>
          <w:p w14:paraId="608F0B98" w14:textId="77777777" w:rsidR="00D10BF7" w:rsidRPr="0043350C" w:rsidRDefault="00D10BF7" w:rsidP="00FA766E">
            <w:pPr>
              <w:pStyle w:val="Textocuadrocentrado"/>
              <w:rPr>
                <w:rFonts w:cstheme="minorBidi"/>
              </w:rPr>
            </w:pPr>
            <w:r>
              <w:rPr>
                <w:rFonts w:cstheme="minorBidi"/>
              </w:rPr>
              <w:t>1</w:t>
            </w:r>
          </w:p>
        </w:tc>
      </w:tr>
      <w:tr w:rsidR="00D10BF7" w:rsidRPr="0043350C" w14:paraId="32051059" w14:textId="77777777" w:rsidTr="00FC5FC6">
        <w:trPr>
          <w:cantSplit/>
          <w:jc w:val="center"/>
        </w:trPr>
        <w:tc>
          <w:tcPr>
            <w:tcW w:w="741" w:type="dxa"/>
            <w:gridSpan w:val="2"/>
            <w:shd w:val="clear" w:color="auto" w:fill="auto"/>
            <w:noWrap/>
            <w:vAlign w:val="center"/>
          </w:tcPr>
          <w:p w14:paraId="615810FD" w14:textId="77777777" w:rsidR="00D10BF7" w:rsidRPr="0043350C" w:rsidRDefault="00D10BF7" w:rsidP="00FA766E">
            <w:pPr>
              <w:pStyle w:val="Textocuadro"/>
            </w:pPr>
          </w:p>
        </w:tc>
        <w:tc>
          <w:tcPr>
            <w:tcW w:w="3170" w:type="dxa"/>
            <w:shd w:val="clear" w:color="auto" w:fill="auto"/>
            <w:noWrap/>
            <w:vAlign w:val="center"/>
          </w:tcPr>
          <w:p w14:paraId="0A90B58C" w14:textId="77777777" w:rsidR="00D10BF7" w:rsidRPr="0043350C" w:rsidRDefault="00D10BF7" w:rsidP="00FC5FC6">
            <w:pPr>
              <w:pStyle w:val="Textocuadro"/>
            </w:pPr>
            <w:r w:rsidRPr="0043350C">
              <w:t>1</w:t>
            </w:r>
            <w:r w:rsidR="00FC5FC6">
              <w:t>6</w:t>
            </w:r>
            <w:r w:rsidRPr="0043350C">
              <w:t xml:space="preserve"> –</w:t>
            </w:r>
            <w:r w:rsidR="00FC5FC6">
              <w:t xml:space="preserve"> Medio Ambiente y Recursos Naturales</w:t>
            </w:r>
          </w:p>
        </w:tc>
        <w:tc>
          <w:tcPr>
            <w:tcW w:w="993" w:type="dxa"/>
            <w:shd w:val="clear" w:color="auto" w:fill="FFFFFF" w:themeFill="background1"/>
            <w:noWrap/>
            <w:vAlign w:val="center"/>
          </w:tcPr>
          <w:p w14:paraId="6C916418" w14:textId="77777777" w:rsidR="00D10BF7" w:rsidRPr="0043350C" w:rsidRDefault="00D10BF7" w:rsidP="00FA766E">
            <w:pPr>
              <w:pStyle w:val="Textocuadrocentrado"/>
              <w:rPr>
                <w:rFonts w:cstheme="minorBidi"/>
              </w:rPr>
            </w:pPr>
          </w:p>
        </w:tc>
        <w:tc>
          <w:tcPr>
            <w:tcW w:w="708" w:type="dxa"/>
            <w:shd w:val="clear" w:color="auto" w:fill="FFFFFF" w:themeFill="background1"/>
            <w:vAlign w:val="center"/>
          </w:tcPr>
          <w:p w14:paraId="20B9DB51" w14:textId="77777777" w:rsidR="00D10BF7" w:rsidRPr="0043350C" w:rsidRDefault="00FC5FC6" w:rsidP="00FA766E">
            <w:pPr>
              <w:pStyle w:val="Textocuadrocentrado"/>
              <w:rPr>
                <w:rFonts w:cstheme="minorBidi"/>
              </w:rPr>
            </w:pPr>
            <w:r>
              <w:rPr>
                <w:rFonts w:cstheme="minorBidi"/>
              </w:rPr>
              <w:t>1</w:t>
            </w:r>
          </w:p>
        </w:tc>
        <w:tc>
          <w:tcPr>
            <w:tcW w:w="709" w:type="dxa"/>
            <w:tcBorders>
              <w:right w:val="single" w:sz="4" w:space="0" w:color="auto"/>
            </w:tcBorders>
            <w:shd w:val="clear" w:color="auto" w:fill="FFFFFF" w:themeFill="background1"/>
            <w:vAlign w:val="center"/>
          </w:tcPr>
          <w:p w14:paraId="151F69CD" w14:textId="77777777" w:rsidR="00D10BF7" w:rsidRPr="0043350C" w:rsidRDefault="00FC5FC6" w:rsidP="00FA766E">
            <w:pPr>
              <w:pStyle w:val="Textocuadrocentrado"/>
              <w:rPr>
                <w:rFonts w:cstheme="minorBidi"/>
              </w:rPr>
            </w:pPr>
            <w:r>
              <w:rPr>
                <w:rFonts w:cstheme="minorBidi"/>
              </w:rPr>
              <w:t>1</w:t>
            </w:r>
          </w:p>
        </w:tc>
        <w:tc>
          <w:tcPr>
            <w:tcW w:w="1051" w:type="dxa"/>
            <w:tcBorders>
              <w:left w:val="single" w:sz="4" w:space="0" w:color="auto"/>
            </w:tcBorders>
            <w:shd w:val="clear" w:color="auto" w:fill="FFFFFF" w:themeFill="background1"/>
            <w:vAlign w:val="center"/>
          </w:tcPr>
          <w:p w14:paraId="712A99DD" w14:textId="77777777" w:rsidR="00D10BF7" w:rsidRPr="0043350C" w:rsidRDefault="00D10BF7" w:rsidP="00FA766E">
            <w:pPr>
              <w:pStyle w:val="Textocuadrocentrado"/>
              <w:rPr>
                <w:rFonts w:cstheme="minorBidi"/>
              </w:rPr>
            </w:pPr>
          </w:p>
        </w:tc>
        <w:tc>
          <w:tcPr>
            <w:tcW w:w="558" w:type="dxa"/>
            <w:shd w:val="clear" w:color="auto" w:fill="FFFFFF" w:themeFill="background1"/>
            <w:vAlign w:val="center"/>
          </w:tcPr>
          <w:p w14:paraId="0A5D9C90" w14:textId="77777777" w:rsidR="00D10BF7" w:rsidRPr="0043350C" w:rsidRDefault="00FC5FC6" w:rsidP="00FA766E">
            <w:pPr>
              <w:pStyle w:val="Textocuadrocentrado"/>
              <w:rPr>
                <w:rFonts w:cstheme="minorBidi"/>
              </w:rPr>
            </w:pPr>
            <w:r>
              <w:rPr>
                <w:rFonts w:cstheme="minorBidi"/>
              </w:rPr>
              <w:t>1</w:t>
            </w:r>
          </w:p>
        </w:tc>
        <w:tc>
          <w:tcPr>
            <w:tcW w:w="791" w:type="dxa"/>
            <w:shd w:val="clear" w:color="auto" w:fill="FFFFFF" w:themeFill="background1"/>
            <w:vAlign w:val="center"/>
          </w:tcPr>
          <w:p w14:paraId="444BFBBB" w14:textId="77777777" w:rsidR="00D10BF7" w:rsidRPr="0043350C" w:rsidRDefault="00FC5FC6" w:rsidP="00FA766E">
            <w:pPr>
              <w:pStyle w:val="Textocuadrocentrado"/>
              <w:rPr>
                <w:rFonts w:cstheme="minorBidi"/>
              </w:rPr>
            </w:pPr>
            <w:r>
              <w:rPr>
                <w:rFonts w:cstheme="minorBidi"/>
              </w:rPr>
              <w:t>1</w:t>
            </w:r>
          </w:p>
        </w:tc>
      </w:tr>
      <w:tr w:rsidR="00D10BF7" w:rsidRPr="0043350C" w14:paraId="5965E156" w14:textId="77777777" w:rsidTr="00FC5FC6">
        <w:trPr>
          <w:cantSplit/>
          <w:jc w:val="center"/>
        </w:trPr>
        <w:tc>
          <w:tcPr>
            <w:tcW w:w="741" w:type="dxa"/>
            <w:gridSpan w:val="2"/>
            <w:shd w:val="clear" w:color="auto" w:fill="auto"/>
            <w:noWrap/>
            <w:vAlign w:val="center"/>
          </w:tcPr>
          <w:p w14:paraId="0750F0E4" w14:textId="77777777" w:rsidR="00D10BF7" w:rsidRPr="0043350C" w:rsidRDefault="00D10BF7" w:rsidP="00FA766E">
            <w:pPr>
              <w:pStyle w:val="Textocuadro"/>
            </w:pPr>
          </w:p>
        </w:tc>
        <w:tc>
          <w:tcPr>
            <w:tcW w:w="3170" w:type="dxa"/>
            <w:shd w:val="clear" w:color="auto" w:fill="auto"/>
            <w:noWrap/>
            <w:vAlign w:val="center"/>
          </w:tcPr>
          <w:p w14:paraId="4736040A" w14:textId="77777777" w:rsidR="00D10BF7" w:rsidRPr="0043350C" w:rsidRDefault="00FC5FC6" w:rsidP="00FC5FC6">
            <w:pPr>
              <w:pStyle w:val="Textocuadro"/>
            </w:pPr>
            <w:r>
              <w:t>21</w:t>
            </w:r>
            <w:r w:rsidR="00D10BF7" w:rsidRPr="0043350C">
              <w:t xml:space="preserve"> – </w:t>
            </w:r>
            <w:r>
              <w:t>Turismo</w:t>
            </w:r>
          </w:p>
        </w:tc>
        <w:tc>
          <w:tcPr>
            <w:tcW w:w="993" w:type="dxa"/>
            <w:shd w:val="clear" w:color="auto" w:fill="FFFFFF" w:themeFill="background1"/>
            <w:noWrap/>
            <w:vAlign w:val="center"/>
          </w:tcPr>
          <w:p w14:paraId="7E45C9B9" w14:textId="77777777" w:rsidR="00D10BF7" w:rsidRPr="0043350C" w:rsidRDefault="00D10BF7" w:rsidP="00FA766E">
            <w:pPr>
              <w:pStyle w:val="Textocuadrocentrado"/>
              <w:rPr>
                <w:rFonts w:cstheme="minorBidi"/>
              </w:rPr>
            </w:pPr>
          </w:p>
        </w:tc>
        <w:tc>
          <w:tcPr>
            <w:tcW w:w="708" w:type="dxa"/>
            <w:shd w:val="clear" w:color="auto" w:fill="FFFFFF" w:themeFill="background1"/>
            <w:vAlign w:val="center"/>
          </w:tcPr>
          <w:p w14:paraId="5658B318" w14:textId="77777777" w:rsidR="00D10BF7" w:rsidRPr="0043350C" w:rsidRDefault="00D10BF7" w:rsidP="00FA766E">
            <w:pPr>
              <w:pStyle w:val="Textocuadrocentrado"/>
              <w:rPr>
                <w:rFonts w:cstheme="minorBidi"/>
              </w:rPr>
            </w:pPr>
            <w:r>
              <w:rPr>
                <w:rFonts w:cstheme="minorBidi"/>
              </w:rPr>
              <w:t>1</w:t>
            </w:r>
          </w:p>
        </w:tc>
        <w:tc>
          <w:tcPr>
            <w:tcW w:w="709" w:type="dxa"/>
            <w:tcBorders>
              <w:right w:val="single" w:sz="4" w:space="0" w:color="auto"/>
            </w:tcBorders>
            <w:shd w:val="clear" w:color="auto" w:fill="FFFFFF" w:themeFill="background1"/>
            <w:vAlign w:val="center"/>
          </w:tcPr>
          <w:p w14:paraId="23DB8759" w14:textId="77777777" w:rsidR="00D10BF7" w:rsidRPr="0043350C" w:rsidRDefault="00D10BF7" w:rsidP="00FA766E">
            <w:pPr>
              <w:pStyle w:val="Textocuadrocentrado"/>
              <w:rPr>
                <w:rFonts w:cstheme="minorBidi"/>
              </w:rPr>
            </w:pPr>
            <w:r>
              <w:rPr>
                <w:rFonts w:cstheme="minorBidi"/>
              </w:rPr>
              <w:t>1</w:t>
            </w:r>
          </w:p>
        </w:tc>
        <w:tc>
          <w:tcPr>
            <w:tcW w:w="1051" w:type="dxa"/>
            <w:tcBorders>
              <w:left w:val="single" w:sz="4" w:space="0" w:color="auto"/>
            </w:tcBorders>
            <w:shd w:val="clear" w:color="auto" w:fill="FFFFFF" w:themeFill="background1"/>
            <w:vAlign w:val="center"/>
          </w:tcPr>
          <w:p w14:paraId="37E41CD3" w14:textId="77777777" w:rsidR="00D10BF7" w:rsidRPr="0043350C" w:rsidRDefault="00D10BF7" w:rsidP="00FA766E">
            <w:pPr>
              <w:pStyle w:val="Textocuadrocentrado"/>
              <w:rPr>
                <w:rFonts w:cstheme="minorBidi"/>
              </w:rPr>
            </w:pPr>
          </w:p>
        </w:tc>
        <w:tc>
          <w:tcPr>
            <w:tcW w:w="558" w:type="dxa"/>
            <w:shd w:val="clear" w:color="auto" w:fill="FFFFFF" w:themeFill="background1"/>
            <w:vAlign w:val="center"/>
          </w:tcPr>
          <w:p w14:paraId="4532AD08" w14:textId="77777777" w:rsidR="00D10BF7" w:rsidRPr="0043350C" w:rsidRDefault="00D10BF7" w:rsidP="00FA766E">
            <w:pPr>
              <w:pStyle w:val="Textocuadrocentrado"/>
              <w:rPr>
                <w:rFonts w:cstheme="minorBidi"/>
              </w:rPr>
            </w:pPr>
            <w:r w:rsidRPr="0043350C">
              <w:rPr>
                <w:rFonts w:cstheme="minorBidi"/>
              </w:rPr>
              <w:t>1</w:t>
            </w:r>
          </w:p>
        </w:tc>
        <w:tc>
          <w:tcPr>
            <w:tcW w:w="791" w:type="dxa"/>
            <w:shd w:val="clear" w:color="auto" w:fill="FFFFFF" w:themeFill="background1"/>
            <w:vAlign w:val="center"/>
          </w:tcPr>
          <w:p w14:paraId="4424F8B4" w14:textId="77777777" w:rsidR="00D10BF7" w:rsidRPr="0043350C" w:rsidRDefault="00D10BF7" w:rsidP="00FA766E">
            <w:pPr>
              <w:pStyle w:val="Textocuadrocentrado"/>
              <w:rPr>
                <w:rFonts w:cstheme="minorBidi"/>
              </w:rPr>
            </w:pPr>
            <w:r w:rsidRPr="0043350C">
              <w:rPr>
                <w:rFonts w:cstheme="minorBidi"/>
              </w:rPr>
              <w:t>1</w:t>
            </w:r>
          </w:p>
        </w:tc>
      </w:tr>
    </w:tbl>
    <w:p w14:paraId="3482992D" w14:textId="77777777" w:rsidR="00D0291B" w:rsidRDefault="00D0291B"/>
    <w:tbl>
      <w:tblPr>
        <w:tblW w:w="0" w:type="auto"/>
        <w:jc w:val="center"/>
        <w:tblLayout w:type="fixed"/>
        <w:tblCellMar>
          <w:left w:w="70" w:type="dxa"/>
          <w:right w:w="70" w:type="dxa"/>
        </w:tblCellMar>
        <w:tblLook w:val="04A0" w:firstRow="1" w:lastRow="0" w:firstColumn="1" w:lastColumn="0" w:noHBand="0" w:noVBand="1"/>
      </w:tblPr>
      <w:tblGrid>
        <w:gridCol w:w="8"/>
        <w:gridCol w:w="733"/>
        <w:gridCol w:w="3170"/>
        <w:gridCol w:w="993"/>
        <w:gridCol w:w="708"/>
        <w:gridCol w:w="709"/>
        <w:gridCol w:w="1051"/>
        <w:gridCol w:w="558"/>
        <w:gridCol w:w="791"/>
      </w:tblGrid>
      <w:tr w:rsidR="00D0291B" w:rsidRPr="0043350C" w14:paraId="273890FD" w14:textId="77777777" w:rsidTr="00734546">
        <w:trPr>
          <w:gridBefore w:val="1"/>
          <w:wBefore w:w="8" w:type="dxa"/>
          <w:cantSplit/>
          <w:tblHeader/>
          <w:jc w:val="center"/>
        </w:trPr>
        <w:tc>
          <w:tcPr>
            <w:tcW w:w="8713" w:type="dxa"/>
            <w:gridSpan w:val="8"/>
            <w:shd w:val="clear" w:color="auto" w:fill="D6E3BC" w:themeFill="accent3" w:themeFillTint="66"/>
            <w:noWrap/>
            <w:vAlign w:val="center"/>
          </w:tcPr>
          <w:p w14:paraId="113B33A2" w14:textId="77777777" w:rsidR="00D0291B" w:rsidRPr="008873F7" w:rsidRDefault="00D0291B" w:rsidP="00734546">
            <w:pPr>
              <w:spacing w:before="120"/>
              <w:ind w:left="284"/>
              <w:contextualSpacing/>
              <w:jc w:val="center"/>
              <w:rPr>
                <w:rFonts w:eastAsia="Times New Roman"/>
                <w:noProof/>
                <w:sz w:val="18"/>
                <w:szCs w:val="20"/>
              </w:rPr>
            </w:pPr>
            <w:r w:rsidRPr="008873F7">
              <w:rPr>
                <w:rFonts w:eastAsia="Times New Roman"/>
                <w:noProof/>
                <w:sz w:val="18"/>
                <w:szCs w:val="20"/>
              </w:rPr>
              <w:t xml:space="preserve">Tabla 1. Evaluaciones recibidas por la SHCP </w:t>
            </w:r>
            <w:r>
              <w:rPr>
                <w:rFonts w:eastAsia="Times New Roman"/>
                <w:noProof/>
                <w:sz w:val="18"/>
                <w:szCs w:val="20"/>
              </w:rPr>
              <w:br/>
              <w:t>Enero</w:t>
            </w:r>
            <w:r w:rsidRPr="006241BE">
              <w:rPr>
                <w:rFonts w:eastAsia="Times New Roman"/>
                <w:noProof/>
                <w:sz w:val="18"/>
                <w:szCs w:val="20"/>
              </w:rPr>
              <w:t>-</w:t>
            </w:r>
            <w:r>
              <w:rPr>
                <w:rFonts w:eastAsia="Times New Roman"/>
                <w:noProof/>
                <w:sz w:val="18"/>
                <w:szCs w:val="20"/>
              </w:rPr>
              <w:t>marzo</w:t>
            </w:r>
            <w:r w:rsidRPr="006241BE">
              <w:rPr>
                <w:rFonts w:eastAsia="Times New Roman"/>
                <w:noProof/>
                <w:sz w:val="18"/>
                <w:szCs w:val="20"/>
              </w:rPr>
              <w:t xml:space="preserve"> de</w:t>
            </w:r>
            <w:r w:rsidRPr="008873F7">
              <w:rPr>
                <w:rFonts w:eastAsia="Times New Roman"/>
                <w:noProof/>
                <w:sz w:val="18"/>
                <w:szCs w:val="20"/>
              </w:rPr>
              <w:t xml:space="preserve"> 201</w:t>
            </w:r>
            <w:r>
              <w:rPr>
                <w:rFonts w:eastAsia="Times New Roman"/>
                <w:noProof/>
                <w:sz w:val="18"/>
                <w:szCs w:val="20"/>
              </w:rPr>
              <w:t>8</w:t>
            </w:r>
            <w:r w:rsidRPr="008873F7">
              <w:rPr>
                <w:rFonts w:eastAsia="Times New Roman"/>
                <w:noProof/>
                <w:sz w:val="18"/>
                <w:szCs w:val="20"/>
              </w:rPr>
              <w:t xml:space="preserve"> y acumulad</w:t>
            </w:r>
            <w:r>
              <w:rPr>
                <w:rFonts w:eastAsia="Times New Roman"/>
                <w:noProof/>
                <w:sz w:val="18"/>
                <w:szCs w:val="20"/>
              </w:rPr>
              <w:t>o anual (Continuación)</w:t>
            </w:r>
          </w:p>
        </w:tc>
      </w:tr>
      <w:tr w:rsidR="00D0291B" w:rsidRPr="0043350C" w14:paraId="7F4E8465" w14:textId="77777777" w:rsidTr="00734546">
        <w:trPr>
          <w:cantSplit/>
          <w:tblHeader/>
          <w:jc w:val="center"/>
        </w:trPr>
        <w:tc>
          <w:tcPr>
            <w:tcW w:w="3911" w:type="dxa"/>
            <w:gridSpan w:val="3"/>
            <w:vMerge w:val="restart"/>
            <w:shd w:val="clear" w:color="auto" w:fill="FFFFFF" w:themeFill="background1"/>
            <w:noWrap/>
            <w:vAlign w:val="center"/>
            <w:hideMark/>
          </w:tcPr>
          <w:p w14:paraId="401F0A29" w14:textId="77777777" w:rsidR="00D0291B" w:rsidRPr="0043350C" w:rsidRDefault="00D0291B" w:rsidP="00734546">
            <w:pPr>
              <w:pStyle w:val="SUBCAB7"/>
            </w:pPr>
            <w:r>
              <w:t xml:space="preserve">Tipo de Evaluación y </w:t>
            </w:r>
            <w:r w:rsidRPr="0043350C">
              <w:t>Ramo</w:t>
            </w:r>
          </w:p>
        </w:tc>
        <w:tc>
          <w:tcPr>
            <w:tcW w:w="4810" w:type="dxa"/>
            <w:gridSpan w:val="6"/>
            <w:shd w:val="clear" w:color="auto" w:fill="FFFFFF" w:themeFill="background1"/>
            <w:noWrap/>
            <w:vAlign w:val="center"/>
            <w:hideMark/>
          </w:tcPr>
          <w:p w14:paraId="01D58EFB" w14:textId="77777777" w:rsidR="00D0291B" w:rsidRPr="0043350C" w:rsidRDefault="00D0291B" w:rsidP="00734546">
            <w:pPr>
              <w:pStyle w:val="SUBCAB7"/>
            </w:pPr>
            <w:r w:rsidRPr="0043350C">
              <w:t xml:space="preserve">Número de Evaluaciones </w:t>
            </w:r>
            <w:r>
              <w:t>según</w:t>
            </w:r>
            <w:r w:rsidRPr="0043350C">
              <w:t xml:space="preserve"> </w:t>
            </w:r>
          </w:p>
          <w:p w14:paraId="78DADC9E" w14:textId="77777777" w:rsidR="00D0291B" w:rsidRPr="0043350C" w:rsidRDefault="00D0291B" w:rsidP="00734546">
            <w:pPr>
              <w:pStyle w:val="SUBCAB7"/>
            </w:pPr>
            <w:r w:rsidRPr="0043350C">
              <w:t xml:space="preserve">Instancia de Coordinación y Totales </w:t>
            </w:r>
          </w:p>
        </w:tc>
      </w:tr>
      <w:tr w:rsidR="00D0291B" w:rsidRPr="0043350C" w14:paraId="31D59556" w14:textId="77777777" w:rsidTr="00734546">
        <w:trPr>
          <w:cantSplit/>
          <w:tblHeader/>
          <w:jc w:val="center"/>
        </w:trPr>
        <w:tc>
          <w:tcPr>
            <w:tcW w:w="3911" w:type="dxa"/>
            <w:gridSpan w:val="3"/>
            <w:vMerge/>
            <w:shd w:val="clear" w:color="auto" w:fill="FFFFFF" w:themeFill="background1"/>
            <w:noWrap/>
            <w:vAlign w:val="center"/>
          </w:tcPr>
          <w:p w14:paraId="023A164C" w14:textId="77777777" w:rsidR="00D0291B" w:rsidRPr="0043350C" w:rsidRDefault="00D0291B" w:rsidP="00734546">
            <w:pPr>
              <w:pStyle w:val="SUBCAB7"/>
            </w:pPr>
          </w:p>
        </w:tc>
        <w:tc>
          <w:tcPr>
            <w:tcW w:w="2410" w:type="dxa"/>
            <w:gridSpan w:val="3"/>
            <w:tcBorders>
              <w:top w:val="single" w:sz="4" w:space="0" w:color="auto"/>
              <w:right w:val="single" w:sz="4" w:space="0" w:color="auto"/>
            </w:tcBorders>
            <w:shd w:val="clear" w:color="auto" w:fill="FFFFFF" w:themeFill="background1"/>
            <w:noWrap/>
            <w:vAlign w:val="center"/>
          </w:tcPr>
          <w:p w14:paraId="097621FA" w14:textId="77777777" w:rsidR="00D0291B" w:rsidRPr="006241BE" w:rsidRDefault="00D0291B" w:rsidP="00734546">
            <w:pPr>
              <w:pStyle w:val="SUBCAB7"/>
            </w:pPr>
            <w:r w:rsidRPr="006241BE">
              <w:t xml:space="preserve">Durante el </w:t>
            </w:r>
            <w:r>
              <w:t>primer</w:t>
            </w:r>
            <w:r w:rsidRPr="006241BE">
              <w:t xml:space="preserve"> trimestre (</w:t>
            </w:r>
            <w:r>
              <w:t>enero</w:t>
            </w:r>
            <w:r w:rsidRPr="006241BE">
              <w:t>-</w:t>
            </w:r>
            <w:r>
              <w:t>marzo</w:t>
            </w:r>
            <w:r w:rsidRPr="006241BE">
              <w:t>) de 201</w:t>
            </w:r>
            <w:r>
              <w:t>8</w:t>
            </w:r>
          </w:p>
        </w:tc>
        <w:tc>
          <w:tcPr>
            <w:tcW w:w="2400" w:type="dxa"/>
            <w:gridSpan w:val="3"/>
            <w:tcBorders>
              <w:top w:val="single" w:sz="4" w:space="0" w:color="auto"/>
              <w:left w:val="single" w:sz="4" w:space="0" w:color="auto"/>
            </w:tcBorders>
            <w:shd w:val="clear" w:color="auto" w:fill="FFFFFF" w:themeFill="background1"/>
            <w:vAlign w:val="center"/>
          </w:tcPr>
          <w:p w14:paraId="1402286D" w14:textId="77777777" w:rsidR="00D0291B" w:rsidRPr="006241BE" w:rsidRDefault="00D0291B" w:rsidP="00734546">
            <w:pPr>
              <w:pStyle w:val="SUBCAB7"/>
            </w:pPr>
            <w:r w:rsidRPr="006241BE">
              <w:t xml:space="preserve">Acumulado al </w:t>
            </w:r>
            <w:r>
              <w:t>primer</w:t>
            </w:r>
            <w:r w:rsidRPr="006241BE">
              <w:t xml:space="preserve"> trimestre (enero-</w:t>
            </w:r>
            <w:r>
              <w:t>marzo</w:t>
            </w:r>
            <w:r w:rsidRPr="006241BE">
              <w:t>) de 201</w:t>
            </w:r>
            <w:r>
              <w:t>8</w:t>
            </w:r>
          </w:p>
        </w:tc>
      </w:tr>
      <w:tr w:rsidR="00D0291B" w:rsidRPr="0043350C" w14:paraId="1B96AE32" w14:textId="77777777" w:rsidTr="00734546">
        <w:trPr>
          <w:cantSplit/>
          <w:tblHeader/>
          <w:jc w:val="center"/>
        </w:trPr>
        <w:tc>
          <w:tcPr>
            <w:tcW w:w="3911" w:type="dxa"/>
            <w:gridSpan w:val="3"/>
            <w:vMerge/>
            <w:shd w:val="clear" w:color="auto" w:fill="FFFFFF" w:themeFill="background1"/>
            <w:noWrap/>
            <w:vAlign w:val="center"/>
          </w:tcPr>
          <w:p w14:paraId="69CED43A" w14:textId="77777777" w:rsidR="00D0291B" w:rsidRPr="0043350C" w:rsidRDefault="00D0291B" w:rsidP="00734546">
            <w:pPr>
              <w:pStyle w:val="SUBCAB7"/>
            </w:pPr>
          </w:p>
        </w:tc>
        <w:tc>
          <w:tcPr>
            <w:tcW w:w="993" w:type="dxa"/>
            <w:shd w:val="clear" w:color="auto" w:fill="FFFFFF" w:themeFill="background1"/>
            <w:noWrap/>
            <w:vAlign w:val="center"/>
          </w:tcPr>
          <w:p w14:paraId="3EB09E4F" w14:textId="77777777" w:rsidR="00D0291B" w:rsidRPr="0043350C" w:rsidRDefault="00D0291B" w:rsidP="00734546">
            <w:pPr>
              <w:pStyle w:val="SUBCAB7"/>
            </w:pPr>
            <w:r w:rsidRPr="0043350C">
              <w:t>CONEVAL</w:t>
            </w:r>
          </w:p>
        </w:tc>
        <w:tc>
          <w:tcPr>
            <w:tcW w:w="708" w:type="dxa"/>
            <w:shd w:val="clear" w:color="auto" w:fill="FFFFFF" w:themeFill="background1"/>
            <w:vAlign w:val="center"/>
          </w:tcPr>
          <w:p w14:paraId="18B607C8" w14:textId="77777777" w:rsidR="00D0291B" w:rsidRPr="0043350C" w:rsidRDefault="00D0291B" w:rsidP="00734546">
            <w:pPr>
              <w:pStyle w:val="SUBCAB7"/>
            </w:pPr>
            <w:r w:rsidRPr="0043350C">
              <w:t>SHCP</w:t>
            </w:r>
          </w:p>
        </w:tc>
        <w:tc>
          <w:tcPr>
            <w:tcW w:w="709" w:type="dxa"/>
            <w:tcBorders>
              <w:right w:val="single" w:sz="4" w:space="0" w:color="auto"/>
            </w:tcBorders>
            <w:shd w:val="clear" w:color="auto" w:fill="FFFFFF" w:themeFill="background1"/>
            <w:vAlign w:val="center"/>
          </w:tcPr>
          <w:p w14:paraId="1A553749" w14:textId="77777777" w:rsidR="00D0291B" w:rsidRPr="0043350C" w:rsidRDefault="00D0291B" w:rsidP="00734546">
            <w:pPr>
              <w:pStyle w:val="SUBCAB7"/>
            </w:pPr>
            <w:r w:rsidRPr="0043350C">
              <w:t>TOTAL</w:t>
            </w:r>
          </w:p>
        </w:tc>
        <w:tc>
          <w:tcPr>
            <w:tcW w:w="1051" w:type="dxa"/>
            <w:tcBorders>
              <w:left w:val="single" w:sz="4" w:space="0" w:color="auto"/>
            </w:tcBorders>
            <w:shd w:val="clear" w:color="auto" w:fill="FFFFFF" w:themeFill="background1"/>
            <w:vAlign w:val="center"/>
          </w:tcPr>
          <w:p w14:paraId="5236A4C4" w14:textId="77777777" w:rsidR="00D0291B" w:rsidRPr="000853A3" w:rsidRDefault="00D0291B" w:rsidP="00734546">
            <w:pPr>
              <w:pStyle w:val="SUBCAB7"/>
            </w:pPr>
            <w:r w:rsidRPr="000853A3">
              <w:t>CONEVAL</w:t>
            </w:r>
          </w:p>
        </w:tc>
        <w:tc>
          <w:tcPr>
            <w:tcW w:w="558" w:type="dxa"/>
            <w:shd w:val="clear" w:color="auto" w:fill="FFFFFF" w:themeFill="background1"/>
            <w:vAlign w:val="center"/>
          </w:tcPr>
          <w:p w14:paraId="155BC45A" w14:textId="77777777" w:rsidR="00D0291B" w:rsidRPr="000853A3" w:rsidRDefault="00D0291B" w:rsidP="00734546">
            <w:pPr>
              <w:pStyle w:val="SUBCAB7"/>
            </w:pPr>
            <w:r w:rsidRPr="000853A3">
              <w:t>SHCP</w:t>
            </w:r>
          </w:p>
        </w:tc>
        <w:tc>
          <w:tcPr>
            <w:tcW w:w="791" w:type="dxa"/>
            <w:shd w:val="clear" w:color="auto" w:fill="FFFFFF" w:themeFill="background1"/>
            <w:vAlign w:val="center"/>
          </w:tcPr>
          <w:p w14:paraId="7C887FAB" w14:textId="77777777" w:rsidR="00D0291B" w:rsidRPr="000853A3" w:rsidRDefault="00D0291B" w:rsidP="00734546">
            <w:pPr>
              <w:pStyle w:val="SUBCAB7"/>
            </w:pPr>
            <w:r w:rsidRPr="000853A3">
              <w:t>TOTAL</w:t>
            </w:r>
          </w:p>
        </w:tc>
      </w:tr>
      <w:tr w:rsidR="00D10BF7" w:rsidRPr="001A6F5D" w14:paraId="20C3A3F0" w14:textId="77777777" w:rsidTr="00FC5FC6">
        <w:trPr>
          <w:cantSplit/>
          <w:jc w:val="center"/>
        </w:trPr>
        <w:tc>
          <w:tcPr>
            <w:tcW w:w="741" w:type="dxa"/>
            <w:gridSpan w:val="2"/>
            <w:shd w:val="clear" w:color="auto" w:fill="D9D9D9" w:themeFill="background1" w:themeFillShade="D9"/>
            <w:noWrap/>
            <w:vAlign w:val="center"/>
          </w:tcPr>
          <w:p w14:paraId="7EA57D5E" w14:textId="77777777" w:rsidR="00D10BF7" w:rsidRPr="001A6F5D" w:rsidRDefault="00D10BF7" w:rsidP="00FA766E">
            <w:pPr>
              <w:pStyle w:val="Textocuadro"/>
              <w:rPr>
                <w:rFonts w:cstheme="minorBidi"/>
                <w:b/>
                <w:szCs w:val="22"/>
              </w:rPr>
            </w:pPr>
          </w:p>
        </w:tc>
        <w:tc>
          <w:tcPr>
            <w:tcW w:w="3170" w:type="dxa"/>
            <w:shd w:val="clear" w:color="auto" w:fill="D9D9D9" w:themeFill="background1" w:themeFillShade="D9"/>
            <w:noWrap/>
            <w:vAlign w:val="center"/>
          </w:tcPr>
          <w:p w14:paraId="2DC76ABF" w14:textId="77777777" w:rsidR="00D10BF7" w:rsidRPr="001A6F5D" w:rsidRDefault="00D10BF7" w:rsidP="00FA766E">
            <w:pPr>
              <w:pStyle w:val="Textocuadro"/>
              <w:rPr>
                <w:rFonts w:cstheme="minorBidi"/>
                <w:b/>
                <w:szCs w:val="22"/>
              </w:rPr>
            </w:pPr>
            <w:r>
              <w:rPr>
                <w:rFonts w:cstheme="minorBidi"/>
                <w:b/>
                <w:szCs w:val="22"/>
              </w:rPr>
              <w:t>Procesos</w:t>
            </w:r>
          </w:p>
        </w:tc>
        <w:tc>
          <w:tcPr>
            <w:tcW w:w="993" w:type="dxa"/>
            <w:shd w:val="clear" w:color="auto" w:fill="D9D9D9" w:themeFill="background1" w:themeFillShade="D9"/>
            <w:noWrap/>
            <w:vAlign w:val="center"/>
          </w:tcPr>
          <w:p w14:paraId="5656F4EE" w14:textId="77777777" w:rsidR="00D10BF7" w:rsidRPr="001A6F5D" w:rsidRDefault="00D10BF7" w:rsidP="00FA766E">
            <w:pPr>
              <w:pStyle w:val="Textocuadrocentrado"/>
              <w:rPr>
                <w:rFonts w:cstheme="minorBidi"/>
                <w:b/>
                <w:szCs w:val="22"/>
              </w:rPr>
            </w:pPr>
          </w:p>
        </w:tc>
        <w:tc>
          <w:tcPr>
            <w:tcW w:w="708" w:type="dxa"/>
            <w:shd w:val="clear" w:color="auto" w:fill="D9D9D9" w:themeFill="background1" w:themeFillShade="D9"/>
            <w:vAlign w:val="center"/>
          </w:tcPr>
          <w:p w14:paraId="60FF3C9B" w14:textId="77777777" w:rsidR="00D10BF7" w:rsidRPr="001A6F5D" w:rsidRDefault="001419D4" w:rsidP="00FA766E">
            <w:pPr>
              <w:pStyle w:val="Textocuadrocentrado"/>
              <w:rPr>
                <w:rFonts w:cstheme="minorBidi"/>
                <w:b/>
                <w:szCs w:val="22"/>
              </w:rPr>
            </w:pPr>
            <w:r>
              <w:rPr>
                <w:rFonts w:cstheme="minorBidi"/>
                <w:b/>
                <w:szCs w:val="22"/>
              </w:rPr>
              <w:t>2</w:t>
            </w:r>
          </w:p>
        </w:tc>
        <w:tc>
          <w:tcPr>
            <w:tcW w:w="709" w:type="dxa"/>
            <w:tcBorders>
              <w:right w:val="single" w:sz="4" w:space="0" w:color="auto"/>
            </w:tcBorders>
            <w:shd w:val="clear" w:color="auto" w:fill="D9D9D9" w:themeFill="background1" w:themeFillShade="D9"/>
            <w:vAlign w:val="center"/>
          </w:tcPr>
          <w:p w14:paraId="3AC4E099" w14:textId="77777777" w:rsidR="00D10BF7" w:rsidRPr="001A6F5D" w:rsidRDefault="001419D4" w:rsidP="00FA766E">
            <w:pPr>
              <w:pStyle w:val="Textocuadrocentrado"/>
              <w:rPr>
                <w:rFonts w:cstheme="minorBidi"/>
                <w:b/>
                <w:szCs w:val="22"/>
              </w:rPr>
            </w:pPr>
            <w:r>
              <w:rPr>
                <w:rFonts w:cstheme="minorBidi"/>
                <w:b/>
                <w:szCs w:val="22"/>
              </w:rPr>
              <w:t>2</w:t>
            </w:r>
          </w:p>
        </w:tc>
        <w:tc>
          <w:tcPr>
            <w:tcW w:w="1051" w:type="dxa"/>
            <w:tcBorders>
              <w:left w:val="single" w:sz="4" w:space="0" w:color="auto"/>
            </w:tcBorders>
            <w:shd w:val="clear" w:color="auto" w:fill="D9D9D9" w:themeFill="background1" w:themeFillShade="D9"/>
            <w:vAlign w:val="center"/>
          </w:tcPr>
          <w:p w14:paraId="2DE922B4" w14:textId="77777777" w:rsidR="00D10BF7" w:rsidRPr="001A6F5D" w:rsidRDefault="00D10BF7" w:rsidP="00FA766E">
            <w:pPr>
              <w:pStyle w:val="Textocuadrocentrado"/>
              <w:rPr>
                <w:rFonts w:cstheme="minorBidi"/>
                <w:b/>
                <w:szCs w:val="22"/>
              </w:rPr>
            </w:pPr>
          </w:p>
        </w:tc>
        <w:tc>
          <w:tcPr>
            <w:tcW w:w="558" w:type="dxa"/>
            <w:shd w:val="clear" w:color="auto" w:fill="D9D9D9" w:themeFill="background1" w:themeFillShade="D9"/>
            <w:vAlign w:val="center"/>
          </w:tcPr>
          <w:p w14:paraId="63E5140D" w14:textId="77777777" w:rsidR="00D10BF7" w:rsidRPr="001A6F5D" w:rsidRDefault="001419D4" w:rsidP="00FA766E">
            <w:pPr>
              <w:pStyle w:val="Textocuadrocentrado"/>
              <w:rPr>
                <w:rFonts w:cstheme="minorBidi"/>
                <w:b/>
                <w:szCs w:val="22"/>
              </w:rPr>
            </w:pPr>
            <w:r>
              <w:rPr>
                <w:rFonts w:cstheme="minorBidi"/>
                <w:b/>
                <w:szCs w:val="22"/>
              </w:rPr>
              <w:t>2</w:t>
            </w:r>
          </w:p>
        </w:tc>
        <w:tc>
          <w:tcPr>
            <w:tcW w:w="791" w:type="dxa"/>
            <w:shd w:val="clear" w:color="auto" w:fill="D9D9D9" w:themeFill="background1" w:themeFillShade="D9"/>
            <w:vAlign w:val="center"/>
          </w:tcPr>
          <w:p w14:paraId="663F2D8F" w14:textId="77777777" w:rsidR="00D10BF7" w:rsidRPr="001A6F5D" w:rsidRDefault="001419D4" w:rsidP="00FA766E">
            <w:pPr>
              <w:pStyle w:val="Textocuadrocentrado"/>
              <w:rPr>
                <w:rFonts w:cstheme="minorBidi"/>
                <w:b/>
                <w:szCs w:val="22"/>
              </w:rPr>
            </w:pPr>
            <w:r>
              <w:rPr>
                <w:rFonts w:cstheme="minorBidi"/>
                <w:b/>
                <w:szCs w:val="22"/>
              </w:rPr>
              <w:t>2</w:t>
            </w:r>
          </w:p>
        </w:tc>
      </w:tr>
      <w:tr w:rsidR="00D10BF7" w:rsidRPr="0043350C" w14:paraId="4225D92A" w14:textId="77777777" w:rsidTr="00163151">
        <w:trPr>
          <w:cantSplit/>
          <w:jc w:val="center"/>
        </w:trPr>
        <w:tc>
          <w:tcPr>
            <w:tcW w:w="741" w:type="dxa"/>
            <w:gridSpan w:val="2"/>
            <w:shd w:val="clear" w:color="auto" w:fill="auto"/>
            <w:noWrap/>
            <w:vAlign w:val="center"/>
          </w:tcPr>
          <w:p w14:paraId="0C74F1A0" w14:textId="77777777" w:rsidR="00D10BF7" w:rsidRPr="0043350C" w:rsidRDefault="00D10BF7" w:rsidP="00FA766E">
            <w:pPr>
              <w:pStyle w:val="Textocuadro"/>
            </w:pPr>
          </w:p>
        </w:tc>
        <w:tc>
          <w:tcPr>
            <w:tcW w:w="3170" w:type="dxa"/>
            <w:shd w:val="clear" w:color="auto" w:fill="auto"/>
            <w:noWrap/>
            <w:vAlign w:val="center"/>
          </w:tcPr>
          <w:p w14:paraId="7D664CE1" w14:textId="77777777" w:rsidR="00D10BF7" w:rsidRPr="0043350C" w:rsidRDefault="001419D4" w:rsidP="001419D4">
            <w:pPr>
              <w:pStyle w:val="Textocuadro"/>
            </w:pPr>
            <w:r>
              <w:t>04</w:t>
            </w:r>
            <w:r w:rsidR="00D10BF7" w:rsidRPr="0043350C">
              <w:t xml:space="preserve"> – </w:t>
            </w:r>
            <w:r>
              <w:t>Gobernación</w:t>
            </w:r>
          </w:p>
        </w:tc>
        <w:tc>
          <w:tcPr>
            <w:tcW w:w="993" w:type="dxa"/>
            <w:shd w:val="clear" w:color="auto" w:fill="FFFFFF" w:themeFill="background1"/>
            <w:noWrap/>
            <w:vAlign w:val="center"/>
          </w:tcPr>
          <w:p w14:paraId="58A0580F" w14:textId="77777777" w:rsidR="00D10BF7" w:rsidRPr="0043350C" w:rsidRDefault="00D10BF7" w:rsidP="00FA766E">
            <w:pPr>
              <w:pStyle w:val="Textocuadrocentrado"/>
              <w:rPr>
                <w:rFonts w:cstheme="minorBidi"/>
              </w:rPr>
            </w:pPr>
          </w:p>
        </w:tc>
        <w:tc>
          <w:tcPr>
            <w:tcW w:w="708" w:type="dxa"/>
            <w:shd w:val="clear" w:color="auto" w:fill="FFFFFF" w:themeFill="background1"/>
            <w:vAlign w:val="center"/>
          </w:tcPr>
          <w:p w14:paraId="1A5F2F43" w14:textId="77777777" w:rsidR="00D10BF7" w:rsidRPr="0043350C" w:rsidRDefault="00D10BF7" w:rsidP="00FA766E">
            <w:pPr>
              <w:pStyle w:val="Textocuadrocentrado"/>
              <w:rPr>
                <w:rFonts w:cstheme="minorBidi"/>
              </w:rPr>
            </w:pPr>
            <w:r>
              <w:rPr>
                <w:rFonts w:cstheme="minorBidi"/>
              </w:rPr>
              <w:t>1</w:t>
            </w:r>
          </w:p>
        </w:tc>
        <w:tc>
          <w:tcPr>
            <w:tcW w:w="709" w:type="dxa"/>
            <w:tcBorders>
              <w:right w:val="single" w:sz="4" w:space="0" w:color="auto"/>
            </w:tcBorders>
            <w:shd w:val="clear" w:color="auto" w:fill="FFFFFF" w:themeFill="background1"/>
            <w:vAlign w:val="center"/>
          </w:tcPr>
          <w:p w14:paraId="50A4E1D3" w14:textId="77777777" w:rsidR="00D10BF7" w:rsidRPr="0043350C" w:rsidRDefault="00D10BF7" w:rsidP="00FA766E">
            <w:pPr>
              <w:pStyle w:val="Textocuadrocentrado"/>
              <w:rPr>
                <w:rFonts w:cstheme="minorBidi"/>
              </w:rPr>
            </w:pPr>
            <w:r>
              <w:rPr>
                <w:rFonts w:cstheme="minorBidi"/>
              </w:rPr>
              <w:t>1</w:t>
            </w:r>
          </w:p>
        </w:tc>
        <w:tc>
          <w:tcPr>
            <w:tcW w:w="1051" w:type="dxa"/>
            <w:tcBorders>
              <w:left w:val="single" w:sz="4" w:space="0" w:color="auto"/>
            </w:tcBorders>
            <w:shd w:val="clear" w:color="auto" w:fill="FFFFFF" w:themeFill="background1"/>
            <w:vAlign w:val="center"/>
          </w:tcPr>
          <w:p w14:paraId="6078363D" w14:textId="77777777" w:rsidR="00D10BF7" w:rsidRPr="0043350C" w:rsidRDefault="00D10BF7" w:rsidP="00FA766E">
            <w:pPr>
              <w:pStyle w:val="Textocuadrocentrado"/>
              <w:rPr>
                <w:rFonts w:cstheme="minorBidi"/>
              </w:rPr>
            </w:pPr>
          </w:p>
        </w:tc>
        <w:tc>
          <w:tcPr>
            <w:tcW w:w="558" w:type="dxa"/>
            <w:shd w:val="clear" w:color="auto" w:fill="FFFFFF" w:themeFill="background1"/>
            <w:vAlign w:val="center"/>
          </w:tcPr>
          <w:p w14:paraId="7EC5B326" w14:textId="77777777" w:rsidR="00D10BF7" w:rsidRPr="0043350C" w:rsidRDefault="00D10BF7" w:rsidP="00FA766E">
            <w:pPr>
              <w:pStyle w:val="Textocuadrocentrado"/>
              <w:rPr>
                <w:rFonts w:cstheme="minorBidi"/>
              </w:rPr>
            </w:pPr>
            <w:r w:rsidRPr="0043350C">
              <w:rPr>
                <w:rFonts w:cstheme="minorBidi"/>
              </w:rPr>
              <w:t>1</w:t>
            </w:r>
          </w:p>
        </w:tc>
        <w:tc>
          <w:tcPr>
            <w:tcW w:w="791" w:type="dxa"/>
            <w:shd w:val="clear" w:color="auto" w:fill="FFFFFF" w:themeFill="background1"/>
            <w:vAlign w:val="center"/>
          </w:tcPr>
          <w:p w14:paraId="0176B5B7" w14:textId="77777777" w:rsidR="00D10BF7" w:rsidRPr="0043350C" w:rsidRDefault="00D10BF7" w:rsidP="00FA766E">
            <w:pPr>
              <w:pStyle w:val="Textocuadrocentrado"/>
              <w:rPr>
                <w:rFonts w:cstheme="minorBidi"/>
              </w:rPr>
            </w:pPr>
            <w:r w:rsidRPr="0043350C">
              <w:rPr>
                <w:rFonts w:cstheme="minorBidi"/>
              </w:rPr>
              <w:t>1</w:t>
            </w:r>
          </w:p>
        </w:tc>
      </w:tr>
      <w:tr w:rsidR="001419D4" w:rsidRPr="0043350C" w14:paraId="328BCC0B" w14:textId="77777777" w:rsidTr="00163151">
        <w:trPr>
          <w:cantSplit/>
          <w:jc w:val="center"/>
        </w:trPr>
        <w:tc>
          <w:tcPr>
            <w:tcW w:w="741" w:type="dxa"/>
            <w:gridSpan w:val="2"/>
            <w:shd w:val="clear" w:color="auto" w:fill="auto"/>
            <w:noWrap/>
            <w:vAlign w:val="center"/>
          </w:tcPr>
          <w:p w14:paraId="4108F621" w14:textId="77777777" w:rsidR="001419D4" w:rsidRPr="0043350C" w:rsidRDefault="001419D4" w:rsidP="00FA766E">
            <w:pPr>
              <w:pStyle w:val="Textocuadro"/>
            </w:pPr>
          </w:p>
        </w:tc>
        <w:tc>
          <w:tcPr>
            <w:tcW w:w="3170" w:type="dxa"/>
            <w:shd w:val="clear" w:color="auto" w:fill="auto"/>
            <w:noWrap/>
            <w:vAlign w:val="center"/>
          </w:tcPr>
          <w:p w14:paraId="0FD71513" w14:textId="77777777" w:rsidR="001419D4" w:rsidRDefault="001419D4" w:rsidP="001419D4">
            <w:pPr>
              <w:pStyle w:val="Textocuadro"/>
            </w:pPr>
            <w:r>
              <w:t xml:space="preserve">47 – Entidades </w:t>
            </w:r>
            <w:r w:rsidR="00C00038">
              <w:t>no S</w:t>
            </w:r>
            <w:r>
              <w:t>ectorizadas</w:t>
            </w:r>
          </w:p>
        </w:tc>
        <w:tc>
          <w:tcPr>
            <w:tcW w:w="993" w:type="dxa"/>
            <w:shd w:val="clear" w:color="auto" w:fill="FFFFFF" w:themeFill="background1"/>
            <w:noWrap/>
            <w:vAlign w:val="center"/>
          </w:tcPr>
          <w:p w14:paraId="49503F83" w14:textId="77777777" w:rsidR="001419D4" w:rsidRPr="0043350C" w:rsidRDefault="001419D4" w:rsidP="00FA766E">
            <w:pPr>
              <w:pStyle w:val="Textocuadrocentrado"/>
              <w:rPr>
                <w:rFonts w:cstheme="minorBidi"/>
              </w:rPr>
            </w:pPr>
          </w:p>
        </w:tc>
        <w:tc>
          <w:tcPr>
            <w:tcW w:w="708" w:type="dxa"/>
            <w:shd w:val="clear" w:color="auto" w:fill="FFFFFF" w:themeFill="background1"/>
            <w:vAlign w:val="center"/>
          </w:tcPr>
          <w:p w14:paraId="26A1549D" w14:textId="77777777" w:rsidR="001419D4" w:rsidRDefault="001419D4" w:rsidP="00FA766E">
            <w:pPr>
              <w:pStyle w:val="Textocuadrocentrado"/>
              <w:rPr>
                <w:rFonts w:cstheme="minorBidi"/>
              </w:rPr>
            </w:pPr>
            <w:r>
              <w:rPr>
                <w:rFonts w:cstheme="minorBidi"/>
              </w:rPr>
              <w:t>1</w:t>
            </w:r>
          </w:p>
        </w:tc>
        <w:tc>
          <w:tcPr>
            <w:tcW w:w="709" w:type="dxa"/>
            <w:tcBorders>
              <w:right w:val="single" w:sz="4" w:space="0" w:color="auto"/>
            </w:tcBorders>
            <w:shd w:val="clear" w:color="auto" w:fill="FFFFFF" w:themeFill="background1"/>
            <w:vAlign w:val="center"/>
          </w:tcPr>
          <w:p w14:paraId="1637E494" w14:textId="77777777" w:rsidR="001419D4" w:rsidRDefault="001419D4" w:rsidP="00FA766E">
            <w:pPr>
              <w:pStyle w:val="Textocuadrocentrado"/>
              <w:rPr>
                <w:rFonts w:cstheme="minorBidi"/>
              </w:rPr>
            </w:pPr>
            <w:r>
              <w:rPr>
                <w:rFonts w:cstheme="minorBidi"/>
              </w:rPr>
              <w:t>1</w:t>
            </w:r>
          </w:p>
        </w:tc>
        <w:tc>
          <w:tcPr>
            <w:tcW w:w="1051" w:type="dxa"/>
            <w:tcBorders>
              <w:left w:val="single" w:sz="4" w:space="0" w:color="auto"/>
            </w:tcBorders>
            <w:shd w:val="clear" w:color="auto" w:fill="FFFFFF" w:themeFill="background1"/>
            <w:vAlign w:val="center"/>
          </w:tcPr>
          <w:p w14:paraId="7948B790" w14:textId="77777777" w:rsidR="001419D4" w:rsidRPr="0043350C" w:rsidRDefault="001419D4" w:rsidP="00FA766E">
            <w:pPr>
              <w:pStyle w:val="Textocuadrocentrado"/>
              <w:rPr>
                <w:rFonts w:cstheme="minorBidi"/>
              </w:rPr>
            </w:pPr>
          </w:p>
        </w:tc>
        <w:tc>
          <w:tcPr>
            <w:tcW w:w="558" w:type="dxa"/>
            <w:shd w:val="clear" w:color="auto" w:fill="FFFFFF" w:themeFill="background1"/>
            <w:vAlign w:val="center"/>
          </w:tcPr>
          <w:p w14:paraId="75B6F92F" w14:textId="77777777" w:rsidR="001419D4" w:rsidRPr="0043350C" w:rsidRDefault="001419D4" w:rsidP="00FA766E">
            <w:pPr>
              <w:pStyle w:val="Textocuadrocentrado"/>
              <w:rPr>
                <w:rFonts w:cstheme="minorBidi"/>
              </w:rPr>
            </w:pPr>
            <w:r>
              <w:rPr>
                <w:rFonts w:cstheme="minorBidi"/>
              </w:rPr>
              <w:t>1</w:t>
            </w:r>
          </w:p>
        </w:tc>
        <w:tc>
          <w:tcPr>
            <w:tcW w:w="791" w:type="dxa"/>
            <w:shd w:val="clear" w:color="auto" w:fill="FFFFFF" w:themeFill="background1"/>
            <w:vAlign w:val="center"/>
          </w:tcPr>
          <w:p w14:paraId="0782733E" w14:textId="77777777" w:rsidR="001419D4" w:rsidRPr="0043350C" w:rsidRDefault="001419D4" w:rsidP="00FA766E">
            <w:pPr>
              <w:pStyle w:val="Textocuadrocentrado"/>
              <w:rPr>
                <w:rFonts w:cstheme="minorBidi"/>
              </w:rPr>
            </w:pPr>
            <w:r>
              <w:rPr>
                <w:rFonts w:cstheme="minorBidi"/>
              </w:rPr>
              <w:t>1</w:t>
            </w:r>
          </w:p>
        </w:tc>
      </w:tr>
      <w:tr w:rsidR="00163151" w:rsidRPr="0043350C" w14:paraId="3B0A9A5D" w14:textId="77777777" w:rsidTr="00163151">
        <w:trPr>
          <w:cantSplit/>
          <w:jc w:val="center"/>
        </w:trPr>
        <w:tc>
          <w:tcPr>
            <w:tcW w:w="741" w:type="dxa"/>
            <w:gridSpan w:val="2"/>
            <w:shd w:val="clear" w:color="auto" w:fill="D9D9D9" w:themeFill="background1" w:themeFillShade="D9"/>
            <w:noWrap/>
            <w:vAlign w:val="center"/>
          </w:tcPr>
          <w:p w14:paraId="381F9684" w14:textId="77777777" w:rsidR="00163151" w:rsidRPr="001A6F5D" w:rsidRDefault="00163151" w:rsidP="001419D4">
            <w:pPr>
              <w:pStyle w:val="Textocuadro"/>
              <w:rPr>
                <w:rFonts w:cstheme="minorBidi"/>
                <w:b/>
                <w:szCs w:val="22"/>
              </w:rPr>
            </w:pPr>
          </w:p>
        </w:tc>
        <w:tc>
          <w:tcPr>
            <w:tcW w:w="3170" w:type="dxa"/>
            <w:shd w:val="clear" w:color="auto" w:fill="D9D9D9" w:themeFill="background1" w:themeFillShade="D9"/>
            <w:vAlign w:val="center"/>
          </w:tcPr>
          <w:p w14:paraId="2EDE1B99" w14:textId="77777777" w:rsidR="00163151" w:rsidRPr="001A6F5D" w:rsidRDefault="00163151" w:rsidP="001419D4">
            <w:pPr>
              <w:pStyle w:val="Textocuadro"/>
              <w:rPr>
                <w:rFonts w:cstheme="minorBidi"/>
                <w:b/>
                <w:szCs w:val="22"/>
              </w:rPr>
            </w:pPr>
            <w:r w:rsidRPr="001A6F5D">
              <w:rPr>
                <w:rFonts w:cstheme="minorBidi"/>
                <w:b/>
                <w:szCs w:val="22"/>
              </w:rPr>
              <w:t xml:space="preserve">Específica de </w:t>
            </w:r>
            <w:r>
              <w:rPr>
                <w:rFonts w:cstheme="minorBidi"/>
                <w:b/>
                <w:szCs w:val="22"/>
              </w:rPr>
              <w:t xml:space="preserve">Consistencia y Resultados con módulo </w:t>
            </w:r>
            <w:r w:rsidR="00DE02D9">
              <w:rPr>
                <w:rFonts w:cstheme="minorBidi"/>
                <w:b/>
                <w:szCs w:val="22"/>
              </w:rPr>
              <w:t xml:space="preserve">completo </w:t>
            </w:r>
            <w:r>
              <w:rPr>
                <w:rFonts w:cstheme="minorBidi"/>
                <w:b/>
                <w:szCs w:val="22"/>
              </w:rPr>
              <w:t>de Diseño</w:t>
            </w:r>
          </w:p>
        </w:tc>
        <w:tc>
          <w:tcPr>
            <w:tcW w:w="993" w:type="dxa"/>
            <w:shd w:val="clear" w:color="auto" w:fill="D9D9D9" w:themeFill="background1" w:themeFillShade="D9"/>
            <w:noWrap/>
            <w:vAlign w:val="center"/>
          </w:tcPr>
          <w:p w14:paraId="19D587AA" w14:textId="77777777" w:rsidR="00163151" w:rsidRPr="001A6F5D" w:rsidRDefault="00163151" w:rsidP="00162911">
            <w:pPr>
              <w:pStyle w:val="Textocuadro"/>
              <w:rPr>
                <w:rFonts w:cstheme="minorBidi"/>
                <w:b/>
                <w:szCs w:val="22"/>
              </w:rPr>
            </w:pPr>
          </w:p>
        </w:tc>
        <w:tc>
          <w:tcPr>
            <w:tcW w:w="708" w:type="dxa"/>
            <w:shd w:val="clear" w:color="auto" w:fill="D9D9D9" w:themeFill="background1" w:themeFillShade="D9"/>
            <w:vAlign w:val="center"/>
          </w:tcPr>
          <w:p w14:paraId="2FC23862" w14:textId="77777777" w:rsidR="00163151" w:rsidRPr="001A6F5D" w:rsidRDefault="00163151" w:rsidP="00FA766E">
            <w:pPr>
              <w:pStyle w:val="Textocuadrocentrado"/>
              <w:rPr>
                <w:rFonts w:cstheme="minorBidi"/>
                <w:b/>
                <w:szCs w:val="22"/>
              </w:rPr>
            </w:pPr>
            <w:r>
              <w:rPr>
                <w:rFonts w:cstheme="minorBidi"/>
                <w:b/>
                <w:szCs w:val="22"/>
              </w:rPr>
              <w:t>1</w:t>
            </w:r>
          </w:p>
        </w:tc>
        <w:tc>
          <w:tcPr>
            <w:tcW w:w="709" w:type="dxa"/>
            <w:tcBorders>
              <w:right w:val="single" w:sz="4" w:space="0" w:color="auto"/>
            </w:tcBorders>
            <w:shd w:val="clear" w:color="auto" w:fill="D9D9D9" w:themeFill="background1" w:themeFillShade="D9"/>
            <w:vAlign w:val="center"/>
          </w:tcPr>
          <w:p w14:paraId="48F9E736" w14:textId="77777777" w:rsidR="00163151" w:rsidRPr="001A6F5D" w:rsidRDefault="00163151" w:rsidP="00FA766E">
            <w:pPr>
              <w:pStyle w:val="Textocuadrocentrado"/>
              <w:rPr>
                <w:rFonts w:cstheme="minorBidi"/>
                <w:b/>
                <w:szCs w:val="22"/>
              </w:rPr>
            </w:pPr>
            <w:r>
              <w:rPr>
                <w:rFonts w:cstheme="minorBidi"/>
                <w:b/>
                <w:szCs w:val="22"/>
              </w:rPr>
              <w:t>1</w:t>
            </w:r>
          </w:p>
        </w:tc>
        <w:tc>
          <w:tcPr>
            <w:tcW w:w="1051" w:type="dxa"/>
            <w:tcBorders>
              <w:left w:val="single" w:sz="4" w:space="0" w:color="auto"/>
            </w:tcBorders>
            <w:shd w:val="clear" w:color="auto" w:fill="D9D9D9" w:themeFill="background1" w:themeFillShade="D9"/>
            <w:vAlign w:val="center"/>
          </w:tcPr>
          <w:p w14:paraId="3627D3C4" w14:textId="77777777" w:rsidR="00163151" w:rsidRPr="001A6F5D" w:rsidRDefault="00163151" w:rsidP="00FA766E">
            <w:pPr>
              <w:pStyle w:val="Textocuadrocentrado"/>
              <w:rPr>
                <w:rFonts w:cstheme="minorBidi"/>
                <w:b/>
                <w:szCs w:val="22"/>
              </w:rPr>
            </w:pPr>
          </w:p>
        </w:tc>
        <w:tc>
          <w:tcPr>
            <w:tcW w:w="558" w:type="dxa"/>
            <w:shd w:val="clear" w:color="auto" w:fill="D9D9D9" w:themeFill="background1" w:themeFillShade="D9"/>
            <w:vAlign w:val="center"/>
          </w:tcPr>
          <w:p w14:paraId="30F3D52E" w14:textId="77777777" w:rsidR="00163151" w:rsidRPr="001A6F5D" w:rsidRDefault="00163151" w:rsidP="00FA766E">
            <w:pPr>
              <w:pStyle w:val="Textocuadrocentrado"/>
              <w:rPr>
                <w:rFonts w:cstheme="minorBidi"/>
                <w:b/>
                <w:szCs w:val="22"/>
              </w:rPr>
            </w:pPr>
            <w:r w:rsidRPr="001A6F5D">
              <w:rPr>
                <w:rFonts w:cstheme="minorBidi"/>
                <w:b/>
                <w:szCs w:val="22"/>
              </w:rPr>
              <w:t>1</w:t>
            </w:r>
          </w:p>
        </w:tc>
        <w:tc>
          <w:tcPr>
            <w:tcW w:w="791" w:type="dxa"/>
            <w:shd w:val="clear" w:color="auto" w:fill="D9D9D9" w:themeFill="background1" w:themeFillShade="D9"/>
            <w:vAlign w:val="center"/>
          </w:tcPr>
          <w:p w14:paraId="15460A6C" w14:textId="77777777" w:rsidR="00163151" w:rsidRPr="001A6F5D" w:rsidRDefault="00163151" w:rsidP="00FA766E">
            <w:pPr>
              <w:pStyle w:val="Textocuadrocentrado"/>
              <w:rPr>
                <w:rFonts w:cstheme="minorBidi"/>
                <w:b/>
                <w:szCs w:val="22"/>
              </w:rPr>
            </w:pPr>
            <w:r w:rsidRPr="001A6F5D">
              <w:rPr>
                <w:rFonts w:cstheme="minorBidi"/>
                <w:b/>
                <w:szCs w:val="22"/>
              </w:rPr>
              <w:t>1</w:t>
            </w:r>
          </w:p>
        </w:tc>
      </w:tr>
      <w:tr w:rsidR="00D10BF7" w:rsidRPr="0043350C" w14:paraId="7E8106EF" w14:textId="77777777" w:rsidTr="00163151">
        <w:trPr>
          <w:cantSplit/>
          <w:jc w:val="center"/>
        </w:trPr>
        <w:tc>
          <w:tcPr>
            <w:tcW w:w="741" w:type="dxa"/>
            <w:gridSpan w:val="2"/>
            <w:shd w:val="clear" w:color="auto" w:fill="auto"/>
            <w:noWrap/>
            <w:vAlign w:val="center"/>
          </w:tcPr>
          <w:p w14:paraId="20D0C66B" w14:textId="77777777" w:rsidR="00D10BF7" w:rsidRPr="0043350C" w:rsidRDefault="00D10BF7" w:rsidP="00FA766E">
            <w:pPr>
              <w:pStyle w:val="Textocuadro"/>
            </w:pPr>
          </w:p>
        </w:tc>
        <w:tc>
          <w:tcPr>
            <w:tcW w:w="3170" w:type="dxa"/>
            <w:shd w:val="clear" w:color="auto" w:fill="auto"/>
            <w:noWrap/>
            <w:vAlign w:val="center"/>
          </w:tcPr>
          <w:p w14:paraId="0458A82E" w14:textId="77777777" w:rsidR="00D10BF7" w:rsidRPr="0043350C" w:rsidRDefault="008C03DD" w:rsidP="008C03DD">
            <w:pPr>
              <w:pStyle w:val="Textocuadro"/>
            </w:pPr>
            <w:r>
              <w:t>21</w:t>
            </w:r>
            <w:r w:rsidR="00D10BF7" w:rsidRPr="0043350C">
              <w:t xml:space="preserve"> – </w:t>
            </w:r>
            <w:r>
              <w:t>Turismo</w:t>
            </w:r>
          </w:p>
        </w:tc>
        <w:tc>
          <w:tcPr>
            <w:tcW w:w="993" w:type="dxa"/>
            <w:shd w:val="clear" w:color="auto" w:fill="FFFFFF" w:themeFill="background1"/>
            <w:noWrap/>
            <w:vAlign w:val="center"/>
          </w:tcPr>
          <w:p w14:paraId="58388DC1" w14:textId="77777777" w:rsidR="00D10BF7" w:rsidRPr="0043350C" w:rsidRDefault="00D10BF7" w:rsidP="00FA766E">
            <w:pPr>
              <w:pStyle w:val="Textocuadrocentrado"/>
              <w:rPr>
                <w:rFonts w:cstheme="minorBidi"/>
              </w:rPr>
            </w:pPr>
          </w:p>
        </w:tc>
        <w:tc>
          <w:tcPr>
            <w:tcW w:w="708" w:type="dxa"/>
            <w:shd w:val="clear" w:color="auto" w:fill="FFFFFF" w:themeFill="background1"/>
            <w:vAlign w:val="center"/>
          </w:tcPr>
          <w:p w14:paraId="0CA302ED" w14:textId="77777777" w:rsidR="00D10BF7" w:rsidRPr="0043350C" w:rsidRDefault="00D10BF7" w:rsidP="00FA766E">
            <w:pPr>
              <w:pStyle w:val="Textocuadrocentrado"/>
              <w:rPr>
                <w:rFonts w:cstheme="minorBidi"/>
              </w:rPr>
            </w:pPr>
            <w:r>
              <w:rPr>
                <w:rFonts w:cstheme="minorBidi"/>
              </w:rPr>
              <w:t>1</w:t>
            </w:r>
          </w:p>
        </w:tc>
        <w:tc>
          <w:tcPr>
            <w:tcW w:w="709" w:type="dxa"/>
            <w:tcBorders>
              <w:right w:val="single" w:sz="4" w:space="0" w:color="auto"/>
            </w:tcBorders>
            <w:shd w:val="clear" w:color="auto" w:fill="FFFFFF" w:themeFill="background1"/>
            <w:vAlign w:val="center"/>
          </w:tcPr>
          <w:p w14:paraId="64B40175" w14:textId="77777777" w:rsidR="00D10BF7" w:rsidRPr="0043350C" w:rsidRDefault="00D10BF7" w:rsidP="00FA766E">
            <w:pPr>
              <w:pStyle w:val="Textocuadrocentrado"/>
              <w:rPr>
                <w:rFonts w:cstheme="minorBidi"/>
              </w:rPr>
            </w:pPr>
            <w:r>
              <w:rPr>
                <w:rFonts w:cstheme="minorBidi"/>
              </w:rPr>
              <w:t>1</w:t>
            </w:r>
          </w:p>
        </w:tc>
        <w:tc>
          <w:tcPr>
            <w:tcW w:w="1051" w:type="dxa"/>
            <w:tcBorders>
              <w:left w:val="single" w:sz="4" w:space="0" w:color="auto"/>
            </w:tcBorders>
            <w:shd w:val="clear" w:color="auto" w:fill="FFFFFF" w:themeFill="background1"/>
            <w:vAlign w:val="center"/>
          </w:tcPr>
          <w:p w14:paraId="68A8CAA8" w14:textId="77777777" w:rsidR="00D10BF7" w:rsidRPr="0043350C" w:rsidRDefault="00D10BF7" w:rsidP="00FA766E">
            <w:pPr>
              <w:pStyle w:val="Textocuadrocentrado"/>
              <w:rPr>
                <w:rFonts w:cstheme="minorBidi"/>
              </w:rPr>
            </w:pPr>
          </w:p>
        </w:tc>
        <w:tc>
          <w:tcPr>
            <w:tcW w:w="558" w:type="dxa"/>
            <w:shd w:val="clear" w:color="auto" w:fill="FFFFFF" w:themeFill="background1"/>
            <w:vAlign w:val="center"/>
          </w:tcPr>
          <w:p w14:paraId="2E73711D" w14:textId="77777777" w:rsidR="00D10BF7" w:rsidRPr="0043350C" w:rsidRDefault="00D10BF7" w:rsidP="00FA766E">
            <w:pPr>
              <w:pStyle w:val="Textocuadrocentrado"/>
              <w:rPr>
                <w:rFonts w:cstheme="minorBidi"/>
              </w:rPr>
            </w:pPr>
            <w:r w:rsidRPr="0043350C">
              <w:rPr>
                <w:rFonts w:cstheme="minorBidi"/>
              </w:rPr>
              <w:t>1</w:t>
            </w:r>
          </w:p>
        </w:tc>
        <w:tc>
          <w:tcPr>
            <w:tcW w:w="791" w:type="dxa"/>
            <w:shd w:val="clear" w:color="auto" w:fill="FFFFFF" w:themeFill="background1"/>
            <w:vAlign w:val="center"/>
          </w:tcPr>
          <w:p w14:paraId="1DC73676" w14:textId="77777777" w:rsidR="00D10BF7" w:rsidRPr="0043350C" w:rsidRDefault="00D10BF7" w:rsidP="00FA766E">
            <w:pPr>
              <w:pStyle w:val="Textocuadrocentrado"/>
              <w:rPr>
                <w:rFonts w:cstheme="minorBidi"/>
              </w:rPr>
            </w:pPr>
            <w:r w:rsidRPr="0043350C">
              <w:rPr>
                <w:rFonts w:cstheme="minorBidi"/>
              </w:rPr>
              <w:t>1</w:t>
            </w:r>
          </w:p>
        </w:tc>
      </w:tr>
      <w:tr w:rsidR="00163151" w:rsidRPr="001A6F5D" w14:paraId="52C56ED4" w14:textId="77777777" w:rsidTr="00163151">
        <w:trPr>
          <w:cantSplit/>
          <w:jc w:val="center"/>
        </w:trPr>
        <w:tc>
          <w:tcPr>
            <w:tcW w:w="741" w:type="dxa"/>
            <w:gridSpan w:val="2"/>
            <w:shd w:val="clear" w:color="auto" w:fill="D9D9D9" w:themeFill="background1" w:themeFillShade="D9"/>
            <w:noWrap/>
            <w:vAlign w:val="center"/>
          </w:tcPr>
          <w:p w14:paraId="36F3F643" w14:textId="77777777" w:rsidR="00163151" w:rsidRPr="001A6F5D" w:rsidDel="002E5590" w:rsidRDefault="00163151" w:rsidP="001419D4">
            <w:pPr>
              <w:pStyle w:val="Textocuadro"/>
              <w:rPr>
                <w:rFonts w:cstheme="minorBidi"/>
                <w:b/>
                <w:color w:val="A6A6A6" w:themeColor="background1" w:themeShade="A6"/>
                <w:szCs w:val="22"/>
              </w:rPr>
            </w:pPr>
          </w:p>
        </w:tc>
        <w:tc>
          <w:tcPr>
            <w:tcW w:w="3170" w:type="dxa"/>
            <w:shd w:val="clear" w:color="auto" w:fill="D9D9D9" w:themeFill="background1" w:themeFillShade="D9"/>
            <w:vAlign w:val="center"/>
          </w:tcPr>
          <w:p w14:paraId="483B307F" w14:textId="77777777" w:rsidR="00163151" w:rsidRPr="001A6F5D" w:rsidDel="002E5590" w:rsidRDefault="00163151" w:rsidP="001419D4">
            <w:pPr>
              <w:pStyle w:val="Textocuadro"/>
              <w:rPr>
                <w:rFonts w:cstheme="minorBidi"/>
                <w:b/>
                <w:color w:val="A6A6A6" w:themeColor="background1" w:themeShade="A6"/>
                <w:szCs w:val="22"/>
              </w:rPr>
            </w:pPr>
            <w:r w:rsidRPr="001A6F5D">
              <w:rPr>
                <w:rFonts w:cstheme="minorBidi"/>
                <w:b/>
                <w:szCs w:val="22"/>
              </w:rPr>
              <w:t xml:space="preserve">Específica de </w:t>
            </w:r>
            <w:r>
              <w:rPr>
                <w:rFonts w:cstheme="minorBidi"/>
                <w:b/>
                <w:szCs w:val="22"/>
              </w:rPr>
              <w:t xml:space="preserve">Procesos con módulo </w:t>
            </w:r>
            <w:r w:rsidR="00DE02D9">
              <w:rPr>
                <w:rFonts w:cstheme="minorBidi"/>
                <w:b/>
                <w:szCs w:val="22"/>
              </w:rPr>
              <w:t xml:space="preserve">completo </w:t>
            </w:r>
            <w:r>
              <w:rPr>
                <w:rFonts w:cstheme="minorBidi"/>
                <w:b/>
                <w:szCs w:val="22"/>
              </w:rPr>
              <w:t>de Diseño</w:t>
            </w:r>
          </w:p>
        </w:tc>
        <w:tc>
          <w:tcPr>
            <w:tcW w:w="993" w:type="dxa"/>
            <w:shd w:val="clear" w:color="auto" w:fill="D9D9D9" w:themeFill="background1" w:themeFillShade="D9"/>
            <w:noWrap/>
            <w:vAlign w:val="center"/>
          </w:tcPr>
          <w:p w14:paraId="21C04EE8" w14:textId="77777777" w:rsidR="00163151" w:rsidRPr="001A6F5D" w:rsidRDefault="00163151" w:rsidP="00162911">
            <w:pPr>
              <w:pStyle w:val="Textocuadro"/>
              <w:rPr>
                <w:rFonts w:cstheme="minorBidi"/>
                <w:b/>
                <w:szCs w:val="22"/>
              </w:rPr>
            </w:pPr>
          </w:p>
        </w:tc>
        <w:tc>
          <w:tcPr>
            <w:tcW w:w="708" w:type="dxa"/>
            <w:shd w:val="clear" w:color="auto" w:fill="D9D9D9" w:themeFill="background1" w:themeFillShade="D9"/>
            <w:vAlign w:val="center"/>
          </w:tcPr>
          <w:p w14:paraId="699FDACB" w14:textId="77777777" w:rsidR="00163151" w:rsidRPr="001A6F5D" w:rsidRDefault="00163151" w:rsidP="00FA766E">
            <w:pPr>
              <w:pStyle w:val="Textocuadrocentrado"/>
              <w:rPr>
                <w:rFonts w:cstheme="minorBidi"/>
                <w:b/>
                <w:szCs w:val="22"/>
              </w:rPr>
            </w:pPr>
            <w:r>
              <w:rPr>
                <w:rFonts w:cstheme="minorBidi"/>
                <w:b/>
                <w:szCs w:val="22"/>
              </w:rPr>
              <w:t>1</w:t>
            </w:r>
          </w:p>
        </w:tc>
        <w:tc>
          <w:tcPr>
            <w:tcW w:w="709" w:type="dxa"/>
            <w:tcBorders>
              <w:right w:val="single" w:sz="4" w:space="0" w:color="auto"/>
            </w:tcBorders>
            <w:shd w:val="clear" w:color="auto" w:fill="D9D9D9" w:themeFill="background1" w:themeFillShade="D9"/>
            <w:vAlign w:val="center"/>
          </w:tcPr>
          <w:p w14:paraId="349986A6" w14:textId="77777777" w:rsidR="00163151" w:rsidRPr="001A6F5D" w:rsidRDefault="00163151" w:rsidP="00FA766E">
            <w:pPr>
              <w:pStyle w:val="Textocuadrocentrado"/>
              <w:rPr>
                <w:rFonts w:cstheme="minorBidi"/>
                <w:b/>
                <w:szCs w:val="22"/>
              </w:rPr>
            </w:pPr>
            <w:r>
              <w:rPr>
                <w:rFonts w:cstheme="minorBidi"/>
                <w:b/>
                <w:szCs w:val="22"/>
              </w:rPr>
              <w:t>1</w:t>
            </w:r>
          </w:p>
        </w:tc>
        <w:tc>
          <w:tcPr>
            <w:tcW w:w="1051" w:type="dxa"/>
            <w:tcBorders>
              <w:left w:val="single" w:sz="4" w:space="0" w:color="auto"/>
            </w:tcBorders>
            <w:shd w:val="clear" w:color="auto" w:fill="D9D9D9" w:themeFill="background1" w:themeFillShade="D9"/>
            <w:vAlign w:val="center"/>
          </w:tcPr>
          <w:p w14:paraId="00CF4D2C" w14:textId="77777777" w:rsidR="00163151" w:rsidRPr="001A6F5D" w:rsidRDefault="00163151" w:rsidP="00FA766E">
            <w:pPr>
              <w:pStyle w:val="Textocuadrocentrado"/>
              <w:rPr>
                <w:rFonts w:cstheme="minorBidi"/>
                <w:b/>
                <w:szCs w:val="22"/>
              </w:rPr>
            </w:pPr>
          </w:p>
        </w:tc>
        <w:tc>
          <w:tcPr>
            <w:tcW w:w="558" w:type="dxa"/>
            <w:shd w:val="clear" w:color="auto" w:fill="D9D9D9" w:themeFill="background1" w:themeFillShade="D9"/>
            <w:vAlign w:val="center"/>
          </w:tcPr>
          <w:p w14:paraId="2BD053AC" w14:textId="77777777" w:rsidR="00163151" w:rsidRPr="001A6F5D" w:rsidRDefault="00163151" w:rsidP="00FA766E">
            <w:pPr>
              <w:pStyle w:val="Textocuadrocentrado"/>
              <w:rPr>
                <w:rFonts w:cstheme="minorBidi"/>
                <w:b/>
                <w:szCs w:val="22"/>
              </w:rPr>
            </w:pPr>
            <w:r>
              <w:rPr>
                <w:rFonts w:cstheme="minorBidi"/>
                <w:b/>
                <w:szCs w:val="22"/>
              </w:rPr>
              <w:t>1</w:t>
            </w:r>
          </w:p>
        </w:tc>
        <w:tc>
          <w:tcPr>
            <w:tcW w:w="791" w:type="dxa"/>
            <w:shd w:val="clear" w:color="auto" w:fill="D9D9D9" w:themeFill="background1" w:themeFillShade="D9"/>
            <w:vAlign w:val="center"/>
          </w:tcPr>
          <w:p w14:paraId="7226BA49" w14:textId="77777777" w:rsidR="00163151" w:rsidRPr="001A6F5D" w:rsidRDefault="00163151" w:rsidP="00FA766E">
            <w:pPr>
              <w:pStyle w:val="Textocuadrocentrado"/>
              <w:rPr>
                <w:rFonts w:cstheme="minorBidi"/>
                <w:b/>
                <w:szCs w:val="22"/>
              </w:rPr>
            </w:pPr>
            <w:r>
              <w:rPr>
                <w:rFonts w:cstheme="minorBidi"/>
                <w:b/>
                <w:szCs w:val="22"/>
              </w:rPr>
              <w:t>1</w:t>
            </w:r>
          </w:p>
        </w:tc>
      </w:tr>
      <w:tr w:rsidR="001419D4" w:rsidRPr="0043350C" w14:paraId="1229A6E7" w14:textId="77777777" w:rsidTr="00163151">
        <w:trPr>
          <w:cantSplit/>
          <w:jc w:val="center"/>
        </w:trPr>
        <w:tc>
          <w:tcPr>
            <w:tcW w:w="741" w:type="dxa"/>
            <w:gridSpan w:val="2"/>
            <w:shd w:val="clear" w:color="auto" w:fill="auto"/>
            <w:noWrap/>
            <w:vAlign w:val="center"/>
          </w:tcPr>
          <w:p w14:paraId="7B399740" w14:textId="77777777" w:rsidR="001419D4" w:rsidRPr="0043350C" w:rsidRDefault="001419D4" w:rsidP="00162911">
            <w:pPr>
              <w:pStyle w:val="Textocuadro"/>
            </w:pPr>
          </w:p>
        </w:tc>
        <w:tc>
          <w:tcPr>
            <w:tcW w:w="3170" w:type="dxa"/>
            <w:shd w:val="clear" w:color="auto" w:fill="auto"/>
            <w:noWrap/>
            <w:vAlign w:val="center"/>
          </w:tcPr>
          <w:p w14:paraId="6B6C6317" w14:textId="77777777" w:rsidR="001419D4" w:rsidRPr="0043350C" w:rsidRDefault="008C03DD" w:rsidP="008C03DD">
            <w:pPr>
              <w:pStyle w:val="Textocuadro"/>
            </w:pPr>
            <w:r>
              <w:t>04</w:t>
            </w:r>
            <w:r w:rsidR="001419D4" w:rsidRPr="0043350C">
              <w:t xml:space="preserve"> – </w:t>
            </w:r>
            <w:r>
              <w:t>Gobernación</w:t>
            </w:r>
          </w:p>
        </w:tc>
        <w:tc>
          <w:tcPr>
            <w:tcW w:w="993" w:type="dxa"/>
            <w:shd w:val="clear" w:color="auto" w:fill="FFFFFF" w:themeFill="background1"/>
            <w:noWrap/>
            <w:vAlign w:val="center"/>
          </w:tcPr>
          <w:p w14:paraId="3822587A" w14:textId="77777777" w:rsidR="001419D4" w:rsidRPr="0043350C" w:rsidRDefault="001419D4" w:rsidP="00162911">
            <w:pPr>
              <w:pStyle w:val="Textocuadrocentrado"/>
              <w:rPr>
                <w:rFonts w:cstheme="minorBidi"/>
              </w:rPr>
            </w:pPr>
          </w:p>
        </w:tc>
        <w:tc>
          <w:tcPr>
            <w:tcW w:w="708" w:type="dxa"/>
            <w:shd w:val="clear" w:color="auto" w:fill="FFFFFF" w:themeFill="background1"/>
            <w:vAlign w:val="center"/>
          </w:tcPr>
          <w:p w14:paraId="18A9022F" w14:textId="77777777" w:rsidR="001419D4" w:rsidRPr="0043350C" w:rsidRDefault="00163151" w:rsidP="00162911">
            <w:pPr>
              <w:pStyle w:val="Textocuadrocentrado"/>
              <w:rPr>
                <w:rFonts w:cstheme="minorBidi"/>
              </w:rPr>
            </w:pPr>
            <w:r>
              <w:rPr>
                <w:rFonts w:cstheme="minorBidi"/>
              </w:rPr>
              <w:t>1</w:t>
            </w:r>
          </w:p>
        </w:tc>
        <w:tc>
          <w:tcPr>
            <w:tcW w:w="709" w:type="dxa"/>
            <w:tcBorders>
              <w:right w:val="single" w:sz="4" w:space="0" w:color="auto"/>
            </w:tcBorders>
            <w:shd w:val="clear" w:color="auto" w:fill="FFFFFF" w:themeFill="background1"/>
            <w:vAlign w:val="center"/>
          </w:tcPr>
          <w:p w14:paraId="26C591F4" w14:textId="77777777" w:rsidR="001419D4" w:rsidRPr="0043350C" w:rsidRDefault="00163151" w:rsidP="00162911">
            <w:pPr>
              <w:pStyle w:val="Textocuadrocentrado"/>
              <w:rPr>
                <w:rFonts w:cstheme="minorBidi"/>
              </w:rPr>
            </w:pPr>
            <w:r>
              <w:rPr>
                <w:rFonts w:cstheme="minorBidi"/>
              </w:rPr>
              <w:t>1</w:t>
            </w:r>
          </w:p>
        </w:tc>
        <w:tc>
          <w:tcPr>
            <w:tcW w:w="1051" w:type="dxa"/>
            <w:tcBorders>
              <w:left w:val="single" w:sz="4" w:space="0" w:color="auto"/>
            </w:tcBorders>
            <w:shd w:val="clear" w:color="auto" w:fill="FFFFFF" w:themeFill="background1"/>
            <w:vAlign w:val="center"/>
          </w:tcPr>
          <w:p w14:paraId="047CFF0F" w14:textId="77777777" w:rsidR="001419D4" w:rsidRPr="0043350C" w:rsidRDefault="001419D4" w:rsidP="00162911">
            <w:pPr>
              <w:pStyle w:val="Textocuadrocentrado"/>
              <w:rPr>
                <w:rFonts w:cstheme="minorBidi"/>
              </w:rPr>
            </w:pPr>
          </w:p>
        </w:tc>
        <w:tc>
          <w:tcPr>
            <w:tcW w:w="558" w:type="dxa"/>
            <w:shd w:val="clear" w:color="auto" w:fill="FFFFFF" w:themeFill="background1"/>
            <w:vAlign w:val="center"/>
          </w:tcPr>
          <w:p w14:paraId="4A518584" w14:textId="77777777" w:rsidR="001419D4" w:rsidRPr="0043350C" w:rsidRDefault="00163151" w:rsidP="00162911">
            <w:pPr>
              <w:pStyle w:val="Textocuadrocentrado"/>
              <w:rPr>
                <w:rFonts w:cstheme="minorBidi"/>
              </w:rPr>
            </w:pPr>
            <w:r>
              <w:rPr>
                <w:rFonts w:cstheme="minorBidi"/>
              </w:rPr>
              <w:t>1</w:t>
            </w:r>
          </w:p>
        </w:tc>
        <w:tc>
          <w:tcPr>
            <w:tcW w:w="791" w:type="dxa"/>
            <w:shd w:val="clear" w:color="auto" w:fill="FFFFFF" w:themeFill="background1"/>
            <w:vAlign w:val="center"/>
          </w:tcPr>
          <w:p w14:paraId="347BF318" w14:textId="77777777" w:rsidR="001419D4" w:rsidRPr="0043350C" w:rsidRDefault="001419D4" w:rsidP="00162911">
            <w:pPr>
              <w:pStyle w:val="Textocuadrocentrado"/>
              <w:rPr>
                <w:rFonts w:cstheme="minorBidi"/>
              </w:rPr>
            </w:pPr>
            <w:r w:rsidRPr="0043350C">
              <w:rPr>
                <w:rFonts w:cstheme="minorBidi"/>
              </w:rPr>
              <w:t>1</w:t>
            </w:r>
          </w:p>
        </w:tc>
      </w:tr>
      <w:tr w:rsidR="00D10BF7" w:rsidRPr="001A6F5D" w14:paraId="30349BC6" w14:textId="77777777" w:rsidTr="00FC5FC6">
        <w:trPr>
          <w:cantSplit/>
          <w:trHeight w:hRule="exact" w:val="57"/>
          <w:jc w:val="center"/>
        </w:trPr>
        <w:tc>
          <w:tcPr>
            <w:tcW w:w="3911" w:type="dxa"/>
            <w:gridSpan w:val="3"/>
            <w:shd w:val="clear" w:color="auto" w:fill="auto"/>
            <w:noWrap/>
            <w:vAlign w:val="center"/>
          </w:tcPr>
          <w:p w14:paraId="62F4B4D2" w14:textId="77777777" w:rsidR="00D10BF7" w:rsidRPr="001A6F5D" w:rsidRDefault="00D10BF7" w:rsidP="00FA766E">
            <w:pPr>
              <w:pStyle w:val="Textocuadro"/>
              <w:rPr>
                <w:rFonts w:cstheme="minorBidi"/>
                <w:b/>
                <w:bCs/>
              </w:rPr>
            </w:pPr>
          </w:p>
        </w:tc>
        <w:tc>
          <w:tcPr>
            <w:tcW w:w="993" w:type="dxa"/>
            <w:shd w:val="clear" w:color="auto" w:fill="auto"/>
            <w:noWrap/>
            <w:vAlign w:val="center"/>
          </w:tcPr>
          <w:p w14:paraId="60C9D260" w14:textId="77777777" w:rsidR="00D10BF7" w:rsidRPr="001A6F5D" w:rsidRDefault="00D10BF7" w:rsidP="00FA766E">
            <w:pPr>
              <w:pStyle w:val="Textocuadrocentrado"/>
              <w:rPr>
                <w:rFonts w:cstheme="minorBidi"/>
                <w:b/>
                <w:bCs/>
              </w:rPr>
            </w:pPr>
          </w:p>
        </w:tc>
        <w:tc>
          <w:tcPr>
            <w:tcW w:w="708" w:type="dxa"/>
            <w:shd w:val="clear" w:color="auto" w:fill="auto"/>
            <w:vAlign w:val="center"/>
          </w:tcPr>
          <w:p w14:paraId="399890E8" w14:textId="77777777" w:rsidR="00D10BF7" w:rsidRPr="001A6F5D" w:rsidRDefault="00D10BF7" w:rsidP="00FA766E">
            <w:pPr>
              <w:pStyle w:val="Textocuadrocentrado"/>
              <w:rPr>
                <w:rFonts w:cstheme="minorBidi"/>
                <w:b/>
                <w:bCs/>
              </w:rPr>
            </w:pPr>
          </w:p>
        </w:tc>
        <w:tc>
          <w:tcPr>
            <w:tcW w:w="709" w:type="dxa"/>
            <w:tcBorders>
              <w:right w:val="single" w:sz="4" w:space="0" w:color="auto"/>
            </w:tcBorders>
            <w:shd w:val="clear" w:color="auto" w:fill="auto"/>
            <w:vAlign w:val="center"/>
          </w:tcPr>
          <w:p w14:paraId="2CFBDA91" w14:textId="77777777" w:rsidR="00D10BF7" w:rsidRPr="001A6F5D" w:rsidRDefault="00D10BF7" w:rsidP="00FA766E">
            <w:pPr>
              <w:pStyle w:val="Textocuadrocentrado"/>
              <w:rPr>
                <w:rFonts w:cstheme="minorBidi"/>
                <w:b/>
                <w:bCs/>
              </w:rPr>
            </w:pPr>
          </w:p>
        </w:tc>
        <w:tc>
          <w:tcPr>
            <w:tcW w:w="1051" w:type="dxa"/>
            <w:tcBorders>
              <w:left w:val="single" w:sz="4" w:space="0" w:color="auto"/>
            </w:tcBorders>
            <w:shd w:val="clear" w:color="auto" w:fill="auto"/>
            <w:vAlign w:val="center"/>
          </w:tcPr>
          <w:p w14:paraId="54FCAEB0" w14:textId="77777777" w:rsidR="00D10BF7" w:rsidRPr="001A6F5D" w:rsidRDefault="00D10BF7" w:rsidP="00FA766E">
            <w:pPr>
              <w:pStyle w:val="Textocuadrocentrado"/>
              <w:rPr>
                <w:rFonts w:cstheme="minorBidi"/>
                <w:b/>
                <w:bCs/>
              </w:rPr>
            </w:pPr>
          </w:p>
        </w:tc>
        <w:tc>
          <w:tcPr>
            <w:tcW w:w="558" w:type="dxa"/>
            <w:shd w:val="clear" w:color="auto" w:fill="auto"/>
            <w:vAlign w:val="center"/>
          </w:tcPr>
          <w:p w14:paraId="7CC670BF" w14:textId="77777777" w:rsidR="00D10BF7" w:rsidRPr="001A6F5D" w:rsidRDefault="00D10BF7" w:rsidP="00FA766E">
            <w:pPr>
              <w:pStyle w:val="Textocuadrocentrado"/>
              <w:rPr>
                <w:rFonts w:cstheme="minorBidi"/>
                <w:b/>
                <w:bCs/>
              </w:rPr>
            </w:pPr>
          </w:p>
        </w:tc>
        <w:tc>
          <w:tcPr>
            <w:tcW w:w="791" w:type="dxa"/>
            <w:shd w:val="clear" w:color="auto" w:fill="auto"/>
            <w:vAlign w:val="center"/>
          </w:tcPr>
          <w:p w14:paraId="63E05548" w14:textId="77777777" w:rsidR="00D10BF7" w:rsidRPr="001A6F5D" w:rsidRDefault="00D10BF7" w:rsidP="00FA766E">
            <w:pPr>
              <w:pStyle w:val="Textocuadrocentrado"/>
              <w:rPr>
                <w:rFonts w:cstheme="minorBidi"/>
                <w:b/>
                <w:bCs/>
              </w:rPr>
            </w:pPr>
          </w:p>
        </w:tc>
      </w:tr>
      <w:tr w:rsidR="00D10BF7" w:rsidRPr="0043350C" w14:paraId="1E1FFADA" w14:textId="77777777" w:rsidTr="00FC5FC6">
        <w:trPr>
          <w:cantSplit/>
          <w:jc w:val="center"/>
        </w:trPr>
        <w:tc>
          <w:tcPr>
            <w:tcW w:w="8721" w:type="dxa"/>
            <w:gridSpan w:val="9"/>
            <w:tcBorders>
              <w:top w:val="single" w:sz="12" w:space="0" w:color="auto"/>
            </w:tcBorders>
            <w:shd w:val="clear" w:color="auto" w:fill="auto"/>
            <w:noWrap/>
            <w:vAlign w:val="center"/>
          </w:tcPr>
          <w:p w14:paraId="6D48D4FE" w14:textId="77777777" w:rsidR="00D10BF7" w:rsidRPr="00D10BF7" w:rsidRDefault="00D10BF7" w:rsidP="00D10BF7">
            <w:pPr>
              <w:spacing w:before="20"/>
              <w:jc w:val="both"/>
              <w:rPr>
                <w:rFonts w:eastAsia="Arial Unicode MS" w:cstheme="minorBidi"/>
                <w:sz w:val="12"/>
              </w:rPr>
            </w:pPr>
            <w:r w:rsidRPr="00DE52EE">
              <w:rPr>
                <w:rFonts w:eastAsia="Arial Unicode MS" w:cstheme="minorBidi"/>
                <w:sz w:val="12"/>
              </w:rPr>
              <w:t>Fuente: Unidad de Evaluación del Desempeño</w:t>
            </w:r>
            <w:r>
              <w:rPr>
                <w:rFonts w:eastAsia="Arial Unicode MS" w:cstheme="minorBidi"/>
                <w:sz w:val="12"/>
              </w:rPr>
              <w:t xml:space="preserve"> (UED)</w:t>
            </w:r>
            <w:r w:rsidRPr="00DE52EE">
              <w:rPr>
                <w:rFonts w:eastAsia="Arial Unicode MS" w:cstheme="minorBidi"/>
                <w:sz w:val="12"/>
              </w:rPr>
              <w:t xml:space="preserve"> con información proporcionada por las dependencias y entidades de la Administración Pública Federal.</w:t>
            </w:r>
          </w:p>
        </w:tc>
      </w:tr>
    </w:tbl>
    <w:p w14:paraId="4BE74A4C" w14:textId="77777777" w:rsidR="00201A91" w:rsidRPr="00D10BF7" w:rsidRDefault="00201A91" w:rsidP="00932E6A">
      <w:pPr>
        <w:pStyle w:val="Ttulo3"/>
        <w:spacing w:after="120"/>
        <w:rPr>
          <w:lang w:val="es-ES_tradnl"/>
        </w:rPr>
      </w:pPr>
      <w:bookmarkStart w:id="5" w:name="_Toc479599265"/>
      <w:bookmarkStart w:id="6" w:name="_Toc480972640"/>
      <w:bookmarkStart w:id="7" w:name="_Toc495604035"/>
    </w:p>
    <w:p w14:paraId="031A1BEE" w14:textId="77777777" w:rsidR="00CD08AC" w:rsidRPr="0043350C" w:rsidRDefault="00D0291B" w:rsidP="00CD08AC">
      <w:pPr>
        <w:pStyle w:val="Cdetexto"/>
        <w:rPr>
          <w:rFonts w:eastAsia="Calibri"/>
        </w:rPr>
      </w:pPr>
      <w:r>
        <w:rPr>
          <w:rFonts w:eastAsia="Calibri"/>
        </w:rPr>
        <w:t>En la siguiente sección</w:t>
      </w:r>
      <w:r w:rsidR="00CD08AC" w:rsidRPr="0043350C">
        <w:rPr>
          <w:rFonts w:eastAsia="Calibri"/>
        </w:rPr>
        <w:t xml:space="preserve"> se presenta una síntesis de los resultados de las evaluaciones recibidas </w:t>
      </w:r>
      <w:r w:rsidR="00CD08AC" w:rsidRPr="006241BE">
        <w:rPr>
          <w:rFonts w:eastAsia="Calibri"/>
        </w:rPr>
        <w:t xml:space="preserve">en el </w:t>
      </w:r>
      <w:r w:rsidR="001015F7">
        <w:rPr>
          <w:rFonts w:eastAsia="Calibri"/>
        </w:rPr>
        <w:t>primer</w:t>
      </w:r>
      <w:r w:rsidR="00CD08AC" w:rsidRPr="0043350C">
        <w:rPr>
          <w:rFonts w:eastAsia="Calibri"/>
        </w:rPr>
        <w:t xml:space="preserve"> trimestre de 201</w:t>
      </w:r>
      <w:r w:rsidR="00D10BF7">
        <w:rPr>
          <w:rFonts w:eastAsia="Calibri"/>
        </w:rPr>
        <w:t>8</w:t>
      </w:r>
      <w:r w:rsidR="00CD08AC" w:rsidRPr="0043350C">
        <w:rPr>
          <w:rFonts w:eastAsia="Calibri"/>
        </w:rPr>
        <w:t>, así como de sus principales hallazgos y recomendaciones.</w:t>
      </w:r>
    </w:p>
    <w:p w14:paraId="1BAE3688" w14:textId="77777777" w:rsidR="00CD08AC" w:rsidRDefault="00CD08AC" w:rsidP="00932E6A">
      <w:pPr>
        <w:pStyle w:val="Ttulo3"/>
        <w:spacing w:after="120"/>
      </w:pPr>
    </w:p>
    <w:p w14:paraId="056EB450" w14:textId="77777777" w:rsidR="00CD08AC" w:rsidRDefault="00CD08AC">
      <w:pPr>
        <w:spacing w:after="0"/>
        <w:rPr>
          <w:rFonts w:eastAsiaTheme="majorEastAsia" w:cstheme="majorBidi"/>
          <w:b/>
          <w:bCs/>
          <w:szCs w:val="22"/>
          <w:lang w:val="es-MX" w:eastAsia="en-US"/>
        </w:rPr>
      </w:pPr>
      <w:r>
        <w:br w:type="page"/>
      </w:r>
    </w:p>
    <w:p w14:paraId="03080E53" w14:textId="77777777" w:rsidR="006C2077" w:rsidRPr="00932E6A" w:rsidRDefault="006435C0" w:rsidP="00932E6A">
      <w:pPr>
        <w:pStyle w:val="Ttulo3"/>
        <w:spacing w:after="120"/>
      </w:pPr>
      <w:bookmarkStart w:id="8" w:name="_Toc512364666"/>
      <w:r w:rsidRPr="00932E6A">
        <w:lastRenderedPageBreak/>
        <w:t>SÍNTESIS DE EVALUACIONES</w:t>
      </w:r>
      <w:bookmarkEnd w:id="5"/>
      <w:bookmarkEnd w:id="6"/>
      <w:bookmarkEnd w:id="7"/>
      <w:bookmarkEnd w:id="8"/>
    </w:p>
    <w:p w14:paraId="671A2E89" w14:textId="77777777" w:rsidR="006C2077" w:rsidRPr="00932E6A" w:rsidRDefault="006C2077" w:rsidP="00932E6A">
      <w:pPr>
        <w:pStyle w:val="Cdetexto"/>
      </w:pPr>
      <w:r w:rsidRPr="00932E6A">
        <w:t xml:space="preserve">En este apartado se presentan los </w:t>
      </w:r>
      <w:r w:rsidRPr="006241BE">
        <w:t xml:space="preserve">principales resultados de </w:t>
      </w:r>
      <w:r w:rsidRPr="00163151">
        <w:t xml:space="preserve">las </w:t>
      </w:r>
      <w:r w:rsidR="00D10BF7" w:rsidRPr="00163151">
        <w:t>21</w:t>
      </w:r>
      <w:r w:rsidRPr="00163151">
        <w:t xml:space="preserve"> evaluaciones</w:t>
      </w:r>
      <w:r w:rsidRPr="006241BE">
        <w:t xml:space="preserve"> reportadas </w:t>
      </w:r>
      <w:r w:rsidR="00F97BC2" w:rsidRPr="006241BE">
        <w:t xml:space="preserve">durante el </w:t>
      </w:r>
      <w:r w:rsidR="00D10BF7">
        <w:t>primer</w:t>
      </w:r>
      <w:r w:rsidR="00035BF4" w:rsidRPr="006241BE">
        <w:t xml:space="preserve"> </w:t>
      </w:r>
      <w:r w:rsidR="00F97BC2" w:rsidRPr="006241BE">
        <w:t>trimestre de</w:t>
      </w:r>
      <w:r w:rsidRPr="006241BE">
        <w:t xml:space="preserve"> 201</w:t>
      </w:r>
      <w:r w:rsidR="00D10BF7">
        <w:t>8</w:t>
      </w:r>
      <w:r w:rsidRPr="006241BE">
        <w:t xml:space="preserve"> a</w:t>
      </w:r>
      <w:r w:rsidRPr="00932E6A">
        <w:t xml:space="preserve"> la SHCP. Para cada una de ellas, se incluye l</w:t>
      </w:r>
      <w:r w:rsidR="00246F33">
        <w:t>a</w:t>
      </w:r>
      <w:r w:rsidRPr="00932E6A">
        <w:t xml:space="preserve"> siguiente </w:t>
      </w:r>
      <w:r w:rsidR="00246F33">
        <w:t>información de referencia</w:t>
      </w:r>
      <w:r w:rsidRPr="00932E6A">
        <w:t>:</w:t>
      </w:r>
    </w:p>
    <w:p w14:paraId="72783A4D" w14:textId="77777777" w:rsidR="006C2077" w:rsidRPr="00932E6A" w:rsidRDefault="006C2077" w:rsidP="00000CD2">
      <w:pPr>
        <w:pStyle w:val="Bala"/>
        <w:numPr>
          <w:ilvl w:val="0"/>
          <w:numId w:val="17"/>
        </w:numPr>
        <w:ind w:left="426"/>
      </w:pPr>
      <w:r w:rsidRPr="00932E6A">
        <w:t xml:space="preserve">Ramo. </w:t>
      </w:r>
    </w:p>
    <w:p w14:paraId="09618879" w14:textId="77777777" w:rsidR="006C2077" w:rsidRPr="00932E6A" w:rsidRDefault="006C2077" w:rsidP="00000CD2">
      <w:pPr>
        <w:pStyle w:val="Bala"/>
        <w:numPr>
          <w:ilvl w:val="0"/>
          <w:numId w:val="17"/>
        </w:numPr>
        <w:ind w:left="426"/>
      </w:pPr>
      <w:r w:rsidRPr="00932E6A">
        <w:t>Clave y denominación del Pp.</w:t>
      </w:r>
    </w:p>
    <w:p w14:paraId="7DBD3E07" w14:textId="77777777" w:rsidR="006C2077" w:rsidRPr="00932E6A" w:rsidRDefault="006C2077" w:rsidP="00000CD2">
      <w:pPr>
        <w:pStyle w:val="Bala"/>
        <w:numPr>
          <w:ilvl w:val="0"/>
          <w:numId w:val="17"/>
        </w:numPr>
        <w:ind w:left="426"/>
      </w:pPr>
      <w:r w:rsidRPr="00932E6A">
        <w:t>Unidad(es) Administrativa(s) responsable(s) de la operación del Pp.</w:t>
      </w:r>
    </w:p>
    <w:p w14:paraId="60019BF6" w14:textId="77777777" w:rsidR="006C2077" w:rsidRPr="00932E6A" w:rsidRDefault="006C2077" w:rsidP="00000CD2">
      <w:pPr>
        <w:pStyle w:val="Bala"/>
        <w:numPr>
          <w:ilvl w:val="0"/>
          <w:numId w:val="17"/>
        </w:numPr>
        <w:ind w:left="426"/>
      </w:pPr>
      <w:r w:rsidRPr="00932E6A">
        <w:t>Nombre del(a) funcionario(a) responsable de la operación del Pp.</w:t>
      </w:r>
    </w:p>
    <w:p w14:paraId="38C90B4D" w14:textId="77777777" w:rsidR="006C2077" w:rsidRPr="00932E6A" w:rsidRDefault="006C2077" w:rsidP="00000CD2">
      <w:pPr>
        <w:pStyle w:val="Bala"/>
        <w:numPr>
          <w:ilvl w:val="0"/>
          <w:numId w:val="17"/>
        </w:numPr>
        <w:ind w:left="426"/>
      </w:pPr>
      <w:r w:rsidRPr="00932E6A">
        <w:t>Tipo y origen de la evaluación.</w:t>
      </w:r>
    </w:p>
    <w:p w14:paraId="13C36822" w14:textId="77777777" w:rsidR="006C2077" w:rsidRPr="00932E6A" w:rsidRDefault="006C2077" w:rsidP="00932E6A">
      <w:pPr>
        <w:pStyle w:val="Cdetexto"/>
      </w:pPr>
      <w:r w:rsidRPr="00932E6A">
        <w:t>Posteriormente, se integra una síntesis del contenido de la evaluación</w:t>
      </w:r>
      <w:r w:rsidR="00215BE8" w:rsidRPr="00215BE8">
        <w:t xml:space="preserve"> </w:t>
      </w:r>
      <w:r w:rsidR="00215BE8" w:rsidRPr="0043350C">
        <w:t>dividida en tres rubros</w:t>
      </w:r>
      <w:r w:rsidRPr="00932E6A">
        <w:t>:</w:t>
      </w:r>
    </w:p>
    <w:p w14:paraId="4A7EAE0D" w14:textId="77777777" w:rsidR="006C2077" w:rsidRPr="00932E6A" w:rsidRDefault="006C2077" w:rsidP="00000CD2">
      <w:pPr>
        <w:pStyle w:val="Bala"/>
        <w:numPr>
          <w:ilvl w:val="0"/>
          <w:numId w:val="17"/>
        </w:numPr>
        <w:ind w:left="426"/>
      </w:pPr>
      <w:r w:rsidRPr="00932E6A">
        <w:t xml:space="preserve">Descripción del Pp. </w:t>
      </w:r>
    </w:p>
    <w:p w14:paraId="78E8106C" w14:textId="77777777" w:rsidR="006C2077" w:rsidRPr="00932E6A" w:rsidRDefault="006C2077" w:rsidP="00000CD2">
      <w:pPr>
        <w:pStyle w:val="Bala"/>
        <w:numPr>
          <w:ilvl w:val="0"/>
          <w:numId w:val="17"/>
        </w:numPr>
        <w:ind w:left="426"/>
      </w:pPr>
      <w:r w:rsidRPr="00932E6A">
        <w:t>Principales hallazgos.</w:t>
      </w:r>
    </w:p>
    <w:p w14:paraId="79CAE80E" w14:textId="77777777" w:rsidR="006C2077" w:rsidRPr="00932E6A" w:rsidRDefault="006C2077" w:rsidP="00000CD2">
      <w:pPr>
        <w:pStyle w:val="Bala"/>
        <w:numPr>
          <w:ilvl w:val="0"/>
          <w:numId w:val="17"/>
        </w:numPr>
        <w:ind w:left="426"/>
      </w:pPr>
      <w:r w:rsidRPr="00932E6A">
        <w:t>Principales recomendaciones.</w:t>
      </w:r>
    </w:p>
    <w:p w14:paraId="783565C8" w14:textId="77777777" w:rsidR="006C2077" w:rsidRPr="00932E6A" w:rsidRDefault="006C2077" w:rsidP="00932E6A">
      <w:pPr>
        <w:pStyle w:val="Cdetexto"/>
      </w:pPr>
      <w:r w:rsidRPr="00932E6A">
        <w:t xml:space="preserve">Asimismo, se brinda información acerca de </w:t>
      </w:r>
      <w:r w:rsidR="00215BE8">
        <w:t>la</w:t>
      </w:r>
      <w:r w:rsidRPr="00932E6A">
        <w:t xml:space="preserve"> contratación de la evaluación:</w:t>
      </w:r>
    </w:p>
    <w:p w14:paraId="338E9DDF" w14:textId="77777777" w:rsidR="006C2077" w:rsidRPr="00932E6A" w:rsidRDefault="006C2077" w:rsidP="00000CD2">
      <w:pPr>
        <w:pStyle w:val="Bala"/>
        <w:numPr>
          <w:ilvl w:val="0"/>
          <w:numId w:val="17"/>
        </w:numPr>
        <w:ind w:left="426"/>
      </w:pPr>
      <w:r w:rsidRPr="00932E6A">
        <w:t>Evaluador externo: Instancia evaluadora, coordinador(a) de la evaluación y forma de contratación.</w:t>
      </w:r>
    </w:p>
    <w:p w14:paraId="014B435D" w14:textId="77777777" w:rsidR="006C2077" w:rsidRPr="00932E6A" w:rsidRDefault="006C2077" w:rsidP="00000CD2">
      <w:pPr>
        <w:pStyle w:val="Bala"/>
        <w:numPr>
          <w:ilvl w:val="0"/>
          <w:numId w:val="17"/>
        </w:numPr>
        <w:ind w:left="426"/>
      </w:pPr>
      <w:r w:rsidRPr="00932E6A">
        <w:t xml:space="preserve">Costo de la evaluación. </w:t>
      </w:r>
    </w:p>
    <w:p w14:paraId="3F6407F9" w14:textId="77777777" w:rsidR="006C2077" w:rsidRPr="00932E6A" w:rsidRDefault="006C2077" w:rsidP="00000CD2">
      <w:pPr>
        <w:pStyle w:val="Bala"/>
        <w:numPr>
          <w:ilvl w:val="0"/>
          <w:numId w:val="17"/>
        </w:numPr>
        <w:ind w:left="426"/>
      </w:pPr>
      <w:r w:rsidRPr="00932E6A">
        <w:t>Fuente de financiamiento.</w:t>
      </w:r>
    </w:p>
    <w:p w14:paraId="7B92B658" w14:textId="77777777" w:rsidR="006C2077" w:rsidRPr="00932E6A" w:rsidRDefault="006C2077" w:rsidP="00000CD2">
      <w:pPr>
        <w:pStyle w:val="Bala"/>
        <w:numPr>
          <w:ilvl w:val="0"/>
          <w:numId w:val="17"/>
        </w:numPr>
        <w:ind w:left="426"/>
      </w:pPr>
      <w:r w:rsidRPr="00932E6A">
        <w:t>Dirección electrónica del sitio web en donde puede consultar</w:t>
      </w:r>
      <w:r w:rsidR="00215BE8">
        <w:t>se</w:t>
      </w:r>
      <w:r w:rsidRPr="00932E6A">
        <w:t xml:space="preserve"> el informe final de la evaluación.</w:t>
      </w:r>
    </w:p>
    <w:p w14:paraId="466A3FEF" w14:textId="77777777" w:rsidR="006C2077" w:rsidRPr="00932E6A" w:rsidRDefault="006C2077" w:rsidP="00932E6A">
      <w:pPr>
        <w:pStyle w:val="Cdetexto"/>
      </w:pPr>
      <w:r w:rsidRPr="00932E6A">
        <w:t xml:space="preserve">La información reportada en las síntesis de las evaluaciones está contenida en los informes publicados por las dependencias responsables de los </w:t>
      </w:r>
      <w:proofErr w:type="spellStart"/>
      <w:r w:rsidRPr="00932E6A">
        <w:t>Pp</w:t>
      </w:r>
      <w:proofErr w:type="spellEnd"/>
      <w:r w:rsidRPr="00932E6A">
        <w:t xml:space="preserve"> que son sujetos a evaluación, conforme a lo establecido en el artículo 110 de la LFPRH, y se basan en el informe final presentado por la instancia evaluadora externa a cargo de cada una de ellas, por lo que reflejan el resultado del análisis realizado por cada evaluador externo. </w:t>
      </w:r>
    </w:p>
    <w:p w14:paraId="7523984D" w14:textId="77777777" w:rsidR="005A7CAD" w:rsidRDefault="006C2077" w:rsidP="002151EA">
      <w:pPr>
        <w:pStyle w:val="Cdetexto"/>
      </w:pPr>
      <w:r w:rsidRPr="00932E6A">
        <w:t xml:space="preserve">Cabe señalar que con el fin de fortalecer la transparencia </w:t>
      </w:r>
      <w:r w:rsidR="00EC4392">
        <w:t>del gasto público</w:t>
      </w:r>
      <w:r w:rsidRPr="00932E6A">
        <w:t xml:space="preserve">, la SHCP ha puesto a disposición del público en general los informes finales de las evaluaciones en el Portal de Transparencia Presupuestaria a través de la siguiente dirección electrónica: </w:t>
      </w:r>
      <w:hyperlink r:id="rId8" w:history="1">
        <w:r w:rsidR="00734546" w:rsidRPr="008C28E3">
          <w:rPr>
            <w:rStyle w:val="Hipervnculo"/>
          </w:rPr>
          <w:t>http://www.transparenciapresupuestaria.gob.mx/es/PTP/evaluaciones</w:t>
        </w:r>
      </w:hyperlink>
      <w:r w:rsidRPr="00932E6A">
        <w:t xml:space="preserve">, en </w:t>
      </w:r>
      <w:r w:rsidR="00693E1D">
        <w:t>la</w:t>
      </w:r>
      <w:r w:rsidRPr="00932E6A">
        <w:t xml:space="preserve"> </w:t>
      </w:r>
      <w:r w:rsidR="00693E1D">
        <w:t xml:space="preserve">que </w:t>
      </w:r>
      <w:r w:rsidRPr="00932E6A">
        <w:t>pueden consultarse los informes a partir de</w:t>
      </w:r>
      <w:r w:rsidR="00B1153F">
        <w:t>, entre otros,</w:t>
      </w:r>
      <w:r w:rsidRPr="00932E6A">
        <w:t xml:space="preserve"> los siguientes criterios de búsqueda:</w:t>
      </w:r>
    </w:p>
    <w:p w14:paraId="7196B210" w14:textId="77777777" w:rsidR="005A7CAD" w:rsidRDefault="005A7CAD" w:rsidP="005A7CAD">
      <w:pPr>
        <w:pStyle w:val="Cdetexto"/>
        <w:numPr>
          <w:ilvl w:val="0"/>
          <w:numId w:val="45"/>
        </w:numPr>
      </w:pPr>
      <w:r>
        <w:t>T</w:t>
      </w:r>
      <w:r w:rsidR="006C2077" w:rsidRPr="00932E6A">
        <w:t>ipo de evaluación</w:t>
      </w:r>
      <w:r>
        <w:t>.</w:t>
      </w:r>
      <w:r w:rsidR="006C2077" w:rsidRPr="00932E6A">
        <w:t xml:space="preserve"> </w:t>
      </w:r>
    </w:p>
    <w:p w14:paraId="3D3A05D3" w14:textId="77777777" w:rsidR="005A7CAD" w:rsidRDefault="005A7CAD" w:rsidP="005A7CAD">
      <w:pPr>
        <w:pStyle w:val="Cdetexto"/>
        <w:numPr>
          <w:ilvl w:val="0"/>
          <w:numId w:val="45"/>
        </w:numPr>
      </w:pPr>
      <w:r>
        <w:t>A</w:t>
      </w:r>
      <w:r w:rsidR="006C2077" w:rsidRPr="00932E6A">
        <w:t>ño de conclusión</w:t>
      </w:r>
      <w:r>
        <w:t>.</w:t>
      </w:r>
    </w:p>
    <w:p w14:paraId="75FE4CC9" w14:textId="77777777" w:rsidR="005A7CAD" w:rsidRDefault="006C2077" w:rsidP="005A7CAD">
      <w:pPr>
        <w:pStyle w:val="Cdetexto"/>
        <w:numPr>
          <w:ilvl w:val="0"/>
          <w:numId w:val="45"/>
        </w:numPr>
      </w:pPr>
      <w:r w:rsidRPr="00932E6A">
        <w:t>Ramo</w:t>
      </w:r>
      <w:r w:rsidR="005A7CAD">
        <w:t>.</w:t>
      </w:r>
      <w:r w:rsidRPr="00932E6A">
        <w:t xml:space="preserve"> </w:t>
      </w:r>
    </w:p>
    <w:p w14:paraId="37D4B2C1" w14:textId="77777777" w:rsidR="005A7CAD" w:rsidRDefault="006C2077" w:rsidP="005A7CAD">
      <w:pPr>
        <w:pStyle w:val="Cdetexto"/>
        <w:numPr>
          <w:ilvl w:val="0"/>
          <w:numId w:val="45"/>
        </w:numPr>
      </w:pPr>
      <w:r w:rsidRPr="00932E6A">
        <w:t>Unidad Responsable (UR)</w:t>
      </w:r>
      <w:r w:rsidR="005A7CAD">
        <w:t>.</w:t>
      </w:r>
      <w:r w:rsidRPr="00932E6A">
        <w:t xml:space="preserve"> </w:t>
      </w:r>
    </w:p>
    <w:p w14:paraId="75DA7A24" w14:textId="77777777" w:rsidR="006C2077" w:rsidRPr="00932E6A" w:rsidRDefault="006C2077" w:rsidP="005A7CAD">
      <w:pPr>
        <w:pStyle w:val="Cdetexto"/>
        <w:numPr>
          <w:ilvl w:val="0"/>
          <w:numId w:val="45"/>
        </w:numPr>
      </w:pPr>
      <w:proofErr w:type="spellStart"/>
      <w:r w:rsidRPr="00932E6A">
        <w:t>Pp</w:t>
      </w:r>
      <w:proofErr w:type="spellEnd"/>
      <w:r w:rsidRPr="00932E6A">
        <w:t xml:space="preserve"> sujeto a evaluación.</w:t>
      </w:r>
    </w:p>
    <w:p w14:paraId="598CA3B9" w14:textId="77777777" w:rsidR="00F13410" w:rsidRDefault="00F13410" w:rsidP="005A7CAD">
      <w:pPr>
        <w:pStyle w:val="Ttulo3"/>
      </w:pPr>
      <w:bookmarkStart w:id="9" w:name="_Toc480972641"/>
      <w:bookmarkStart w:id="10" w:name="_Toc512364667"/>
      <w:r w:rsidRPr="00FC7306">
        <w:lastRenderedPageBreak/>
        <w:t>EVALUACIONES EN MATERIA DE DISEÑO</w:t>
      </w:r>
      <w:bookmarkEnd w:id="9"/>
      <w:bookmarkEnd w:id="10"/>
      <w:r w:rsidRPr="00FC7306">
        <w:t xml:space="preserve"> </w:t>
      </w:r>
    </w:p>
    <w:p w14:paraId="0371D8BC" w14:textId="77777777" w:rsidR="00F13410" w:rsidRPr="005B58A3" w:rsidRDefault="00F13410" w:rsidP="005B58A3">
      <w:pPr>
        <w:pStyle w:val="Cdetextonegrita"/>
      </w:pPr>
      <w:r w:rsidRPr="005B58A3">
        <w:t>Introducción</w:t>
      </w:r>
    </w:p>
    <w:p w14:paraId="419466AF" w14:textId="77777777" w:rsidR="00575A9C" w:rsidRPr="00575A9C" w:rsidRDefault="00575A9C" w:rsidP="00575A9C">
      <w:pPr>
        <w:pStyle w:val="Cdetexto"/>
      </w:pPr>
      <w:r w:rsidRPr="00575A9C">
        <w:t xml:space="preserve">El numeral Vigésimo Segundo de los Lineamientos de Evaluación establece que, durante su primer año de operación, los </w:t>
      </w:r>
      <w:proofErr w:type="spellStart"/>
      <w:r w:rsidRPr="00575A9C">
        <w:t>Pp</w:t>
      </w:r>
      <w:proofErr w:type="spellEnd"/>
      <w:r w:rsidRPr="00575A9C">
        <w:t xml:space="preserve"> deberán llevar a cabo una</w:t>
      </w:r>
      <w:r>
        <w:t xml:space="preserve"> Evaluación en materia de Diseño</w:t>
      </w:r>
      <w:r w:rsidRPr="00575A9C">
        <w:t xml:space="preserve"> </w:t>
      </w:r>
      <w:r>
        <w:t>(</w:t>
      </w:r>
      <w:r w:rsidRPr="00575A9C">
        <w:t>ED</w:t>
      </w:r>
      <w:r>
        <w:t>)</w:t>
      </w:r>
      <w:r w:rsidRPr="00575A9C">
        <w:t>. El análisis que debe considerar este tipo de evaluación incluye los siguientes elementos:</w:t>
      </w:r>
    </w:p>
    <w:p w14:paraId="75341EDD" w14:textId="77777777" w:rsidR="00575A9C" w:rsidRPr="00575A9C" w:rsidRDefault="00575A9C" w:rsidP="00000CD2">
      <w:pPr>
        <w:pStyle w:val="Bala"/>
        <w:numPr>
          <w:ilvl w:val="0"/>
          <w:numId w:val="17"/>
        </w:numPr>
        <w:ind w:left="426"/>
      </w:pPr>
      <w:r w:rsidRPr="00575A9C">
        <w:t xml:space="preserve">Si el </w:t>
      </w:r>
      <w:proofErr w:type="spellStart"/>
      <w:r w:rsidRPr="00575A9C">
        <w:t>Pp</w:t>
      </w:r>
      <w:proofErr w:type="spellEnd"/>
      <w:r w:rsidRPr="00575A9C">
        <w:t xml:space="preserve"> identificó correctamente el problema o necesidad prioritaria al que va dirigido y si está diseñado para solventarlo.</w:t>
      </w:r>
    </w:p>
    <w:p w14:paraId="6B90F593" w14:textId="77777777" w:rsidR="00575A9C" w:rsidRPr="00575A9C" w:rsidRDefault="00575A9C" w:rsidP="00000CD2">
      <w:pPr>
        <w:pStyle w:val="Bala"/>
        <w:numPr>
          <w:ilvl w:val="0"/>
          <w:numId w:val="17"/>
        </w:numPr>
        <w:ind w:left="426"/>
      </w:pPr>
      <w:r w:rsidRPr="00575A9C">
        <w:t xml:space="preserve">La contribución del </w:t>
      </w:r>
      <w:proofErr w:type="spellStart"/>
      <w:r w:rsidRPr="00575A9C">
        <w:t>Pp</w:t>
      </w:r>
      <w:proofErr w:type="spellEnd"/>
      <w:r w:rsidRPr="00575A9C">
        <w:t xml:space="preserve"> a los objetivos estratégicos de la dependencia o entidad responsable del mismo.</w:t>
      </w:r>
    </w:p>
    <w:p w14:paraId="3329FAD2" w14:textId="77777777" w:rsidR="00575A9C" w:rsidRPr="00575A9C" w:rsidRDefault="00575A9C" w:rsidP="00000CD2">
      <w:pPr>
        <w:pStyle w:val="Bala"/>
        <w:numPr>
          <w:ilvl w:val="0"/>
          <w:numId w:val="17"/>
        </w:numPr>
        <w:ind w:left="426"/>
      </w:pPr>
      <w:r w:rsidRPr="00575A9C">
        <w:t xml:space="preserve">Si existe evidencia científica, nacional o internacional, que muestre que el tipo de bienes o servicios que brinda el </w:t>
      </w:r>
      <w:proofErr w:type="spellStart"/>
      <w:r w:rsidRPr="00575A9C">
        <w:t>Pp</w:t>
      </w:r>
      <w:proofErr w:type="spellEnd"/>
      <w:r w:rsidRPr="00575A9C">
        <w:t xml:space="preserve"> contribuye positivamente a la consecución de su fin y propósito.</w:t>
      </w:r>
    </w:p>
    <w:p w14:paraId="6C880BD9" w14:textId="77777777" w:rsidR="00575A9C" w:rsidRPr="00575A9C" w:rsidRDefault="00575A9C" w:rsidP="00000CD2">
      <w:pPr>
        <w:pStyle w:val="Bala"/>
        <w:numPr>
          <w:ilvl w:val="0"/>
          <w:numId w:val="17"/>
        </w:numPr>
        <w:ind w:left="426"/>
      </w:pPr>
      <w:r w:rsidRPr="00575A9C">
        <w:t>La definición y mecanismos de identificación de la población potencial (</w:t>
      </w:r>
      <w:proofErr w:type="spellStart"/>
      <w:r w:rsidRPr="00575A9C">
        <w:t>PPo</w:t>
      </w:r>
      <w:proofErr w:type="spellEnd"/>
      <w:r w:rsidRPr="00575A9C">
        <w:t>) o área de enfoque potencial (</w:t>
      </w:r>
      <w:proofErr w:type="spellStart"/>
      <w:r w:rsidRPr="00575A9C">
        <w:t>AEPo</w:t>
      </w:r>
      <w:proofErr w:type="spellEnd"/>
      <w:r w:rsidRPr="00575A9C">
        <w:t xml:space="preserve">) y población objetivo (PO) o área de enfoque objetivo (AEO) del </w:t>
      </w:r>
      <w:proofErr w:type="spellStart"/>
      <w:r w:rsidRPr="00575A9C">
        <w:t>Pp</w:t>
      </w:r>
      <w:proofErr w:type="spellEnd"/>
      <w:r w:rsidRPr="00575A9C">
        <w:t>, con base en la definición del problema o necesidad que busca atender.</w:t>
      </w:r>
    </w:p>
    <w:p w14:paraId="3A3B8190" w14:textId="77777777" w:rsidR="00575A9C" w:rsidRPr="00575A9C" w:rsidRDefault="00575A9C" w:rsidP="00000CD2">
      <w:pPr>
        <w:pStyle w:val="Bala"/>
        <w:numPr>
          <w:ilvl w:val="0"/>
          <w:numId w:val="17"/>
        </w:numPr>
        <w:ind w:left="426"/>
      </w:pPr>
      <w:r w:rsidRPr="00575A9C">
        <w:t xml:space="preserve">La justificación por la cual los beneficios que otorga el </w:t>
      </w:r>
      <w:proofErr w:type="spellStart"/>
      <w:r w:rsidRPr="00575A9C">
        <w:t>Pp</w:t>
      </w:r>
      <w:proofErr w:type="spellEnd"/>
      <w:r w:rsidRPr="00575A9C">
        <w:t xml:space="preserve"> se dirigen específicamente a la PO o AEO definida.</w:t>
      </w:r>
    </w:p>
    <w:p w14:paraId="17E6435D" w14:textId="77777777" w:rsidR="00575A9C" w:rsidRPr="00575A9C" w:rsidRDefault="00575A9C" w:rsidP="00000CD2">
      <w:pPr>
        <w:pStyle w:val="Bala"/>
        <w:numPr>
          <w:ilvl w:val="0"/>
          <w:numId w:val="17"/>
        </w:numPr>
        <w:ind w:left="426"/>
      </w:pPr>
      <w:r w:rsidRPr="00575A9C">
        <w:t xml:space="preserve">Los criterios y mecanismos aplicados para seleccionar a los beneficiarios o destinatarios del </w:t>
      </w:r>
      <w:proofErr w:type="spellStart"/>
      <w:r w:rsidRPr="00575A9C">
        <w:t>Pp</w:t>
      </w:r>
      <w:proofErr w:type="spellEnd"/>
      <w:r w:rsidRPr="00575A9C">
        <w:t xml:space="preserve"> (regiones, municipios, localidades, hogares e individuos, entre otros).</w:t>
      </w:r>
    </w:p>
    <w:p w14:paraId="77B2F649" w14:textId="77777777" w:rsidR="00575A9C" w:rsidRPr="00575A9C" w:rsidRDefault="00575A9C" w:rsidP="00000CD2">
      <w:pPr>
        <w:pStyle w:val="Bala"/>
        <w:numPr>
          <w:ilvl w:val="0"/>
          <w:numId w:val="17"/>
        </w:numPr>
        <w:ind w:left="426"/>
      </w:pPr>
      <w:r w:rsidRPr="00575A9C">
        <w:t xml:space="preserve">Cuando sea aplicable, la estructura del padrón de beneficiarios del </w:t>
      </w:r>
      <w:proofErr w:type="spellStart"/>
      <w:r w:rsidRPr="00575A9C">
        <w:t>Pp</w:t>
      </w:r>
      <w:proofErr w:type="spellEnd"/>
      <w:r w:rsidRPr="00575A9C">
        <w:t xml:space="preserve"> conforme a las disposiciones normativas.</w:t>
      </w:r>
    </w:p>
    <w:p w14:paraId="279F54DE" w14:textId="77777777" w:rsidR="00575A9C" w:rsidRPr="00575A9C" w:rsidRDefault="00575A9C" w:rsidP="00000CD2">
      <w:pPr>
        <w:pStyle w:val="Bala"/>
        <w:numPr>
          <w:ilvl w:val="0"/>
          <w:numId w:val="17"/>
        </w:numPr>
        <w:ind w:left="426"/>
      </w:pPr>
      <w:r w:rsidRPr="00575A9C">
        <w:t>Las Reglas de Operación (ROP) o documentos normativos o institucionales que explican el funcionamiento y operación del Pp.</w:t>
      </w:r>
    </w:p>
    <w:p w14:paraId="2687965A" w14:textId="77777777" w:rsidR="00575A9C" w:rsidRPr="00575A9C" w:rsidRDefault="00575A9C" w:rsidP="00000CD2">
      <w:pPr>
        <w:pStyle w:val="Bala"/>
        <w:numPr>
          <w:ilvl w:val="0"/>
          <w:numId w:val="17"/>
        </w:numPr>
        <w:ind w:left="426"/>
      </w:pPr>
      <w:r w:rsidRPr="00575A9C">
        <w:t xml:space="preserve">La lógica vertical y horizontal de la </w:t>
      </w:r>
      <w:r w:rsidR="00A83859" w:rsidRPr="001B20EC">
        <w:t xml:space="preserve">Matriz de Indicadores para Resultados </w:t>
      </w:r>
      <w:r w:rsidR="00A83859">
        <w:t>(</w:t>
      </w:r>
      <w:r w:rsidRPr="00575A9C">
        <w:t>MIR</w:t>
      </w:r>
      <w:r w:rsidR="00A83859">
        <w:t>)</w:t>
      </w:r>
      <w:r w:rsidRPr="00575A9C">
        <w:t xml:space="preserve"> del Pp.</w:t>
      </w:r>
    </w:p>
    <w:p w14:paraId="3A9FBC09" w14:textId="77777777" w:rsidR="00575A9C" w:rsidRPr="00575A9C" w:rsidRDefault="00575A9C" w:rsidP="00000CD2">
      <w:pPr>
        <w:pStyle w:val="Bala"/>
        <w:numPr>
          <w:ilvl w:val="0"/>
          <w:numId w:val="17"/>
        </w:numPr>
        <w:ind w:left="426"/>
      </w:pPr>
      <w:r w:rsidRPr="00575A9C">
        <w:t xml:space="preserve">Las posibles coincidencias y complementariedades del </w:t>
      </w:r>
      <w:proofErr w:type="spellStart"/>
      <w:r w:rsidRPr="00575A9C">
        <w:t>Pp</w:t>
      </w:r>
      <w:proofErr w:type="spellEnd"/>
      <w:r w:rsidRPr="00575A9C">
        <w:t xml:space="preserve"> evaluado con otros Pp.</w:t>
      </w:r>
    </w:p>
    <w:p w14:paraId="1CFD67BC" w14:textId="77777777" w:rsidR="00575A9C" w:rsidRPr="00575A9C" w:rsidRDefault="00575A9C" w:rsidP="00575A9C">
      <w:pPr>
        <w:pStyle w:val="Cdetexto"/>
      </w:pPr>
      <w:r w:rsidRPr="00575A9C">
        <w:t xml:space="preserve">La ED se realiza mediante un análisis de gabinete con base en información proporcionada por la dependencia o entidad responsable del </w:t>
      </w:r>
      <w:proofErr w:type="spellStart"/>
      <w:r w:rsidRPr="00575A9C">
        <w:t>Pp</w:t>
      </w:r>
      <w:proofErr w:type="spellEnd"/>
      <w:r w:rsidRPr="00575A9C">
        <w:t xml:space="preserve">, así como en información adicional que el equipo evaluador considere necesaria para complementar su análisis. En este contexto, se entiende por análisis de gabinete al conjunto de actividades que involucra el acopio, la organización y la valoración de información concentrada en registros administrativos, bases de datos, evaluaciones internas o externas y documentación pública. Adicionalmente, de acuerdo con las necesidades de información y tomando en cuenta la forma de operar de cada </w:t>
      </w:r>
      <w:proofErr w:type="spellStart"/>
      <w:r w:rsidRPr="00575A9C">
        <w:t>Pp</w:t>
      </w:r>
      <w:proofErr w:type="spellEnd"/>
      <w:r w:rsidRPr="00575A9C">
        <w:t>, se podrán programar y llevar a cabo entrevistas con actores clave en la implementación del Pp.</w:t>
      </w:r>
    </w:p>
    <w:p w14:paraId="40814F32" w14:textId="77777777" w:rsidR="005B355B" w:rsidRDefault="00575A9C" w:rsidP="00575A9C">
      <w:pPr>
        <w:pStyle w:val="Cdetexto"/>
      </w:pPr>
      <w:r w:rsidRPr="00575A9C">
        <w:t xml:space="preserve">Cabe señalar que para la realización de las ED se utiliza 1) el Modelo de Términos de Referencia para la Evaluación en materia de Diseño, aplicable a evaluaciones cuya Instancia de Coordinación es la SHCP, y 2) el Modelo de Términos de Referencia para la Evaluación en materia de Diseño emitido por el CONEVAL; este último para evaluar </w:t>
      </w:r>
      <w:proofErr w:type="spellStart"/>
      <w:r w:rsidRPr="00575A9C">
        <w:t>Pp</w:t>
      </w:r>
      <w:proofErr w:type="spellEnd"/>
      <w:r w:rsidRPr="00575A9C">
        <w:t xml:space="preserve"> considerados por el CONEVAL como de desarrollo social; de tal forma que para realiza</w:t>
      </w:r>
      <w:r w:rsidR="005B355B">
        <w:t xml:space="preserve">r una ED a un </w:t>
      </w:r>
      <w:proofErr w:type="spellStart"/>
      <w:r w:rsidR="005B355B">
        <w:t>Pp</w:t>
      </w:r>
      <w:proofErr w:type="spellEnd"/>
      <w:r w:rsidR="005B355B">
        <w:t xml:space="preserve"> se utiliza el Modelo de Términos de R</w:t>
      </w:r>
      <w:r w:rsidRPr="00575A9C">
        <w:t>eferencia del ámbito de coordinación correspondiente</w:t>
      </w:r>
      <w:r w:rsidR="00693E1D">
        <w:t>.</w:t>
      </w:r>
    </w:p>
    <w:p w14:paraId="3BC7F7F9" w14:textId="77777777" w:rsidR="005B355B" w:rsidRDefault="005B355B">
      <w:pPr>
        <w:spacing w:after="0"/>
        <w:rPr>
          <w:rFonts w:eastAsia="Times New Roman" w:cs="Arial"/>
          <w:szCs w:val="20"/>
          <w:lang w:val="es-ES"/>
        </w:rPr>
      </w:pPr>
      <w:r>
        <w:br w:type="page"/>
      </w:r>
    </w:p>
    <w:p w14:paraId="0180D7E3" w14:textId="77777777" w:rsidR="00575A9C" w:rsidRPr="00575A9C" w:rsidRDefault="00575A9C" w:rsidP="005B58A3">
      <w:pPr>
        <w:pStyle w:val="Cdetextonegrita"/>
      </w:pPr>
      <w:r w:rsidRPr="00575A9C">
        <w:lastRenderedPageBreak/>
        <w:t>Objetivo General</w:t>
      </w:r>
    </w:p>
    <w:p w14:paraId="46E6DD6E" w14:textId="77777777" w:rsidR="00575A9C" w:rsidRPr="00575A9C" w:rsidRDefault="00575A9C" w:rsidP="00575A9C">
      <w:pPr>
        <w:pStyle w:val="Cdetexto"/>
      </w:pPr>
      <w:r w:rsidRPr="00575A9C">
        <w:t xml:space="preserve">Analizar y valorar el diseño del </w:t>
      </w:r>
      <w:proofErr w:type="spellStart"/>
      <w:r w:rsidRPr="00575A9C">
        <w:t>Pp</w:t>
      </w:r>
      <w:proofErr w:type="spellEnd"/>
      <w:r w:rsidRPr="00575A9C">
        <w:t>, con la finalidad de identificar si contiene los elementos necesarios que permitan prever de manera razonable el logro de sus metas y objetivos, a efecto de instrumentar mejoras.</w:t>
      </w:r>
    </w:p>
    <w:p w14:paraId="21C9A71F" w14:textId="77777777" w:rsidR="00575A9C" w:rsidRPr="00575A9C" w:rsidRDefault="00575A9C" w:rsidP="005B58A3">
      <w:pPr>
        <w:pStyle w:val="Cdetextonegrita"/>
      </w:pPr>
      <w:r w:rsidRPr="00575A9C">
        <w:t>Objetivos específicos</w:t>
      </w:r>
    </w:p>
    <w:p w14:paraId="501D0D41" w14:textId="77777777" w:rsidR="00575A9C" w:rsidRPr="00575A9C" w:rsidRDefault="00575A9C" w:rsidP="00000CD2">
      <w:pPr>
        <w:pStyle w:val="Bala"/>
        <w:numPr>
          <w:ilvl w:val="0"/>
          <w:numId w:val="18"/>
        </w:numPr>
        <w:ind w:left="426"/>
      </w:pPr>
      <w:r w:rsidRPr="00575A9C">
        <w:t>Analizar y valorar la justif</w:t>
      </w:r>
      <w:r w:rsidR="00A83859">
        <w:t>icación de su creación y diseño;</w:t>
      </w:r>
    </w:p>
    <w:p w14:paraId="05924AE9" w14:textId="77777777" w:rsidR="00575A9C" w:rsidRPr="00575A9C" w:rsidRDefault="00575A9C" w:rsidP="00000CD2">
      <w:pPr>
        <w:pStyle w:val="Bala"/>
        <w:numPr>
          <w:ilvl w:val="0"/>
          <w:numId w:val="18"/>
        </w:numPr>
        <w:ind w:left="426"/>
      </w:pPr>
      <w:r w:rsidRPr="00575A9C">
        <w:t>Identificar, analizar y valorar su vinculación con la planeación sectorial y nacional</w:t>
      </w:r>
      <w:r w:rsidR="00A83859">
        <w:t>;</w:t>
      </w:r>
    </w:p>
    <w:p w14:paraId="58508D62" w14:textId="77777777" w:rsidR="00575A9C" w:rsidRPr="00575A9C" w:rsidRDefault="00575A9C" w:rsidP="00000CD2">
      <w:pPr>
        <w:pStyle w:val="Bala"/>
        <w:numPr>
          <w:ilvl w:val="0"/>
          <w:numId w:val="18"/>
        </w:numPr>
        <w:ind w:left="426"/>
      </w:pPr>
      <w:r w:rsidRPr="00575A9C">
        <w:t xml:space="preserve">Analizar y valorar la consistencia entre su </w:t>
      </w:r>
      <w:r w:rsidR="00A83859">
        <w:t>diseño y la normativa aplicable, e</w:t>
      </w:r>
    </w:p>
    <w:p w14:paraId="254CC00B" w14:textId="77777777" w:rsidR="00575A9C" w:rsidRPr="00575A9C" w:rsidRDefault="00575A9C" w:rsidP="00000CD2">
      <w:pPr>
        <w:pStyle w:val="Bala"/>
        <w:numPr>
          <w:ilvl w:val="0"/>
          <w:numId w:val="18"/>
        </w:numPr>
        <w:ind w:left="426"/>
      </w:pPr>
      <w:r w:rsidRPr="00575A9C">
        <w:t>Identificar posibles complementariedades y coincidencias con otros Pp.</w:t>
      </w:r>
    </w:p>
    <w:p w14:paraId="0C703EDD" w14:textId="77777777" w:rsidR="00F13410" w:rsidRDefault="00B52E9E" w:rsidP="00F13410">
      <w:pPr>
        <w:pStyle w:val="Cdetexto"/>
      </w:pPr>
      <w:r>
        <w:rPr>
          <w:szCs w:val="22"/>
        </w:rPr>
        <w:t xml:space="preserve">En el </w:t>
      </w:r>
      <w:r w:rsidRPr="006241BE">
        <w:rPr>
          <w:szCs w:val="22"/>
        </w:rPr>
        <w:t>periodo comprendido entre los meses de</w:t>
      </w:r>
      <w:r w:rsidR="00575A9C" w:rsidRPr="006241BE">
        <w:t xml:space="preserve"> </w:t>
      </w:r>
      <w:r w:rsidR="002E36C8">
        <w:t>enero</w:t>
      </w:r>
      <w:r w:rsidR="00CD1D72" w:rsidRPr="006241BE">
        <w:t xml:space="preserve"> </w:t>
      </w:r>
      <w:r w:rsidR="00693E1D" w:rsidRPr="006241BE">
        <w:t>y</w:t>
      </w:r>
      <w:r w:rsidR="00CD1D72" w:rsidRPr="006241BE">
        <w:t xml:space="preserve"> </w:t>
      </w:r>
      <w:r w:rsidR="002E36C8">
        <w:t xml:space="preserve">marzo </w:t>
      </w:r>
      <w:r w:rsidR="00575A9C" w:rsidRPr="006241BE">
        <w:t>de 201</w:t>
      </w:r>
      <w:r w:rsidR="002E36C8">
        <w:t>8</w:t>
      </w:r>
      <w:r w:rsidRPr="006241BE">
        <w:t>,</w:t>
      </w:r>
      <w:r w:rsidR="00F13410" w:rsidRPr="006241BE">
        <w:t xml:space="preserve"> se recibieron </w:t>
      </w:r>
      <w:r w:rsidR="00163151">
        <w:t>cinco</w:t>
      </w:r>
      <w:r w:rsidR="008229FD" w:rsidRPr="006241BE">
        <w:t xml:space="preserve"> </w:t>
      </w:r>
      <w:r w:rsidR="00B61D8A" w:rsidRPr="006241BE">
        <w:t xml:space="preserve">ED </w:t>
      </w:r>
      <w:r w:rsidR="00B61D8A" w:rsidRPr="00163151">
        <w:t>realizadas, dos</w:t>
      </w:r>
      <w:r w:rsidR="006E4C63" w:rsidRPr="00163151">
        <w:t xml:space="preserve"> del </w:t>
      </w:r>
      <w:r w:rsidR="00163151" w:rsidRPr="00163151">
        <w:t xml:space="preserve">Ramo 04 Gobernación, una del </w:t>
      </w:r>
      <w:r w:rsidR="006E4C63" w:rsidRPr="00163151">
        <w:t xml:space="preserve">Ramo </w:t>
      </w:r>
      <w:r w:rsidR="00B61D8A" w:rsidRPr="00163151">
        <w:t>09</w:t>
      </w:r>
      <w:r w:rsidR="00CF0436" w:rsidRPr="00163151">
        <w:t xml:space="preserve"> </w:t>
      </w:r>
      <w:r w:rsidR="00B61D8A" w:rsidRPr="00163151">
        <w:t>Comunicaciones y Transportes</w:t>
      </w:r>
      <w:r w:rsidR="00CF0436" w:rsidRPr="00163151">
        <w:t xml:space="preserve">, una del Ramo </w:t>
      </w:r>
      <w:r w:rsidR="00163151" w:rsidRPr="00163151">
        <w:t xml:space="preserve">11 Educación Pública </w:t>
      </w:r>
      <w:r w:rsidR="008229FD" w:rsidRPr="00163151">
        <w:t>y</w:t>
      </w:r>
      <w:r w:rsidR="006E4C63" w:rsidRPr="00163151">
        <w:t xml:space="preserve"> </w:t>
      </w:r>
      <w:r w:rsidR="00B61D8A" w:rsidRPr="00163151">
        <w:t>una</w:t>
      </w:r>
      <w:r w:rsidR="006E4C63" w:rsidRPr="00163151">
        <w:t xml:space="preserve"> </w:t>
      </w:r>
      <w:r w:rsidR="00CF0436" w:rsidRPr="00163151">
        <w:t xml:space="preserve">del </w:t>
      </w:r>
      <w:r w:rsidR="00CF0436" w:rsidRPr="00163151">
        <w:rPr>
          <w:szCs w:val="22"/>
        </w:rPr>
        <w:t xml:space="preserve">Ramo </w:t>
      </w:r>
      <w:r w:rsidR="00163151" w:rsidRPr="00163151">
        <w:t>18 Energía</w:t>
      </w:r>
      <w:r w:rsidR="002166EF" w:rsidRPr="00163151">
        <w:rPr>
          <w:szCs w:val="22"/>
        </w:rPr>
        <w:t xml:space="preserve">. </w:t>
      </w:r>
      <w:r w:rsidRPr="00163151">
        <w:t>A</w:t>
      </w:r>
      <w:r w:rsidR="00575A9C" w:rsidRPr="00163151">
        <w:t xml:space="preserve"> continuación</w:t>
      </w:r>
      <w:r w:rsidR="00575A9C" w:rsidRPr="006241BE">
        <w:t xml:space="preserve"> se presenta una síntesis de cada evaluación</w:t>
      </w:r>
      <w:r w:rsidR="00575A9C" w:rsidRPr="00575A9C">
        <w:t xml:space="preserve"> </w:t>
      </w:r>
      <w:r w:rsidR="00CC01B3">
        <w:t>con</w:t>
      </w:r>
      <w:r w:rsidR="00575A9C" w:rsidRPr="00575A9C">
        <w:t xml:space="preserve"> sus principales </w:t>
      </w:r>
      <w:r w:rsidR="00B4461A">
        <w:t>hallazgos y recomendaciones</w:t>
      </w:r>
      <w:r>
        <w:t>.</w:t>
      </w:r>
    </w:p>
    <w:p w14:paraId="49286818" w14:textId="77777777" w:rsidR="00A615D2" w:rsidRDefault="00A615D2">
      <w:pPr>
        <w:spacing w:after="0"/>
        <w:rPr>
          <w:rFonts w:eastAsia="Times New Roman" w:cs="Arial"/>
          <w:szCs w:val="20"/>
          <w:lang w:val="es-ES"/>
        </w:rPr>
      </w:pPr>
      <w:r>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964E91" w:rsidRPr="0043350C" w14:paraId="40BF9825" w14:textId="77777777" w:rsidTr="00A06037">
        <w:trPr>
          <w:trHeight w:val="392"/>
          <w:jc w:val="center"/>
        </w:trPr>
        <w:tc>
          <w:tcPr>
            <w:tcW w:w="10173" w:type="dxa"/>
            <w:gridSpan w:val="5"/>
            <w:shd w:val="clear" w:color="auto" w:fill="D6E3BC" w:themeFill="accent3" w:themeFillTint="66"/>
            <w:vAlign w:val="center"/>
          </w:tcPr>
          <w:p w14:paraId="2E2E4952" w14:textId="77777777" w:rsidR="00964E91" w:rsidRPr="0043350C" w:rsidRDefault="00964E91" w:rsidP="00F64AB0">
            <w:pPr>
              <w:pStyle w:val="CABEZA"/>
              <w:ind w:left="0"/>
            </w:pPr>
            <w:r w:rsidRPr="008873F7">
              <w:rPr>
                <w:lang w:val="es-MX"/>
              </w:rPr>
              <w:lastRenderedPageBreak/>
              <w:br w:type="page"/>
            </w:r>
            <w:r w:rsidRPr="00D37B5C">
              <w:rPr>
                <w:lang w:val="es-MX"/>
              </w:rPr>
              <w:t xml:space="preserve">Ramo </w:t>
            </w:r>
            <w:r w:rsidR="00162911">
              <w:rPr>
                <w:lang w:val="es-MX"/>
              </w:rPr>
              <w:t>04</w:t>
            </w:r>
            <w:r w:rsidRPr="00D37B5C">
              <w:rPr>
                <w:lang w:val="es-MX"/>
              </w:rPr>
              <w:t xml:space="preserve">. </w:t>
            </w:r>
            <w:r w:rsidR="00162911" w:rsidRPr="00162911">
              <w:rPr>
                <w:lang w:val="es-MX"/>
              </w:rPr>
              <w:t>Gobernación</w:t>
            </w:r>
          </w:p>
        </w:tc>
      </w:tr>
      <w:tr w:rsidR="00964E91" w:rsidRPr="0043350C" w14:paraId="552DCEA3" w14:textId="77777777" w:rsidTr="00A06037">
        <w:trPr>
          <w:jc w:val="center"/>
        </w:trPr>
        <w:tc>
          <w:tcPr>
            <w:tcW w:w="1359" w:type="dxa"/>
            <w:shd w:val="clear" w:color="auto" w:fill="D9D9D9" w:themeFill="background1" w:themeFillShade="D9"/>
          </w:tcPr>
          <w:p w14:paraId="113C969D" w14:textId="77777777" w:rsidR="00964E91" w:rsidRPr="0043350C" w:rsidRDefault="00964E91" w:rsidP="00A06037">
            <w:pPr>
              <w:spacing w:before="20"/>
              <w:rPr>
                <w:b/>
                <w:sz w:val="16"/>
                <w:lang w:val="es-ES"/>
              </w:rPr>
            </w:pPr>
            <w:r w:rsidRPr="0043350C">
              <w:rPr>
                <w:b/>
                <w:sz w:val="16"/>
                <w:lang w:val="es-ES"/>
              </w:rPr>
              <w:t xml:space="preserve">Clave del </w:t>
            </w:r>
            <w:proofErr w:type="spellStart"/>
            <w:r w:rsidRPr="0043350C">
              <w:rPr>
                <w:b/>
                <w:sz w:val="16"/>
                <w:lang w:val="es-ES"/>
              </w:rPr>
              <w:t>Pp</w:t>
            </w:r>
            <w:proofErr w:type="spellEnd"/>
            <w:r w:rsidRPr="0043350C">
              <w:rPr>
                <w:b/>
                <w:sz w:val="16"/>
                <w:lang w:val="es-ES"/>
              </w:rPr>
              <w:t>:</w:t>
            </w:r>
          </w:p>
        </w:tc>
        <w:tc>
          <w:tcPr>
            <w:tcW w:w="734" w:type="dxa"/>
            <w:shd w:val="clear" w:color="auto" w:fill="D9D9D9" w:themeFill="background1" w:themeFillShade="D9"/>
          </w:tcPr>
          <w:p w14:paraId="5C6AD056" w14:textId="77777777" w:rsidR="00964E91" w:rsidRPr="0043350C" w:rsidRDefault="00162911" w:rsidP="00162911">
            <w:pPr>
              <w:contextualSpacing/>
              <w:rPr>
                <w:sz w:val="16"/>
                <w:szCs w:val="16"/>
                <w:lang w:val="es-ES" w:eastAsia="en-US"/>
              </w:rPr>
            </w:pPr>
            <w:r>
              <w:rPr>
                <w:sz w:val="16"/>
                <w:szCs w:val="16"/>
                <w:lang w:val="es-ES" w:eastAsia="en-US"/>
              </w:rPr>
              <w:t>E905</w:t>
            </w:r>
          </w:p>
        </w:tc>
        <w:tc>
          <w:tcPr>
            <w:tcW w:w="1701" w:type="dxa"/>
            <w:gridSpan w:val="2"/>
            <w:shd w:val="clear" w:color="auto" w:fill="D9D9D9" w:themeFill="background1" w:themeFillShade="D9"/>
          </w:tcPr>
          <w:p w14:paraId="08C76224" w14:textId="77777777" w:rsidR="00964E91" w:rsidRPr="0043350C" w:rsidRDefault="00964E91" w:rsidP="00A06037">
            <w:pPr>
              <w:spacing w:before="20"/>
              <w:rPr>
                <w:b/>
                <w:sz w:val="16"/>
                <w:lang w:val="es-ES"/>
              </w:rPr>
            </w:pPr>
            <w:r w:rsidRPr="0043350C">
              <w:rPr>
                <w:b/>
                <w:sz w:val="16"/>
                <w:lang w:val="es-ES"/>
              </w:rPr>
              <w:t>Denominación:</w:t>
            </w:r>
          </w:p>
        </w:tc>
        <w:tc>
          <w:tcPr>
            <w:tcW w:w="6379" w:type="dxa"/>
            <w:shd w:val="clear" w:color="auto" w:fill="D9D9D9" w:themeFill="background1" w:themeFillShade="D9"/>
          </w:tcPr>
          <w:p w14:paraId="640CABF5" w14:textId="77777777" w:rsidR="00964E91" w:rsidRPr="00B61D8A" w:rsidRDefault="00162911" w:rsidP="00A06037">
            <w:pPr>
              <w:contextualSpacing/>
              <w:rPr>
                <w:sz w:val="16"/>
                <w:szCs w:val="16"/>
                <w:lang w:val="es-ES" w:eastAsia="en-US"/>
              </w:rPr>
            </w:pPr>
            <w:r w:rsidRPr="00162911">
              <w:rPr>
                <w:sz w:val="16"/>
                <w:szCs w:val="16"/>
                <w:lang w:val="es-MX" w:eastAsia="en-US"/>
              </w:rPr>
              <w:t>Regulación de los servicios de seguridad privada para coadyuvar a la prevención del delito</w:t>
            </w:r>
          </w:p>
        </w:tc>
      </w:tr>
      <w:tr w:rsidR="00964E91" w:rsidRPr="0043350C" w14:paraId="0BFF2E29" w14:textId="77777777" w:rsidTr="00A06037">
        <w:trPr>
          <w:jc w:val="center"/>
        </w:trPr>
        <w:tc>
          <w:tcPr>
            <w:tcW w:w="2778" w:type="dxa"/>
            <w:gridSpan w:val="3"/>
          </w:tcPr>
          <w:p w14:paraId="595D2DFD" w14:textId="77777777" w:rsidR="00964E91" w:rsidRPr="0043350C" w:rsidRDefault="00964E91" w:rsidP="00A06037">
            <w:pPr>
              <w:spacing w:before="20"/>
              <w:rPr>
                <w:b/>
                <w:sz w:val="16"/>
                <w:lang w:val="es-ES"/>
              </w:rPr>
            </w:pPr>
            <w:r w:rsidRPr="00FC7306">
              <w:rPr>
                <w:b/>
                <w:sz w:val="16"/>
                <w:lang w:val="es-ES"/>
              </w:rPr>
              <w:t>Unidad</w:t>
            </w:r>
            <w:r>
              <w:rPr>
                <w:b/>
                <w:sz w:val="16"/>
                <w:lang w:val="es-ES"/>
              </w:rPr>
              <w:t>es</w:t>
            </w:r>
            <w:r w:rsidRPr="00FC7306">
              <w:rPr>
                <w:b/>
                <w:sz w:val="16"/>
                <w:lang w:val="es-ES"/>
              </w:rPr>
              <w:t xml:space="preserve"> Administrativa</w:t>
            </w:r>
            <w:r>
              <w:rPr>
                <w:b/>
                <w:sz w:val="16"/>
                <w:lang w:val="es-ES"/>
              </w:rPr>
              <w:t>s:</w:t>
            </w:r>
          </w:p>
        </w:tc>
        <w:tc>
          <w:tcPr>
            <w:tcW w:w="7395" w:type="dxa"/>
            <w:gridSpan w:val="2"/>
          </w:tcPr>
          <w:p w14:paraId="66BA1687" w14:textId="77777777" w:rsidR="00964E91" w:rsidRPr="0043350C" w:rsidRDefault="00162911" w:rsidP="00A06037">
            <w:pPr>
              <w:spacing w:after="0"/>
            </w:pPr>
            <w:r w:rsidRPr="00162911">
              <w:rPr>
                <w:rFonts w:eastAsia="Times New Roman"/>
                <w:sz w:val="16"/>
                <w:szCs w:val="16"/>
                <w:lang w:val="es-MX" w:eastAsia="en-US"/>
              </w:rPr>
              <w:t>Dirección General de Seguridad Privada</w:t>
            </w:r>
          </w:p>
        </w:tc>
      </w:tr>
      <w:tr w:rsidR="00964E91" w:rsidRPr="0043350C" w14:paraId="31B133D3" w14:textId="77777777" w:rsidTr="00A06037">
        <w:trPr>
          <w:jc w:val="center"/>
        </w:trPr>
        <w:tc>
          <w:tcPr>
            <w:tcW w:w="2778" w:type="dxa"/>
            <w:gridSpan w:val="3"/>
          </w:tcPr>
          <w:p w14:paraId="579A8AB3" w14:textId="77777777" w:rsidR="00964E91" w:rsidRPr="0043350C" w:rsidRDefault="00964E91" w:rsidP="00A06037">
            <w:pPr>
              <w:spacing w:before="20"/>
              <w:rPr>
                <w:b/>
                <w:sz w:val="16"/>
                <w:lang w:val="es-ES"/>
              </w:rPr>
            </w:pPr>
            <w:r w:rsidRPr="00BA6D3A">
              <w:rPr>
                <w:b/>
                <w:sz w:val="16"/>
                <w:lang w:val="es-ES"/>
              </w:rPr>
              <w:t>Responsables</w:t>
            </w:r>
            <w:r>
              <w:rPr>
                <w:b/>
                <w:sz w:val="16"/>
                <w:lang w:val="es-ES"/>
              </w:rPr>
              <w:t>:</w:t>
            </w:r>
          </w:p>
        </w:tc>
        <w:tc>
          <w:tcPr>
            <w:tcW w:w="7395" w:type="dxa"/>
            <w:gridSpan w:val="2"/>
          </w:tcPr>
          <w:p w14:paraId="5EC7CA85" w14:textId="77777777" w:rsidR="00964E91" w:rsidRPr="0043350C" w:rsidRDefault="00162911" w:rsidP="00BA6D3A">
            <w:pPr>
              <w:spacing w:before="20" w:after="0"/>
            </w:pPr>
            <w:r w:rsidRPr="00F11E3A">
              <w:rPr>
                <w:rFonts w:eastAsia="Times New Roman"/>
                <w:sz w:val="16"/>
                <w:szCs w:val="16"/>
              </w:rPr>
              <w:t>José Bernardo Rafael Espino del Castillo Barrón</w:t>
            </w:r>
          </w:p>
        </w:tc>
      </w:tr>
      <w:tr w:rsidR="00964E91" w:rsidRPr="0043350C" w14:paraId="7FFEB8AF" w14:textId="77777777" w:rsidTr="00A06037">
        <w:trPr>
          <w:jc w:val="center"/>
        </w:trPr>
        <w:tc>
          <w:tcPr>
            <w:tcW w:w="2778" w:type="dxa"/>
            <w:gridSpan w:val="3"/>
            <w:shd w:val="clear" w:color="auto" w:fill="D9D9D9" w:themeFill="background1" w:themeFillShade="D9"/>
          </w:tcPr>
          <w:p w14:paraId="761DE184" w14:textId="77777777" w:rsidR="00964E91" w:rsidRPr="0043350C" w:rsidRDefault="00964E91" w:rsidP="00A06037">
            <w:pPr>
              <w:spacing w:before="20"/>
              <w:rPr>
                <w:b/>
                <w:sz w:val="16"/>
                <w:lang w:val="es-ES"/>
              </w:rPr>
            </w:pPr>
            <w:r w:rsidRPr="00FC7306">
              <w:rPr>
                <w:b/>
                <w:sz w:val="16"/>
                <w:lang w:val="es-ES"/>
              </w:rPr>
              <w:t>Tipo de Evaluación</w:t>
            </w:r>
            <w:r>
              <w:rPr>
                <w:b/>
                <w:sz w:val="16"/>
                <w:lang w:val="es-ES"/>
              </w:rPr>
              <w:t>:</w:t>
            </w:r>
          </w:p>
        </w:tc>
        <w:tc>
          <w:tcPr>
            <w:tcW w:w="7395" w:type="dxa"/>
            <w:gridSpan w:val="2"/>
            <w:shd w:val="clear" w:color="auto" w:fill="D9D9D9" w:themeFill="background1" w:themeFillShade="D9"/>
          </w:tcPr>
          <w:p w14:paraId="73618A2C" w14:textId="77777777" w:rsidR="00964E91" w:rsidRPr="0043350C" w:rsidRDefault="00964E91" w:rsidP="00A06037">
            <w:pPr>
              <w:spacing w:before="20"/>
              <w:rPr>
                <w:sz w:val="16"/>
                <w:lang w:val="es-ES"/>
              </w:rPr>
            </w:pPr>
            <w:r>
              <w:rPr>
                <w:sz w:val="16"/>
                <w:lang w:val="es-ES"/>
              </w:rPr>
              <w:t>En materia de Diseño, PAE 2017</w:t>
            </w:r>
          </w:p>
        </w:tc>
      </w:tr>
    </w:tbl>
    <w:p w14:paraId="6A0017C5" w14:textId="77777777" w:rsidR="00A615D2" w:rsidRPr="00A615D2" w:rsidRDefault="00A615D2" w:rsidP="005E42E3">
      <w:pPr>
        <w:pStyle w:val="Cdetextonegrita"/>
        <w:spacing w:line="250" w:lineRule="exact"/>
        <w:rPr>
          <w:b w:val="0"/>
        </w:rPr>
      </w:pPr>
    </w:p>
    <w:p w14:paraId="209CC6B2" w14:textId="77777777" w:rsidR="005E42E3" w:rsidRPr="00FC7306" w:rsidRDefault="005E42E3" w:rsidP="005E42E3">
      <w:pPr>
        <w:pStyle w:val="Cdetextonegrita"/>
        <w:spacing w:line="250" w:lineRule="exact"/>
      </w:pPr>
      <w:r w:rsidRPr="00FC7306">
        <w:t xml:space="preserve">Descripción del </w:t>
      </w:r>
      <w:proofErr w:type="spellStart"/>
      <w:r w:rsidRPr="00FC7306">
        <w:t>P</w:t>
      </w:r>
      <w:r>
        <w:t>p</w:t>
      </w:r>
      <w:proofErr w:type="spellEnd"/>
    </w:p>
    <w:p w14:paraId="397F643F" w14:textId="77777777" w:rsidR="00162911" w:rsidRDefault="00162911" w:rsidP="00162911">
      <w:pPr>
        <w:pStyle w:val="Cdetexto"/>
      </w:pPr>
      <w:r>
        <w:t xml:space="preserve">El </w:t>
      </w:r>
      <w:proofErr w:type="spellStart"/>
      <w:r>
        <w:t>Pp</w:t>
      </w:r>
      <w:proofErr w:type="spellEnd"/>
      <w:r>
        <w:t xml:space="preserve"> inició operaciones en 2014 con el objetivo de atender la siguiente necesidad: “Los procesos que se emplean para regular la Seguridad Privada, demandan de su actualización, modernización y profesionalización”</w:t>
      </w:r>
      <w:r w:rsidR="00696F3A">
        <w:t>.</w:t>
      </w:r>
    </w:p>
    <w:p w14:paraId="67358699" w14:textId="77777777" w:rsidR="00162911" w:rsidRDefault="00162911" w:rsidP="00162911">
      <w:pPr>
        <w:pStyle w:val="Cdetexto"/>
      </w:pPr>
      <w:r>
        <w:t xml:space="preserve">El objetivo a nivel de fin del </w:t>
      </w:r>
      <w:proofErr w:type="spellStart"/>
      <w:r>
        <w:t>Pp</w:t>
      </w:r>
      <w:proofErr w:type="spellEnd"/>
      <w:r>
        <w:t xml:space="preserve"> es</w:t>
      </w:r>
      <w:r w:rsidR="00861D00">
        <w:t>tá definido como</w:t>
      </w:r>
      <w:r>
        <w:t xml:space="preserve"> “Contribuir a mejorar las condiciones de seguridad y justicia mediante la aplicación en dos o más entidades federativas, se regulan bajo procesos actualizados, modernos y profesionales por parte de la Dirección Gen</w:t>
      </w:r>
      <w:r w:rsidR="004A3318">
        <w:t>eral de Seguridad Privada”</w:t>
      </w:r>
      <w:r>
        <w:t>.</w:t>
      </w:r>
    </w:p>
    <w:p w14:paraId="0B7980E3" w14:textId="77777777" w:rsidR="00162911" w:rsidRDefault="00162911" w:rsidP="00162911">
      <w:pPr>
        <w:pStyle w:val="Cdetexto"/>
      </w:pPr>
      <w:r>
        <w:t xml:space="preserve">La MIR del </w:t>
      </w:r>
      <w:proofErr w:type="spellStart"/>
      <w:r>
        <w:t>Pp</w:t>
      </w:r>
      <w:proofErr w:type="spellEnd"/>
      <w:r>
        <w:t xml:space="preserve"> define su propósito </w:t>
      </w:r>
      <w:r w:rsidR="00734546">
        <w:t>como</w:t>
      </w:r>
      <w:r>
        <w:t>: “Visitas de verificación a prestadores de servicios para comprobar su operación efectuadas”</w:t>
      </w:r>
      <w:r w:rsidR="007B0C38">
        <w:t>;</w:t>
      </w:r>
      <w:r>
        <w:t xml:space="preserve"> </w:t>
      </w:r>
      <w:r w:rsidR="007B0C38">
        <w:t xml:space="preserve">el </w:t>
      </w:r>
      <w:proofErr w:type="spellStart"/>
      <w:r w:rsidR="007B0C38">
        <w:t>Pp</w:t>
      </w:r>
      <w:proofErr w:type="spellEnd"/>
      <w:r w:rsidR="007B0C38">
        <w:t xml:space="preserve"> </w:t>
      </w:r>
      <w:r>
        <w:t>cuenta con un solo componente: “Resoluciones de autorización a prestadores de servicios de seguridad privada”.</w:t>
      </w:r>
    </w:p>
    <w:p w14:paraId="4F524E1E" w14:textId="77777777" w:rsidR="00162911" w:rsidRDefault="007E594B" w:rsidP="00162911">
      <w:pPr>
        <w:pStyle w:val="Cdetexto"/>
      </w:pPr>
      <w:r>
        <w:t>El</w:t>
      </w:r>
      <w:r w:rsidR="00162911">
        <w:t xml:space="preserve"> </w:t>
      </w:r>
      <w:proofErr w:type="spellStart"/>
      <w:r w:rsidR="00162911">
        <w:t>AEPo</w:t>
      </w:r>
      <w:proofErr w:type="spellEnd"/>
      <w:r w:rsidR="00162911">
        <w:t xml:space="preserve"> del </w:t>
      </w:r>
      <w:proofErr w:type="spellStart"/>
      <w:r w:rsidR="00162911">
        <w:t>Pp</w:t>
      </w:r>
      <w:proofErr w:type="spellEnd"/>
      <w:r w:rsidR="00162911">
        <w:t xml:space="preserve"> la representan “</w:t>
      </w:r>
      <w:r w:rsidR="00861D00">
        <w:t>L</w:t>
      </w:r>
      <w:r w:rsidR="00162911">
        <w:t>as empresas de seguridad privada que tienen la intención de prestar estos servicios de seguridad privada en dos o más entidades federativas”</w:t>
      </w:r>
      <w:r>
        <w:t>.</w:t>
      </w:r>
      <w:r w:rsidR="00162911">
        <w:t xml:space="preserve"> Por otro lado, </w:t>
      </w:r>
      <w:r>
        <w:t>el</w:t>
      </w:r>
      <w:r w:rsidR="00162911">
        <w:t xml:space="preserve"> AEO son “</w:t>
      </w:r>
      <w:r w:rsidR="00861D00">
        <w:t>L</w:t>
      </w:r>
      <w:r w:rsidR="00162911">
        <w:t>os prestadores de servicios de seguridad privada que se encuentran en dos o más entidades federativas y que cumplen los criterios solicitados en las leyes y reglamentos”.</w:t>
      </w:r>
    </w:p>
    <w:p w14:paraId="238BC3F2" w14:textId="77777777" w:rsidR="00F423A6" w:rsidRDefault="00162911" w:rsidP="00162911">
      <w:pPr>
        <w:pStyle w:val="Cdetexto"/>
      </w:pPr>
      <w:r>
        <w:t xml:space="preserve">El </w:t>
      </w:r>
      <w:proofErr w:type="spellStart"/>
      <w:r>
        <w:t>Pp</w:t>
      </w:r>
      <w:proofErr w:type="spellEnd"/>
      <w:r>
        <w:t xml:space="preserve"> está alineado a la Meta Nacional I. México en Paz del Plan Nacional de Desarrollo 2013-2018 (PND), al Programa Sectorial de Gobernación 2013-2018 (PSG) </w:t>
      </w:r>
      <w:r w:rsidR="007E594B">
        <w:t xml:space="preserve">a través del </w:t>
      </w:r>
      <w:r>
        <w:t>Objetivo 2. Mejorar las condiciones de seguridad y justicia</w:t>
      </w:r>
      <w:r w:rsidR="007E594B">
        <w:t>,</w:t>
      </w:r>
      <w:r>
        <w:t xml:space="preserve"> y al Programa Nacional de Seguridad Pública 2014-2018 (PNSP) </w:t>
      </w:r>
      <w:r w:rsidR="007B0C38">
        <w:t>por medio d</w:t>
      </w:r>
      <w:r w:rsidR="007E594B">
        <w:t xml:space="preserve">el </w:t>
      </w:r>
      <w:r>
        <w:t>Objetivo 5. Fortalecer las capacidades de las instituciones policiales.</w:t>
      </w:r>
    </w:p>
    <w:p w14:paraId="43E8D5BC" w14:textId="77777777" w:rsidR="005E42E3" w:rsidRPr="00E713CF" w:rsidRDefault="005E42E3" w:rsidP="00135237">
      <w:pPr>
        <w:pStyle w:val="Cdetextonegrita"/>
      </w:pPr>
      <w:r w:rsidRPr="00E713CF">
        <w:t>Principales Hallazgos</w:t>
      </w:r>
    </w:p>
    <w:p w14:paraId="565C5753" w14:textId="77777777" w:rsidR="00162911" w:rsidRPr="003E79AF" w:rsidRDefault="00162911" w:rsidP="00162911">
      <w:pPr>
        <w:pStyle w:val="Cdetexto"/>
        <w:rPr>
          <w:i/>
        </w:rPr>
      </w:pPr>
      <w:r w:rsidRPr="003E79AF">
        <w:rPr>
          <w:i/>
        </w:rPr>
        <w:t>Diseño</w:t>
      </w:r>
      <w:r w:rsidR="007E594B">
        <w:rPr>
          <w:i/>
        </w:rPr>
        <w:t>:</w:t>
      </w:r>
    </w:p>
    <w:p w14:paraId="2F8EF6AD" w14:textId="77777777" w:rsidR="00162911" w:rsidRPr="003E79AF" w:rsidRDefault="00BB4F1D" w:rsidP="00162911">
      <w:pPr>
        <w:pStyle w:val="Cdetexto"/>
      </w:pPr>
      <w:r>
        <w:t>El AE</w:t>
      </w:r>
      <w:r w:rsidR="00734546">
        <w:t>O</w:t>
      </w:r>
      <w:r>
        <w:t xml:space="preserve"> no se incluye </w:t>
      </w:r>
      <w:r w:rsidR="00734546">
        <w:t>en</w:t>
      </w:r>
      <w:r>
        <w:t xml:space="preserve"> l</w:t>
      </w:r>
      <w:r w:rsidRPr="003E79AF">
        <w:t>a definición de</w:t>
      </w:r>
      <w:r>
        <w:t xml:space="preserve"> </w:t>
      </w:r>
      <w:r w:rsidRPr="003E79AF">
        <w:t>l</w:t>
      </w:r>
      <w:r>
        <w:t>a</w:t>
      </w:r>
      <w:r w:rsidRPr="003E79AF">
        <w:t xml:space="preserve"> </w:t>
      </w:r>
      <w:r>
        <w:t xml:space="preserve">necesidad que atiende el </w:t>
      </w:r>
      <w:proofErr w:type="spellStart"/>
      <w:r>
        <w:t>Pp</w:t>
      </w:r>
      <w:proofErr w:type="spellEnd"/>
      <w:r>
        <w:t>, lo que genera ambigüedades.</w:t>
      </w:r>
    </w:p>
    <w:p w14:paraId="1A9A176D" w14:textId="77777777" w:rsidR="00162911" w:rsidRPr="003E79AF" w:rsidRDefault="00257F01" w:rsidP="00162911">
      <w:pPr>
        <w:pStyle w:val="Cdetexto"/>
      </w:pPr>
      <w:r>
        <w:t>El</w:t>
      </w:r>
      <w:r w:rsidR="00162911" w:rsidRPr="003E79AF">
        <w:t xml:space="preserve"> diagnóstico</w:t>
      </w:r>
      <w:r w:rsidR="00060260">
        <w:t xml:space="preserve"> del </w:t>
      </w:r>
      <w:proofErr w:type="spellStart"/>
      <w:r w:rsidR="00060260">
        <w:t>Pp</w:t>
      </w:r>
      <w:proofErr w:type="spellEnd"/>
      <w:r w:rsidR="00162911" w:rsidRPr="003E79AF">
        <w:t xml:space="preserve"> </w:t>
      </w:r>
      <w:r w:rsidR="00BB4F1D">
        <w:t>necesita</w:t>
      </w:r>
      <w:r w:rsidR="000144BD">
        <w:t xml:space="preserve"> actualiza</w:t>
      </w:r>
      <w:r w:rsidR="00BB4F1D">
        <w:t>rse</w:t>
      </w:r>
      <w:r w:rsidR="00162911" w:rsidRPr="003E79AF">
        <w:t xml:space="preserve">. Asimismo, también debería incluir definiciones de </w:t>
      </w:r>
      <w:proofErr w:type="spellStart"/>
      <w:r w:rsidR="00053F52">
        <w:t>AEPo</w:t>
      </w:r>
      <w:proofErr w:type="spellEnd"/>
      <w:r w:rsidR="00053F52">
        <w:t xml:space="preserve"> </w:t>
      </w:r>
      <w:r w:rsidR="00162911" w:rsidRPr="003E79AF">
        <w:t xml:space="preserve">y </w:t>
      </w:r>
      <w:r w:rsidR="00053F52">
        <w:t>AE</w:t>
      </w:r>
      <w:r w:rsidR="00162911">
        <w:t>O</w:t>
      </w:r>
      <w:r w:rsidR="00162911" w:rsidRPr="003E79AF">
        <w:t>,</w:t>
      </w:r>
      <w:r w:rsidR="00822574">
        <w:t xml:space="preserve"> así como</w:t>
      </w:r>
      <w:r w:rsidR="00162911" w:rsidRPr="003E79AF">
        <w:t xml:space="preserve"> el árbol del problema y el árbol de objetivos</w:t>
      </w:r>
      <w:r w:rsidR="00822574">
        <w:t>,</w:t>
      </w:r>
      <w:r w:rsidR="00162911" w:rsidRPr="003E79AF">
        <w:t xml:space="preserve"> y asegurar que la información registrada dentro de </w:t>
      </w:r>
      <w:r w:rsidR="00861D00">
        <w:t>e</w:t>
      </w:r>
      <w:r w:rsidR="00162911" w:rsidRPr="003E79AF">
        <w:t xml:space="preserve">stos coincida con lo contenido en la MIR. Por último, </w:t>
      </w:r>
      <w:r w:rsidR="00BB4F1D">
        <w:t xml:space="preserve">el diagnóstico no incluye </w:t>
      </w:r>
      <w:r w:rsidR="00162911" w:rsidRPr="003E79AF">
        <w:t>ejemplos y experiencias internacionales que justifiquen el uso de</w:t>
      </w:r>
      <w:r w:rsidR="00162911">
        <w:t>l</w:t>
      </w:r>
      <w:r w:rsidR="00162911" w:rsidRPr="003E79AF">
        <w:t xml:space="preserve"> componente </w:t>
      </w:r>
      <w:r w:rsidR="00822574">
        <w:t xml:space="preserve">del </w:t>
      </w:r>
      <w:proofErr w:type="spellStart"/>
      <w:r w:rsidR="00822574">
        <w:t>Pp</w:t>
      </w:r>
      <w:proofErr w:type="spellEnd"/>
      <w:r w:rsidR="00822574">
        <w:t xml:space="preserve"> </w:t>
      </w:r>
      <w:r w:rsidR="00162911" w:rsidRPr="003E79AF">
        <w:t>planteado.</w:t>
      </w:r>
    </w:p>
    <w:p w14:paraId="24817C81" w14:textId="77777777" w:rsidR="00162911" w:rsidRPr="003E79AF" w:rsidRDefault="00162911" w:rsidP="00162911">
      <w:pPr>
        <w:pStyle w:val="Cdetexto"/>
        <w:rPr>
          <w:i/>
        </w:rPr>
      </w:pPr>
      <w:r w:rsidRPr="003E79AF">
        <w:rPr>
          <w:i/>
        </w:rPr>
        <w:t>Contribución a las metas y estrategias nacionales</w:t>
      </w:r>
      <w:r w:rsidR="007E594B">
        <w:rPr>
          <w:i/>
        </w:rPr>
        <w:t>:</w:t>
      </w:r>
    </w:p>
    <w:p w14:paraId="1692146B" w14:textId="77777777" w:rsidR="00162911" w:rsidRPr="003E79AF" w:rsidRDefault="00162911" w:rsidP="00162911">
      <w:pPr>
        <w:pStyle w:val="Cdetexto"/>
      </w:pPr>
      <w:r>
        <w:t>E</w:t>
      </w:r>
      <w:r w:rsidRPr="003E79AF">
        <w:t xml:space="preserve">l </w:t>
      </w:r>
      <w:r w:rsidR="00053F52">
        <w:t>p</w:t>
      </w:r>
      <w:r w:rsidRPr="003E79AF">
        <w:t>ropósito de la MIR</w:t>
      </w:r>
      <w:r>
        <w:t xml:space="preserve"> del </w:t>
      </w:r>
      <w:proofErr w:type="spellStart"/>
      <w:r>
        <w:t>Pp</w:t>
      </w:r>
      <w:proofErr w:type="spellEnd"/>
      <w:r w:rsidRPr="003E79AF">
        <w:t xml:space="preserve"> está redactado como un </w:t>
      </w:r>
      <w:r w:rsidR="00053F52">
        <w:t>c</w:t>
      </w:r>
      <w:r w:rsidRPr="003E79AF">
        <w:t xml:space="preserve">omponente, por lo que se pierde la lógica vertical </w:t>
      </w:r>
      <w:r>
        <w:t xml:space="preserve">y no es posible identificar su contribución </w:t>
      </w:r>
      <w:r w:rsidRPr="003E79AF">
        <w:t>al logro de las metas del PSG o del PNSP</w:t>
      </w:r>
      <w:r>
        <w:t>,</w:t>
      </w:r>
      <w:r w:rsidRPr="003E79AF">
        <w:t xml:space="preserve"> al no aportar información que tenga relación con los indicadores de dichos programas.</w:t>
      </w:r>
    </w:p>
    <w:p w14:paraId="7D25FF25" w14:textId="77777777" w:rsidR="00162911" w:rsidRPr="00F0120D" w:rsidRDefault="00162911" w:rsidP="00162911">
      <w:pPr>
        <w:spacing w:line="250" w:lineRule="exact"/>
        <w:jc w:val="both"/>
        <w:rPr>
          <w:i/>
          <w:lang w:val="es-ES"/>
        </w:rPr>
      </w:pPr>
      <w:proofErr w:type="spellStart"/>
      <w:r w:rsidRPr="00F0120D">
        <w:rPr>
          <w:i/>
          <w:lang w:val="es-ES"/>
        </w:rPr>
        <w:t>PPo</w:t>
      </w:r>
      <w:proofErr w:type="spellEnd"/>
      <w:r w:rsidRPr="00F0120D">
        <w:rPr>
          <w:i/>
          <w:lang w:val="es-ES"/>
        </w:rPr>
        <w:t>, PO y mecanismos de elegibilidad:</w:t>
      </w:r>
    </w:p>
    <w:p w14:paraId="35BA2A13" w14:textId="77777777" w:rsidR="00162911" w:rsidRDefault="00162911" w:rsidP="00162911">
      <w:pPr>
        <w:pStyle w:val="Cdetexto"/>
      </w:pPr>
      <w:r>
        <w:t>El AEO cuenta</w:t>
      </w:r>
      <w:r w:rsidRPr="00754CC6">
        <w:t xml:space="preserve"> con unidad de medida</w:t>
      </w:r>
      <w:r w:rsidR="00734546">
        <w:t xml:space="preserve"> definida</w:t>
      </w:r>
      <w:r w:rsidRPr="00754CC6">
        <w:t>, que son las empresas o prestadores de servicios</w:t>
      </w:r>
      <w:r>
        <w:t xml:space="preserve"> </w:t>
      </w:r>
      <w:r w:rsidRPr="00754CC6">
        <w:t xml:space="preserve">que al menos en una ocasión han presentado una solicitud de registro para prestar el servicio de </w:t>
      </w:r>
      <w:r w:rsidRPr="00754CC6">
        <w:lastRenderedPageBreak/>
        <w:t xml:space="preserve">seguridad privada en </w:t>
      </w:r>
      <w:r>
        <w:t xml:space="preserve">dos o más entidades federativas; </w:t>
      </w:r>
      <w:r w:rsidR="00060260">
        <w:t xml:space="preserve">también cuenta con </w:t>
      </w:r>
      <w:r>
        <w:t xml:space="preserve">fuente de información, </w:t>
      </w:r>
      <w:r w:rsidRPr="00754CC6">
        <w:t xml:space="preserve">que son los registros administrativos del </w:t>
      </w:r>
      <w:proofErr w:type="spellStart"/>
      <w:r>
        <w:t>Pp</w:t>
      </w:r>
      <w:proofErr w:type="spellEnd"/>
      <w:r>
        <w:t xml:space="preserve"> </w:t>
      </w:r>
      <w:r w:rsidRPr="00754CC6">
        <w:t>o el denominado Registro Nacional de Empresas, Personal y Equipo de Seguridad Privada</w:t>
      </w:r>
      <w:r w:rsidR="00053F52">
        <w:t>.</w:t>
      </w:r>
      <w:r w:rsidRPr="00754CC6">
        <w:t xml:space="preserve"> E</w:t>
      </w:r>
      <w:r>
        <w:t xml:space="preserve">l </w:t>
      </w:r>
      <w:proofErr w:type="spellStart"/>
      <w:r>
        <w:t>AEPo</w:t>
      </w:r>
      <w:proofErr w:type="spellEnd"/>
      <w:r>
        <w:t xml:space="preserve"> no está cuantificada.</w:t>
      </w:r>
    </w:p>
    <w:p w14:paraId="41ECE9A7" w14:textId="77777777" w:rsidR="00162911" w:rsidRPr="004C736A" w:rsidRDefault="00162911" w:rsidP="00162911">
      <w:pPr>
        <w:pStyle w:val="Cdetexto"/>
      </w:pPr>
      <w:r w:rsidRPr="004C736A">
        <w:t xml:space="preserve">Por otra parte, no existe un documento de planeación o una estrategia de cobertura institucional que defina la estrategia que el </w:t>
      </w:r>
      <w:proofErr w:type="spellStart"/>
      <w:r w:rsidRPr="004C736A">
        <w:t>Pp</w:t>
      </w:r>
      <w:proofErr w:type="spellEnd"/>
      <w:r w:rsidRPr="004C736A">
        <w:t xml:space="preserve"> utilizará a lo largo del tiempo para cubrir al total de su </w:t>
      </w:r>
      <w:proofErr w:type="spellStart"/>
      <w:r>
        <w:t>AEPo</w:t>
      </w:r>
      <w:proofErr w:type="spellEnd"/>
      <w:r w:rsidRPr="004C736A">
        <w:t>.</w:t>
      </w:r>
    </w:p>
    <w:p w14:paraId="38CC81D6" w14:textId="77777777" w:rsidR="005E42E3" w:rsidRPr="003542A3" w:rsidRDefault="005E42E3" w:rsidP="005E42E3">
      <w:pPr>
        <w:spacing w:line="250" w:lineRule="exact"/>
        <w:jc w:val="both"/>
        <w:rPr>
          <w:rFonts w:eastAsia="Times New Roman" w:cs="Arial"/>
          <w:szCs w:val="22"/>
          <w:lang w:val="es-ES"/>
        </w:rPr>
      </w:pPr>
      <w:r w:rsidRPr="00CD4D0C">
        <w:rPr>
          <w:i/>
          <w:lang w:val="es-ES"/>
        </w:rPr>
        <w:t>M</w:t>
      </w:r>
      <w:r>
        <w:rPr>
          <w:i/>
          <w:lang w:val="es-ES"/>
        </w:rPr>
        <w:t>IR</w:t>
      </w:r>
      <w:r w:rsidRPr="00CD4D0C">
        <w:rPr>
          <w:i/>
          <w:lang w:val="es-ES"/>
        </w:rPr>
        <w:t>:</w:t>
      </w:r>
    </w:p>
    <w:p w14:paraId="189DC43D" w14:textId="77777777" w:rsidR="00162911" w:rsidRDefault="00162911" w:rsidP="00162911">
      <w:pPr>
        <w:pStyle w:val="Cdetexto"/>
      </w:pPr>
      <w:r>
        <w:t>No</w:t>
      </w:r>
      <w:r w:rsidRPr="004C736A">
        <w:t xml:space="preserve"> existe una alineación entre los </w:t>
      </w:r>
      <w:r>
        <w:t>á</w:t>
      </w:r>
      <w:r w:rsidRPr="004C736A">
        <w:t>rboles de</w:t>
      </w:r>
      <w:r>
        <w:t>l</w:t>
      </w:r>
      <w:r w:rsidRPr="004C736A">
        <w:t xml:space="preserve"> </w:t>
      </w:r>
      <w:r>
        <w:t>p</w:t>
      </w:r>
      <w:r w:rsidRPr="004C736A">
        <w:t xml:space="preserve">roblema y </w:t>
      </w:r>
      <w:r>
        <w:t>de o</w:t>
      </w:r>
      <w:r w:rsidRPr="004C736A">
        <w:t xml:space="preserve">bjetivos </w:t>
      </w:r>
      <w:r>
        <w:t>con</w:t>
      </w:r>
      <w:r w:rsidRPr="004C736A">
        <w:t xml:space="preserve"> el di</w:t>
      </w:r>
      <w:r>
        <w:t>seño de la MIR 2017; la MIR solo cuenta con un componente y una actividad</w:t>
      </w:r>
      <w:r w:rsidR="0014054A">
        <w:t>,</w:t>
      </w:r>
      <w:r>
        <w:t xml:space="preserve"> mientras que el árbol de objetivos identifica diversos medios</w:t>
      </w:r>
      <w:r w:rsidR="0014054A">
        <w:t xml:space="preserve"> para la atención de la necesidad en la que se enfoca el Pp</w:t>
      </w:r>
      <w:r>
        <w:t>.</w:t>
      </w:r>
    </w:p>
    <w:p w14:paraId="777E154C" w14:textId="77777777" w:rsidR="00162911" w:rsidRPr="000C4760" w:rsidRDefault="00162911" w:rsidP="00162911">
      <w:pPr>
        <w:pStyle w:val="Cdetexto"/>
      </w:pPr>
      <w:r w:rsidRPr="000C4760">
        <w:t xml:space="preserve">El </w:t>
      </w:r>
      <w:r>
        <w:t>c</w:t>
      </w:r>
      <w:r w:rsidRPr="000C4760">
        <w:t xml:space="preserve">omponente registrado en la MIR es un servicio que proporciona el </w:t>
      </w:r>
      <w:proofErr w:type="spellStart"/>
      <w:r>
        <w:t>Pp</w:t>
      </w:r>
      <w:proofErr w:type="spellEnd"/>
      <w:r w:rsidRPr="000C4760">
        <w:t xml:space="preserve">, pero no atiende de ningún modo la realización del </w:t>
      </w:r>
      <w:r>
        <w:t>p</w:t>
      </w:r>
      <w:r w:rsidRPr="000C4760">
        <w:t xml:space="preserve">ropósito señalado, además de que no contiene suficientes </w:t>
      </w:r>
      <w:r>
        <w:t>c</w:t>
      </w:r>
      <w:r w:rsidRPr="000C4760">
        <w:t>omponentes para reflejar los servicios otorgados.</w:t>
      </w:r>
    </w:p>
    <w:p w14:paraId="3B040D34" w14:textId="77777777" w:rsidR="00162911" w:rsidRPr="000C4760" w:rsidRDefault="008F21B2" w:rsidP="00162911">
      <w:pPr>
        <w:pStyle w:val="Cdetexto"/>
      </w:pPr>
      <w:r>
        <w:t>En el mismo sentido, n</w:t>
      </w:r>
      <w:r w:rsidR="00162911" w:rsidRPr="000C4760">
        <w:t xml:space="preserve">o hay una relación causal entre el objetivo a nivel </w:t>
      </w:r>
      <w:r w:rsidR="00162911">
        <w:t>p</w:t>
      </w:r>
      <w:r w:rsidR="00162911" w:rsidRPr="000C4760">
        <w:t xml:space="preserve">ropósito y a nivel </w:t>
      </w:r>
      <w:r w:rsidR="00162911">
        <w:t>f</w:t>
      </w:r>
      <w:r w:rsidR="00162911" w:rsidRPr="000C4760">
        <w:t>in.</w:t>
      </w:r>
    </w:p>
    <w:p w14:paraId="257B62D4" w14:textId="77777777" w:rsidR="00162911" w:rsidRPr="003E79AF" w:rsidRDefault="00162911" w:rsidP="00162911">
      <w:pPr>
        <w:pStyle w:val="Cdetexto"/>
        <w:rPr>
          <w:i/>
        </w:rPr>
      </w:pPr>
      <w:r w:rsidRPr="003E79AF">
        <w:rPr>
          <w:i/>
        </w:rPr>
        <w:t xml:space="preserve">Complementariedades y coincidencias con otros </w:t>
      </w:r>
      <w:proofErr w:type="spellStart"/>
      <w:r w:rsidRPr="003E79AF">
        <w:rPr>
          <w:i/>
        </w:rPr>
        <w:t>Pp</w:t>
      </w:r>
      <w:proofErr w:type="spellEnd"/>
      <w:r w:rsidR="0014054A">
        <w:rPr>
          <w:i/>
        </w:rPr>
        <w:t>:</w:t>
      </w:r>
    </w:p>
    <w:p w14:paraId="098B17D1" w14:textId="77777777" w:rsidR="00162911" w:rsidRPr="005F7D74" w:rsidRDefault="00162911" w:rsidP="00162911">
      <w:pPr>
        <w:pStyle w:val="Cdetexto"/>
      </w:pPr>
      <w:r>
        <w:t>S</w:t>
      </w:r>
      <w:r w:rsidRPr="00754CC6">
        <w:t xml:space="preserve">e </w:t>
      </w:r>
      <w:r w:rsidR="00421102">
        <w:t>identificó</w:t>
      </w:r>
      <w:r w:rsidR="00421102" w:rsidRPr="00754CC6">
        <w:t xml:space="preserve"> </w:t>
      </w:r>
      <w:r w:rsidRPr="00754CC6">
        <w:t>que existe coinci</w:t>
      </w:r>
      <w:r>
        <w:t xml:space="preserve">dencia entre los objetivos del </w:t>
      </w:r>
      <w:proofErr w:type="spellStart"/>
      <w:r>
        <w:t>Pp</w:t>
      </w:r>
      <w:proofErr w:type="spellEnd"/>
      <w:r w:rsidR="006F4A52">
        <w:t xml:space="preserve"> </w:t>
      </w:r>
      <w:r>
        <w:t xml:space="preserve">E901 </w:t>
      </w:r>
      <w:r w:rsidRPr="003E79AF">
        <w:t>Servicios de protección, custodia, vigilancia y seguridad de personas, bienes e instalaciones</w:t>
      </w:r>
      <w:r>
        <w:t xml:space="preserve">, </w:t>
      </w:r>
      <w:r w:rsidR="00F64AB0">
        <w:t xml:space="preserve">y el </w:t>
      </w:r>
      <w:proofErr w:type="spellStart"/>
      <w:r w:rsidR="00F64AB0">
        <w:t>Pp</w:t>
      </w:r>
      <w:proofErr w:type="spellEnd"/>
      <w:r w:rsidR="00F64AB0">
        <w:t xml:space="preserve"> E905 Regulación de los servicios de seguridad privada para coadyuvar a la prevención del delito, </w:t>
      </w:r>
      <w:r>
        <w:t xml:space="preserve">del mismo Ramo, aunque las AEO y </w:t>
      </w:r>
      <w:r w:rsidR="00496FDD">
        <w:t xml:space="preserve">Área de Enfoque </w:t>
      </w:r>
      <w:r>
        <w:t>A</w:t>
      </w:r>
      <w:r w:rsidR="00496FDD">
        <w:t>tendida (AEA)</w:t>
      </w:r>
      <w:r>
        <w:t xml:space="preserve"> son distintas. </w:t>
      </w:r>
    </w:p>
    <w:p w14:paraId="381D5444" w14:textId="77777777" w:rsidR="005E42E3" w:rsidRPr="00762E2A" w:rsidRDefault="005E42E3" w:rsidP="005E42E3">
      <w:pPr>
        <w:pStyle w:val="Cdetextonegrita"/>
        <w:spacing w:line="250" w:lineRule="exact"/>
      </w:pPr>
      <w:r w:rsidRPr="00762E2A">
        <w:t>Principales Recomendaciones</w:t>
      </w:r>
    </w:p>
    <w:p w14:paraId="5836760A" w14:textId="77777777" w:rsidR="00162911" w:rsidRPr="000C4760" w:rsidRDefault="008F21B2" w:rsidP="00162911">
      <w:pPr>
        <w:pStyle w:val="Bala"/>
        <w:numPr>
          <w:ilvl w:val="0"/>
          <w:numId w:val="16"/>
        </w:numPr>
        <w:ind w:left="357" w:hanging="357"/>
      </w:pPr>
      <w:r>
        <w:t>Actualizar</w:t>
      </w:r>
      <w:r w:rsidRPr="000C4760">
        <w:t xml:space="preserve"> </w:t>
      </w:r>
      <w:r w:rsidR="00162911" w:rsidRPr="000C4760">
        <w:t xml:space="preserve">el </w:t>
      </w:r>
      <w:r w:rsidR="009C3E3C">
        <w:t>d</w:t>
      </w:r>
      <w:r w:rsidR="00162911" w:rsidRPr="000C4760">
        <w:t xml:space="preserve">iagnóstico </w:t>
      </w:r>
      <w:r w:rsidR="009C3E3C">
        <w:t xml:space="preserve">del </w:t>
      </w:r>
      <w:proofErr w:type="spellStart"/>
      <w:r w:rsidR="009C3E3C">
        <w:t>Pp</w:t>
      </w:r>
      <w:proofErr w:type="spellEnd"/>
      <w:r w:rsidR="009C3E3C">
        <w:t xml:space="preserve"> </w:t>
      </w:r>
      <w:r w:rsidR="00162911" w:rsidRPr="000C4760">
        <w:t xml:space="preserve">y replantear la descripción de las causas que generan </w:t>
      </w:r>
      <w:r>
        <w:t>la necesidad que atiende el Pp</w:t>
      </w:r>
      <w:r w:rsidR="00162911" w:rsidRPr="000C4760">
        <w:t>.</w:t>
      </w:r>
    </w:p>
    <w:p w14:paraId="3C5B4675" w14:textId="77777777" w:rsidR="00162911" w:rsidRPr="000C4760" w:rsidRDefault="00162911" w:rsidP="00162911">
      <w:pPr>
        <w:pStyle w:val="Bala"/>
        <w:numPr>
          <w:ilvl w:val="0"/>
          <w:numId w:val="16"/>
        </w:numPr>
        <w:ind w:left="357" w:hanging="357"/>
      </w:pPr>
      <w:r w:rsidRPr="000C4760">
        <w:t xml:space="preserve">Incorporar en la MIR </w:t>
      </w:r>
      <w:r w:rsidR="008F21B2">
        <w:t>las</w:t>
      </w:r>
      <w:r w:rsidRPr="000C4760">
        <w:t xml:space="preserve"> </w:t>
      </w:r>
      <w:r w:rsidR="008F21B2">
        <w:t>a</w:t>
      </w:r>
      <w:r w:rsidRPr="000C4760">
        <w:t xml:space="preserve">ctividades y </w:t>
      </w:r>
      <w:r w:rsidR="008F21B2">
        <w:t>c</w:t>
      </w:r>
      <w:r w:rsidRPr="000C4760">
        <w:t xml:space="preserve">omponentes que están identificados en los </w:t>
      </w:r>
      <w:r>
        <w:t>á</w:t>
      </w:r>
      <w:r w:rsidRPr="000C4760">
        <w:t>rboles de</w:t>
      </w:r>
      <w:r>
        <w:t>l</w:t>
      </w:r>
      <w:r w:rsidRPr="000C4760">
        <w:t xml:space="preserve"> </w:t>
      </w:r>
      <w:r>
        <w:t>p</w:t>
      </w:r>
      <w:r w:rsidRPr="000C4760">
        <w:t xml:space="preserve">roblema y de </w:t>
      </w:r>
      <w:r>
        <w:t>o</w:t>
      </w:r>
      <w:r w:rsidRPr="000C4760">
        <w:t>bjetivos y en el documento normativo o institucional (Manu</w:t>
      </w:r>
      <w:r w:rsidR="00C3609E">
        <w:t>al de Organización Específico).</w:t>
      </w:r>
    </w:p>
    <w:p w14:paraId="14AAD4C4" w14:textId="77777777" w:rsidR="00162911" w:rsidRPr="000C4760" w:rsidRDefault="009C3E3C" w:rsidP="00162911">
      <w:pPr>
        <w:pStyle w:val="Bala"/>
        <w:numPr>
          <w:ilvl w:val="0"/>
          <w:numId w:val="16"/>
        </w:numPr>
        <w:ind w:left="357" w:hanging="357"/>
      </w:pPr>
      <w:r>
        <w:t>Red</w:t>
      </w:r>
      <w:r w:rsidR="00162911" w:rsidRPr="000C4760">
        <w:t xml:space="preserve">efinir el </w:t>
      </w:r>
      <w:r w:rsidR="00162911">
        <w:t>p</w:t>
      </w:r>
      <w:r w:rsidR="00162911" w:rsidRPr="000C4760">
        <w:t xml:space="preserve">ropósito del </w:t>
      </w:r>
      <w:proofErr w:type="spellStart"/>
      <w:r w:rsidR="00162911">
        <w:t>Pp</w:t>
      </w:r>
      <w:proofErr w:type="spellEnd"/>
      <w:r w:rsidR="00162911" w:rsidRPr="000C4760">
        <w:t>, ya que actualmente está redactado como un componente.</w:t>
      </w:r>
    </w:p>
    <w:p w14:paraId="78B12A02" w14:textId="77777777" w:rsidR="00162911" w:rsidRPr="000C4760" w:rsidRDefault="00162911" w:rsidP="00162911">
      <w:pPr>
        <w:pStyle w:val="Bala"/>
        <w:numPr>
          <w:ilvl w:val="0"/>
          <w:numId w:val="16"/>
        </w:numPr>
        <w:ind w:left="357" w:hanging="357"/>
      </w:pPr>
      <w:r w:rsidRPr="000C4760">
        <w:t>Incluir una meto</w:t>
      </w:r>
      <w:r>
        <w:t>do</w:t>
      </w:r>
      <w:r w:rsidRPr="000C4760">
        <w:t xml:space="preserve">logía para la cuantificación del </w:t>
      </w:r>
      <w:proofErr w:type="spellStart"/>
      <w:r>
        <w:t>AEPo</w:t>
      </w:r>
      <w:proofErr w:type="spellEnd"/>
      <w:r w:rsidRPr="000C4760">
        <w:t>.</w:t>
      </w:r>
    </w:p>
    <w:p w14:paraId="3FA58184" w14:textId="77777777" w:rsidR="00162911" w:rsidRPr="000C4760" w:rsidRDefault="00162911" w:rsidP="00162911">
      <w:pPr>
        <w:pStyle w:val="Bala"/>
        <w:numPr>
          <w:ilvl w:val="0"/>
          <w:numId w:val="16"/>
        </w:numPr>
        <w:ind w:left="357" w:hanging="357"/>
      </w:pPr>
      <w:r w:rsidRPr="000C4760">
        <w:t>Desarrollar una estrategia de cobertura.</w:t>
      </w:r>
    </w:p>
    <w:p w14:paraId="4B668948" w14:textId="77777777" w:rsidR="00162911" w:rsidRPr="000C4760" w:rsidRDefault="00162911" w:rsidP="00162911">
      <w:pPr>
        <w:pStyle w:val="Bala"/>
        <w:numPr>
          <w:ilvl w:val="0"/>
          <w:numId w:val="16"/>
        </w:numPr>
        <w:ind w:left="357" w:hanging="357"/>
      </w:pPr>
      <w:r w:rsidRPr="000C4760">
        <w:t xml:space="preserve">Mejorar los indicadores </w:t>
      </w:r>
      <w:r w:rsidR="002232AF">
        <w:t>de</w:t>
      </w:r>
      <w:r w:rsidR="000144BD">
        <w:t xml:space="preserve"> todos los niveles de la MIR; agregar</w:t>
      </w:r>
      <w:r w:rsidR="000144BD" w:rsidRPr="00FD6D80">
        <w:t xml:space="preserve"> indicador</w:t>
      </w:r>
      <w:r w:rsidR="000144BD">
        <w:t>es que estén</w:t>
      </w:r>
      <w:r w:rsidR="000144BD" w:rsidRPr="00FD6D80">
        <w:t xml:space="preserve"> relacionado</w:t>
      </w:r>
      <w:r w:rsidR="000144BD">
        <w:t>s con la seguridad privada y que posean medios de verificación públicos</w:t>
      </w:r>
      <w:r w:rsidR="000144BD" w:rsidRPr="000C4760">
        <w:t>.</w:t>
      </w:r>
      <w:r w:rsidR="000144BD">
        <w:t xml:space="preserve"> A nivel p</w:t>
      </w:r>
      <w:r w:rsidR="000144BD" w:rsidRPr="00FD6D80">
        <w:t xml:space="preserve">ropósito, es necesario definir indicadores que midan la aportación </w:t>
      </w:r>
      <w:r w:rsidR="000144BD">
        <w:t xml:space="preserve">del </w:t>
      </w:r>
      <w:proofErr w:type="spellStart"/>
      <w:r w:rsidR="000144BD">
        <w:t>Pp</w:t>
      </w:r>
      <w:proofErr w:type="spellEnd"/>
      <w:r w:rsidR="000144BD" w:rsidRPr="00FD6D80">
        <w:t xml:space="preserve"> al cambio en las condiciones</w:t>
      </w:r>
      <w:r w:rsidR="000144BD">
        <w:t xml:space="preserve"> del AEO.</w:t>
      </w:r>
    </w:p>
    <w:p w14:paraId="37AD7150" w14:textId="77777777" w:rsidR="003562B5" w:rsidRDefault="003562B5">
      <w:pPr>
        <w:spacing w:after="0"/>
      </w:pPr>
      <w:r>
        <w:br w:type="page"/>
      </w:r>
    </w:p>
    <w:p w14:paraId="13E0E1F5" w14:textId="77777777" w:rsidR="004B00B5" w:rsidRDefault="004B00B5" w:rsidP="005E42E3"/>
    <w:tbl>
      <w:tblPr>
        <w:tblStyle w:val="Tablaconcuadrcula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5E42E3" w:rsidRPr="00FC7306" w14:paraId="1F8BCA4C" w14:textId="77777777" w:rsidTr="00787F4D">
        <w:tc>
          <w:tcPr>
            <w:tcW w:w="1494" w:type="dxa"/>
            <w:vAlign w:val="center"/>
          </w:tcPr>
          <w:p w14:paraId="354929F4" w14:textId="77777777" w:rsidR="005E42E3" w:rsidRPr="00FC7306" w:rsidRDefault="005E42E3" w:rsidP="00CB4AA0">
            <w:pPr>
              <w:spacing w:before="20" w:after="0"/>
              <w:ind w:left="170"/>
              <w:rPr>
                <w:b/>
                <w:sz w:val="16"/>
                <w:lang w:val="es-ES"/>
              </w:rPr>
            </w:pPr>
            <w:r>
              <w:br w:type="page"/>
            </w:r>
            <w:r w:rsidRPr="00FC7306">
              <w:rPr>
                <w:b/>
                <w:sz w:val="16"/>
                <w:lang w:val="es-ES"/>
              </w:rPr>
              <w:t>Evaluador Externo</w:t>
            </w:r>
            <w:r>
              <w:rPr>
                <w:b/>
                <w:sz w:val="16"/>
                <w:lang w:val="es-ES"/>
              </w:rPr>
              <w:t>:</w:t>
            </w:r>
          </w:p>
        </w:tc>
        <w:tc>
          <w:tcPr>
            <w:tcW w:w="8478" w:type="dxa"/>
            <w:gridSpan w:val="3"/>
            <w:vAlign w:val="center"/>
          </w:tcPr>
          <w:p w14:paraId="52DB4716" w14:textId="77777777" w:rsidR="00162911" w:rsidRPr="00FA0F4E" w:rsidRDefault="00162911" w:rsidP="00162911">
            <w:pPr>
              <w:spacing w:before="20" w:after="0"/>
              <w:ind w:left="113"/>
              <w:rPr>
                <w:sz w:val="16"/>
                <w:lang w:val="es-ES"/>
              </w:rPr>
            </w:pPr>
            <w:r w:rsidRPr="00FC7306">
              <w:rPr>
                <w:sz w:val="16"/>
                <w:lang w:val="es-ES"/>
              </w:rPr>
              <w:t xml:space="preserve">1. Instancia Evaluadora: </w:t>
            </w:r>
            <w:r w:rsidRPr="00FA0F4E">
              <w:rPr>
                <w:sz w:val="16"/>
                <w:lang w:val="es-ES"/>
              </w:rPr>
              <w:t>Facultad de Economía</w:t>
            </w:r>
            <w:r w:rsidR="00687B66">
              <w:rPr>
                <w:sz w:val="16"/>
                <w:lang w:val="es-ES"/>
              </w:rPr>
              <w:t xml:space="preserve"> de la UNAM</w:t>
            </w:r>
          </w:p>
          <w:p w14:paraId="414301D7" w14:textId="77777777" w:rsidR="00162911" w:rsidRPr="00FC7306" w:rsidRDefault="00162911" w:rsidP="00162911">
            <w:pPr>
              <w:spacing w:before="20" w:after="0"/>
              <w:ind w:left="113"/>
              <w:rPr>
                <w:sz w:val="16"/>
                <w:lang w:val="es-ES"/>
              </w:rPr>
            </w:pPr>
            <w:r w:rsidRPr="00FC7306">
              <w:rPr>
                <w:sz w:val="16"/>
                <w:lang w:val="es-ES"/>
              </w:rPr>
              <w:t xml:space="preserve">2. Coordinador de la Evaluación: </w:t>
            </w:r>
            <w:r w:rsidRPr="00FA0F4E">
              <w:rPr>
                <w:sz w:val="16"/>
                <w:lang w:val="es-ES"/>
              </w:rPr>
              <w:t>Miguel Ángel González Guadarrama</w:t>
            </w:r>
          </w:p>
          <w:p w14:paraId="42AA6FB2" w14:textId="77777777" w:rsidR="005E42E3" w:rsidRPr="00FC7306" w:rsidRDefault="00162911" w:rsidP="00053B45">
            <w:pPr>
              <w:spacing w:before="20" w:after="0"/>
              <w:ind w:left="113"/>
              <w:rPr>
                <w:sz w:val="16"/>
                <w:lang w:val="es-ES"/>
              </w:rPr>
            </w:pPr>
            <w:r w:rsidRPr="00FC7306">
              <w:rPr>
                <w:sz w:val="16"/>
                <w:lang w:val="es-ES"/>
              </w:rPr>
              <w:t xml:space="preserve">3. Forma de contratación: </w:t>
            </w:r>
            <w:r w:rsidR="00053B45">
              <w:rPr>
                <w:sz w:val="16"/>
                <w:lang w:val="es-ES"/>
              </w:rPr>
              <w:t xml:space="preserve">No </w:t>
            </w:r>
            <w:r w:rsidR="00053B45" w:rsidRPr="00107872">
              <w:rPr>
                <w:sz w:val="16"/>
                <w:szCs w:val="16"/>
                <w:lang w:val="es-ES"/>
              </w:rPr>
              <w:t>disponible</w:t>
            </w:r>
            <w:r w:rsidR="00053B45" w:rsidRPr="00107872">
              <w:rPr>
                <w:rStyle w:val="Refdenotaalpie"/>
                <w:sz w:val="16"/>
                <w:szCs w:val="16"/>
                <w:lang w:val="es-ES"/>
              </w:rPr>
              <w:footnoteReference w:id="2"/>
            </w:r>
            <w:r w:rsidR="008C03DD" w:rsidRPr="00107872">
              <w:rPr>
                <w:sz w:val="16"/>
                <w:szCs w:val="16"/>
                <w:vertAlign w:val="superscript"/>
              </w:rPr>
              <w:t>_/</w:t>
            </w:r>
          </w:p>
        </w:tc>
      </w:tr>
      <w:tr w:rsidR="005E42E3" w:rsidRPr="00FC7306" w14:paraId="69A4A9F5" w14:textId="77777777" w:rsidTr="00787F4D">
        <w:tc>
          <w:tcPr>
            <w:tcW w:w="1494" w:type="dxa"/>
            <w:vAlign w:val="center"/>
          </w:tcPr>
          <w:p w14:paraId="50DC75CA" w14:textId="77777777" w:rsidR="005E42E3" w:rsidRPr="00FC7306" w:rsidRDefault="005E42E3" w:rsidP="00CB4AA0">
            <w:pPr>
              <w:spacing w:before="20" w:after="0"/>
              <w:ind w:left="170"/>
              <w:rPr>
                <w:b/>
                <w:sz w:val="16"/>
                <w:lang w:val="es-ES"/>
              </w:rPr>
            </w:pPr>
          </w:p>
        </w:tc>
        <w:tc>
          <w:tcPr>
            <w:tcW w:w="8478" w:type="dxa"/>
            <w:gridSpan w:val="3"/>
            <w:vAlign w:val="center"/>
          </w:tcPr>
          <w:p w14:paraId="349F985B" w14:textId="77777777" w:rsidR="005E42E3" w:rsidRPr="00FC7306" w:rsidRDefault="005E42E3" w:rsidP="00CB4AA0">
            <w:pPr>
              <w:spacing w:before="20" w:after="0"/>
              <w:ind w:left="113"/>
              <w:rPr>
                <w:sz w:val="16"/>
                <w:lang w:val="es-ES"/>
              </w:rPr>
            </w:pPr>
          </w:p>
        </w:tc>
      </w:tr>
      <w:tr w:rsidR="005E42E3" w:rsidRPr="00FC7306" w14:paraId="1DFB775C" w14:textId="77777777" w:rsidTr="00787F4D">
        <w:tc>
          <w:tcPr>
            <w:tcW w:w="1494" w:type="dxa"/>
            <w:vAlign w:val="center"/>
          </w:tcPr>
          <w:p w14:paraId="6D19001B" w14:textId="77777777" w:rsidR="005E42E3" w:rsidRPr="00FC7306" w:rsidRDefault="005E42E3" w:rsidP="00CB4AA0">
            <w:pPr>
              <w:spacing w:before="20" w:after="0"/>
              <w:ind w:left="170"/>
              <w:rPr>
                <w:b/>
                <w:sz w:val="16"/>
                <w:lang w:val="es-ES"/>
              </w:rPr>
            </w:pPr>
            <w:r w:rsidRPr="00FC7306">
              <w:rPr>
                <w:b/>
                <w:sz w:val="16"/>
                <w:lang w:val="es-ES"/>
              </w:rPr>
              <w:t>Costo:</w:t>
            </w:r>
          </w:p>
        </w:tc>
        <w:tc>
          <w:tcPr>
            <w:tcW w:w="2220" w:type="dxa"/>
          </w:tcPr>
          <w:p w14:paraId="7325FF6C" w14:textId="77777777" w:rsidR="005E42E3" w:rsidRPr="00FC7306" w:rsidRDefault="00201400" w:rsidP="000922E2">
            <w:pPr>
              <w:spacing w:before="20" w:after="0"/>
              <w:ind w:left="113"/>
              <w:rPr>
                <w:sz w:val="16"/>
                <w:lang w:val="es-ES"/>
              </w:rPr>
            </w:pPr>
            <w:r>
              <w:rPr>
                <w:sz w:val="16"/>
                <w:lang w:val="es-ES"/>
              </w:rPr>
              <w:t>$</w:t>
            </w:r>
            <w:r w:rsidR="00162911">
              <w:rPr>
                <w:sz w:val="16"/>
                <w:lang w:val="es-ES"/>
              </w:rPr>
              <w:t>430</w:t>
            </w:r>
            <w:r w:rsidR="005E42E3" w:rsidRPr="00F97DE1">
              <w:rPr>
                <w:sz w:val="16"/>
                <w:lang w:val="es-ES"/>
              </w:rPr>
              <w:t>,000.00</w:t>
            </w:r>
            <w:r w:rsidR="00787F4D">
              <w:rPr>
                <w:szCs w:val="22"/>
              </w:rPr>
              <w:t xml:space="preserve"> </w:t>
            </w:r>
            <w:r w:rsidR="00787F4D">
              <w:rPr>
                <w:sz w:val="16"/>
                <w:szCs w:val="16"/>
              </w:rPr>
              <w:t>IVA i</w:t>
            </w:r>
            <w:r w:rsidR="00787F4D" w:rsidRPr="00787F4D">
              <w:rPr>
                <w:sz w:val="16"/>
                <w:szCs w:val="16"/>
              </w:rPr>
              <w:t>ncluido</w:t>
            </w:r>
          </w:p>
        </w:tc>
        <w:tc>
          <w:tcPr>
            <w:tcW w:w="1803" w:type="dxa"/>
            <w:vAlign w:val="center"/>
          </w:tcPr>
          <w:p w14:paraId="13C4B691" w14:textId="77777777" w:rsidR="005E42E3" w:rsidRPr="00FC7306" w:rsidRDefault="005E42E3" w:rsidP="00CB4AA0">
            <w:pPr>
              <w:spacing w:before="20" w:after="0"/>
              <w:ind w:left="170"/>
              <w:rPr>
                <w:b/>
                <w:sz w:val="16"/>
                <w:lang w:val="es-ES"/>
              </w:rPr>
            </w:pPr>
            <w:r w:rsidRPr="00FC7306">
              <w:rPr>
                <w:b/>
                <w:sz w:val="16"/>
                <w:lang w:val="es-ES"/>
              </w:rPr>
              <w:t>Fuente de Financiamiento:</w:t>
            </w:r>
          </w:p>
        </w:tc>
        <w:tc>
          <w:tcPr>
            <w:tcW w:w="4455" w:type="dxa"/>
            <w:vAlign w:val="center"/>
          </w:tcPr>
          <w:p w14:paraId="7C9C948A" w14:textId="77777777" w:rsidR="005E42E3" w:rsidRPr="00DD2788" w:rsidRDefault="005E42E3" w:rsidP="00CB4AA0">
            <w:pPr>
              <w:spacing w:before="20" w:after="0"/>
              <w:ind w:left="113"/>
              <w:rPr>
                <w:sz w:val="16"/>
                <w:highlight w:val="yellow"/>
                <w:lang w:val="es-ES"/>
              </w:rPr>
            </w:pPr>
            <w:r w:rsidRPr="00DD2788">
              <w:rPr>
                <w:sz w:val="16"/>
                <w:lang w:val="es-ES"/>
              </w:rPr>
              <w:t>Recursos Fiscales</w:t>
            </w:r>
          </w:p>
        </w:tc>
      </w:tr>
      <w:tr w:rsidR="005E42E3" w:rsidRPr="00FC7306" w14:paraId="1C2FE2CF" w14:textId="77777777" w:rsidTr="00787F4D">
        <w:tc>
          <w:tcPr>
            <w:tcW w:w="1494" w:type="dxa"/>
            <w:tcBorders>
              <w:bottom w:val="single" w:sz="4" w:space="0" w:color="auto"/>
            </w:tcBorders>
            <w:vAlign w:val="center"/>
          </w:tcPr>
          <w:p w14:paraId="531EB666" w14:textId="77777777" w:rsidR="005E42E3" w:rsidRPr="00FC7306" w:rsidRDefault="005E42E3" w:rsidP="00CB4AA0">
            <w:pPr>
              <w:pStyle w:val="Textocuadroneg1"/>
              <w:rPr>
                <w:sz w:val="16"/>
                <w:szCs w:val="16"/>
              </w:rPr>
            </w:pPr>
            <w:r w:rsidRPr="00FC7306">
              <w:rPr>
                <w:sz w:val="16"/>
                <w:szCs w:val="16"/>
              </w:rPr>
              <w:t>Coordinación de la Evaluación</w:t>
            </w:r>
          </w:p>
        </w:tc>
        <w:tc>
          <w:tcPr>
            <w:tcW w:w="2220" w:type="dxa"/>
            <w:tcBorders>
              <w:bottom w:val="single" w:sz="4" w:space="0" w:color="auto"/>
            </w:tcBorders>
            <w:vAlign w:val="center"/>
          </w:tcPr>
          <w:p w14:paraId="5C4846D0" w14:textId="77777777" w:rsidR="005E42E3" w:rsidRPr="00DD2788" w:rsidRDefault="005E42E3" w:rsidP="00CB4AA0">
            <w:pPr>
              <w:pStyle w:val="Cdetexto"/>
              <w:spacing w:after="0"/>
              <w:jc w:val="center"/>
              <w:rPr>
                <w:sz w:val="16"/>
                <w:szCs w:val="14"/>
              </w:rPr>
            </w:pPr>
            <w:r w:rsidRPr="00DD2788">
              <w:rPr>
                <w:sz w:val="16"/>
                <w:szCs w:val="14"/>
              </w:rPr>
              <w:t>SHCP</w:t>
            </w:r>
          </w:p>
        </w:tc>
        <w:tc>
          <w:tcPr>
            <w:tcW w:w="1803" w:type="dxa"/>
            <w:tcBorders>
              <w:bottom w:val="single" w:sz="4" w:space="0" w:color="auto"/>
            </w:tcBorders>
            <w:vAlign w:val="center"/>
          </w:tcPr>
          <w:p w14:paraId="5BD178A5" w14:textId="77777777" w:rsidR="005E42E3" w:rsidRPr="00FC7306" w:rsidRDefault="005E42E3" w:rsidP="00CB4AA0">
            <w:pPr>
              <w:pStyle w:val="Textocuadroneg1"/>
              <w:rPr>
                <w:sz w:val="16"/>
                <w:szCs w:val="16"/>
              </w:rPr>
            </w:pPr>
            <w:r w:rsidRPr="00FC7306">
              <w:rPr>
                <w:sz w:val="16"/>
                <w:szCs w:val="16"/>
              </w:rPr>
              <w:t>Informe completo</w:t>
            </w:r>
          </w:p>
        </w:tc>
        <w:tc>
          <w:tcPr>
            <w:tcW w:w="4455" w:type="dxa"/>
            <w:tcBorders>
              <w:bottom w:val="single" w:sz="4" w:space="0" w:color="auto"/>
            </w:tcBorders>
            <w:vAlign w:val="center"/>
          </w:tcPr>
          <w:p w14:paraId="0E0E3F0A" w14:textId="77777777" w:rsidR="005E42E3" w:rsidRPr="00FC7306" w:rsidRDefault="005E42E3" w:rsidP="00CB4AA0">
            <w:pPr>
              <w:pStyle w:val="Textocuadro1"/>
              <w:rPr>
                <w:sz w:val="16"/>
                <w:szCs w:val="16"/>
              </w:rPr>
            </w:pPr>
            <w:r w:rsidRPr="00FC7306">
              <w:rPr>
                <w:sz w:val="16"/>
                <w:szCs w:val="16"/>
              </w:rPr>
              <w:t>Disponible en:</w:t>
            </w:r>
          </w:p>
          <w:p w14:paraId="53952817" w14:textId="77777777" w:rsidR="005E42E3" w:rsidRPr="00FC7306" w:rsidRDefault="005E42E3" w:rsidP="00CB4AA0">
            <w:pPr>
              <w:pStyle w:val="Textocuadro1"/>
              <w:rPr>
                <w:sz w:val="16"/>
                <w:szCs w:val="16"/>
              </w:rPr>
            </w:pPr>
            <w:r w:rsidRPr="00FC7306">
              <w:rPr>
                <w:sz w:val="16"/>
                <w:szCs w:val="16"/>
              </w:rPr>
              <w:t>http://www.transparenciapresupuestaria.gob.mx/</w:t>
            </w:r>
          </w:p>
        </w:tc>
      </w:tr>
    </w:tbl>
    <w:p w14:paraId="741CDA9D" w14:textId="77777777" w:rsidR="00673AB6" w:rsidRDefault="00673AB6"/>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B00B5" w:rsidRPr="0043350C" w14:paraId="013A881F" w14:textId="77777777" w:rsidTr="006D135B">
        <w:trPr>
          <w:trHeight w:val="392"/>
          <w:jc w:val="center"/>
        </w:trPr>
        <w:tc>
          <w:tcPr>
            <w:tcW w:w="10173" w:type="dxa"/>
            <w:gridSpan w:val="5"/>
            <w:shd w:val="clear" w:color="auto" w:fill="D6E3BC" w:themeFill="accent3" w:themeFillTint="66"/>
            <w:vAlign w:val="center"/>
          </w:tcPr>
          <w:p w14:paraId="11FBBAD0" w14:textId="77777777" w:rsidR="004B00B5" w:rsidRPr="004F34CC" w:rsidRDefault="004B00B5" w:rsidP="00F64AB0">
            <w:pPr>
              <w:pStyle w:val="CABEZA"/>
              <w:ind w:left="0"/>
              <w:rPr>
                <w:lang w:val="es-MX"/>
              </w:rPr>
            </w:pPr>
            <w:r w:rsidRPr="008873F7">
              <w:rPr>
                <w:lang w:val="es-MX"/>
              </w:rPr>
              <w:br w:type="page"/>
            </w:r>
            <w:r w:rsidR="001A183E" w:rsidRPr="00D37B5C">
              <w:rPr>
                <w:lang w:val="es-MX"/>
              </w:rPr>
              <w:t xml:space="preserve">Ramo </w:t>
            </w:r>
            <w:r w:rsidR="001A183E">
              <w:rPr>
                <w:lang w:val="es-MX"/>
              </w:rPr>
              <w:t>0</w:t>
            </w:r>
            <w:r w:rsidR="00162911">
              <w:rPr>
                <w:lang w:val="es-MX"/>
              </w:rPr>
              <w:t>4</w:t>
            </w:r>
            <w:r w:rsidR="001A183E" w:rsidRPr="00D37B5C">
              <w:rPr>
                <w:lang w:val="es-MX"/>
              </w:rPr>
              <w:t xml:space="preserve">. </w:t>
            </w:r>
            <w:r w:rsidR="00162911">
              <w:rPr>
                <w:lang w:val="es-MX"/>
              </w:rPr>
              <w:t>Gobernación</w:t>
            </w:r>
          </w:p>
        </w:tc>
      </w:tr>
      <w:tr w:rsidR="004B00B5" w:rsidRPr="0043350C" w14:paraId="4D63BBB8" w14:textId="77777777" w:rsidTr="006D135B">
        <w:trPr>
          <w:jc w:val="center"/>
        </w:trPr>
        <w:tc>
          <w:tcPr>
            <w:tcW w:w="1359" w:type="dxa"/>
            <w:shd w:val="clear" w:color="auto" w:fill="D9D9D9" w:themeFill="background1" w:themeFillShade="D9"/>
          </w:tcPr>
          <w:p w14:paraId="3D84B679" w14:textId="77777777" w:rsidR="004B00B5" w:rsidRPr="0043350C" w:rsidRDefault="004B00B5" w:rsidP="006D135B">
            <w:pPr>
              <w:spacing w:before="20"/>
              <w:rPr>
                <w:b/>
                <w:sz w:val="16"/>
                <w:lang w:val="es-ES"/>
              </w:rPr>
            </w:pPr>
            <w:r w:rsidRPr="0043350C">
              <w:rPr>
                <w:b/>
                <w:sz w:val="16"/>
                <w:lang w:val="es-ES"/>
              </w:rPr>
              <w:t xml:space="preserve">Clave del </w:t>
            </w:r>
            <w:proofErr w:type="spellStart"/>
            <w:r w:rsidRPr="0043350C">
              <w:rPr>
                <w:b/>
                <w:sz w:val="16"/>
                <w:lang w:val="es-ES"/>
              </w:rPr>
              <w:t>Pp</w:t>
            </w:r>
            <w:proofErr w:type="spellEnd"/>
            <w:r w:rsidRPr="0043350C">
              <w:rPr>
                <w:b/>
                <w:sz w:val="16"/>
                <w:lang w:val="es-ES"/>
              </w:rPr>
              <w:t>:</w:t>
            </w:r>
          </w:p>
        </w:tc>
        <w:tc>
          <w:tcPr>
            <w:tcW w:w="734" w:type="dxa"/>
            <w:shd w:val="clear" w:color="auto" w:fill="D9D9D9" w:themeFill="background1" w:themeFillShade="D9"/>
          </w:tcPr>
          <w:p w14:paraId="2759160D" w14:textId="77777777" w:rsidR="004B00B5" w:rsidRPr="0043350C" w:rsidRDefault="00162911" w:rsidP="00162911">
            <w:pPr>
              <w:contextualSpacing/>
              <w:rPr>
                <w:sz w:val="16"/>
                <w:szCs w:val="16"/>
                <w:lang w:val="es-ES" w:eastAsia="en-US"/>
              </w:rPr>
            </w:pPr>
            <w:r>
              <w:rPr>
                <w:sz w:val="16"/>
                <w:szCs w:val="16"/>
                <w:lang w:val="es-ES" w:eastAsia="en-US"/>
              </w:rPr>
              <w:t>P</w:t>
            </w:r>
            <w:r w:rsidR="001A183E">
              <w:rPr>
                <w:sz w:val="16"/>
                <w:szCs w:val="16"/>
                <w:lang w:val="es-ES" w:eastAsia="en-US"/>
              </w:rPr>
              <w:t>0</w:t>
            </w:r>
            <w:r>
              <w:rPr>
                <w:sz w:val="16"/>
                <w:szCs w:val="16"/>
                <w:lang w:val="es-ES" w:eastAsia="en-US"/>
              </w:rPr>
              <w:t>21</w:t>
            </w:r>
          </w:p>
        </w:tc>
        <w:tc>
          <w:tcPr>
            <w:tcW w:w="1701" w:type="dxa"/>
            <w:gridSpan w:val="2"/>
            <w:shd w:val="clear" w:color="auto" w:fill="D9D9D9" w:themeFill="background1" w:themeFillShade="D9"/>
          </w:tcPr>
          <w:p w14:paraId="1FAFCAB7" w14:textId="77777777" w:rsidR="004B00B5" w:rsidRPr="0043350C" w:rsidRDefault="004B00B5" w:rsidP="006D135B">
            <w:pPr>
              <w:spacing w:before="20"/>
              <w:rPr>
                <w:b/>
                <w:sz w:val="16"/>
                <w:lang w:val="es-ES"/>
              </w:rPr>
            </w:pPr>
            <w:r w:rsidRPr="0043350C">
              <w:rPr>
                <w:b/>
                <w:sz w:val="16"/>
                <w:lang w:val="es-ES"/>
              </w:rPr>
              <w:t>Denominación:</w:t>
            </w:r>
          </w:p>
        </w:tc>
        <w:tc>
          <w:tcPr>
            <w:tcW w:w="6379" w:type="dxa"/>
            <w:shd w:val="clear" w:color="auto" w:fill="D9D9D9" w:themeFill="background1" w:themeFillShade="D9"/>
          </w:tcPr>
          <w:p w14:paraId="360087BA" w14:textId="77777777" w:rsidR="004B00B5" w:rsidRPr="0043350C" w:rsidRDefault="00162911" w:rsidP="006D135B">
            <w:pPr>
              <w:contextualSpacing/>
              <w:rPr>
                <w:sz w:val="16"/>
                <w:szCs w:val="16"/>
                <w:lang w:val="es-ES" w:eastAsia="en-US"/>
              </w:rPr>
            </w:pPr>
            <w:r w:rsidRPr="00162911">
              <w:rPr>
                <w:sz w:val="16"/>
                <w:szCs w:val="16"/>
                <w:lang w:val="es-ES" w:eastAsia="en-US"/>
              </w:rPr>
              <w:t>Implementar las políticas, programas y acciones tendientes a garantizar la seguridad pública de la Nación y sus habitantes</w:t>
            </w:r>
          </w:p>
        </w:tc>
      </w:tr>
      <w:tr w:rsidR="004B00B5" w:rsidRPr="0043350C" w14:paraId="60722905" w14:textId="77777777" w:rsidTr="006D135B">
        <w:trPr>
          <w:jc w:val="center"/>
        </w:trPr>
        <w:tc>
          <w:tcPr>
            <w:tcW w:w="2778" w:type="dxa"/>
            <w:gridSpan w:val="3"/>
          </w:tcPr>
          <w:p w14:paraId="062550D2" w14:textId="77777777" w:rsidR="004B00B5" w:rsidRPr="0043350C" w:rsidRDefault="004B00B5" w:rsidP="006D135B">
            <w:pPr>
              <w:spacing w:before="20"/>
              <w:rPr>
                <w:b/>
                <w:sz w:val="16"/>
                <w:lang w:val="es-ES"/>
              </w:rPr>
            </w:pPr>
            <w:r w:rsidRPr="00FC7306">
              <w:rPr>
                <w:b/>
                <w:sz w:val="16"/>
                <w:lang w:val="es-ES"/>
              </w:rPr>
              <w:t>Unidad Administrativa</w:t>
            </w:r>
            <w:r>
              <w:rPr>
                <w:b/>
                <w:sz w:val="16"/>
                <w:lang w:val="es-ES"/>
              </w:rPr>
              <w:t>:</w:t>
            </w:r>
          </w:p>
        </w:tc>
        <w:tc>
          <w:tcPr>
            <w:tcW w:w="7395" w:type="dxa"/>
            <w:gridSpan w:val="2"/>
          </w:tcPr>
          <w:p w14:paraId="609A4CFF" w14:textId="77777777" w:rsidR="00162911" w:rsidRDefault="00162911" w:rsidP="00162911">
            <w:pPr>
              <w:spacing w:after="0"/>
              <w:rPr>
                <w:rFonts w:eastAsia="Times New Roman"/>
                <w:sz w:val="16"/>
                <w:szCs w:val="16"/>
                <w:lang w:val="es-MX" w:eastAsia="en-US"/>
              </w:rPr>
            </w:pPr>
            <w:r w:rsidRPr="00311B6E">
              <w:rPr>
                <w:rFonts w:eastAsia="Times New Roman"/>
                <w:sz w:val="16"/>
                <w:szCs w:val="16"/>
                <w:lang w:val="es-MX" w:eastAsia="en-US"/>
              </w:rPr>
              <w:t>Oficina del Comisionado Nacional de Seguridad</w:t>
            </w:r>
          </w:p>
          <w:p w14:paraId="1A88C222" w14:textId="77777777" w:rsidR="00162911" w:rsidRPr="00311B6E" w:rsidRDefault="00162911" w:rsidP="00162911">
            <w:pPr>
              <w:spacing w:after="0"/>
              <w:rPr>
                <w:rFonts w:eastAsia="Times New Roman"/>
                <w:sz w:val="16"/>
                <w:szCs w:val="16"/>
                <w:lang w:val="es-MX" w:eastAsia="en-US"/>
              </w:rPr>
            </w:pPr>
            <w:r w:rsidRPr="00311B6E">
              <w:rPr>
                <w:rFonts w:eastAsia="Times New Roman"/>
                <w:sz w:val="16"/>
                <w:szCs w:val="16"/>
                <w:lang w:val="es-MX" w:eastAsia="en-US"/>
              </w:rPr>
              <w:t>Unidad de Planeación, Prospectiva y Seguridad Privada</w:t>
            </w:r>
          </w:p>
          <w:p w14:paraId="0B8C509F" w14:textId="77777777" w:rsidR="00162911" w:rsidRPr="00311B6E" w:rsidRDefault="00162911" w:rsidP="00162911">
            <w:pPr>
              <w:spacing w:after="0"/>
              <w:rPr>
                <w:rFonts w:eastAsia="Times New Roman"/>
                <w:sz w:val="16"/>
                <w:szCs w:val="16"/>
                <w:lang w:val="es-MX" w:eastAsia="en-US"/>
              </w:rPr>
            </w:pPr>
            <w:r w:rsidRPr="00311B6E">
              <w:rPr>
                <w:rFonts w:eastAsia="Times New Roman"/>
                <w:sz w:val="16"/>
                <w:szCs w:val="16"/>
                <w:lang w:val="es-MX" w:eastAsia="en-US"/>
              </w:rPr>
              <w:t>Dirección General de Análisis, Prospectiva y Evaluación</w:t>
            </w:r>
          </w:p>
          <w:p w14:paraId="20FD9511" w14:textId="77777777" w:rsidR="00162911" w:rsidRPr="00311B6E" w:rsidRDefault="00162911" w:rsidP="00162911">
            <w:pPr>
              <w:spacing w:after="0"/>
              <w:rPr>
                <w:rFonts w:eastAsia="Times New Roman"/>
                <w:sz w:val="16"/>
                <w:szCs w:val="16"/>
                <w:lang w:val="es-MX" w:eastAsia="en-US"/>
              </w:rPr>
            </w:pPr>
            <w:r w:rsidRPr="00311B6E">
              <w:rPr>
                <w:rFonts w:eastAsia="Times New Roman"/>
                <w:sz w:val="16"/>
                <w:szCs w:val="16"/>
                <w:lang w:val="es-MX" w:eastAsia="en-US"/>
              </w:rPr>
              <w:t>Unidad de Desarrollo e Integración Institucional</w:t>
            </w:r>
          </w:p>
          <w:p w14:paraId="3B4C7495" w14:textId="77777777" w:rsidR="00162911" w:rsidRPr="00311B6E" w:rsidRDefault="00162911" w:rsidP="00162911">
            <w:pPr>
              <w:spacing w:after="0"/>
              <w:rPr>
                <w:rFonts w:eastAsia="Times New Roman"/>
                <w:sz w:val="16"/>
                <w:szCs w:val="16"/>
                <w:lang w:val="es-MX" w:eastAsia="en-US"/>
              </w:rPr>
            </w:pPr>
            <w:r w:rsidRPr="00311B6E">
              <w:rPr>
                <w:rFonts w:eastAsia="Times New Roman"/>
                <w:sz w:val="16"/>
                <w:szCs w:val="16"/>
                <w:lang w:val="es-MX" w:eastAsia="en-US"/>
              </w:rPr>
              <w:t>Dirección General de Política para el Desarrollo Policial</w:t>
            </w:r>
          </w:p>
          <w:p w14:paraId="7F2155F0" w14:textId="77777777" w:rsidR="00162911" w:rsidRPr="00311B6E" w:rsidRDefault="00162911" w:rsidP="00162911">
            <w:pPr>
              <w:spacing w:after="0"/>
              <w:rPr>
                <w:rFonts w:eastAsia="Times New Roman"/>
                <w:sz w:val="16"/>
                <w:szCs w:val="16"/>
                <w:lang w:val="es-MX" w:eastAsia="en-US"/>
              </w:rPr>
            </w:pPr>
            <w:r w:rsidRPr="00311B6E">
              <w:rPr>
                <w:rFonts w:eastAsia="Times New Roman"/>
                <w:sz w:val="16"/>
                <w:szCs w:val="16"/>
                <w:lang w:val="es-MX" w:eastAsia="en-US"/>
              </w:rPr>
              <w:t>Dirección General del Centro de Control de Confianza</w:t>
            </w:r>
          </w:p>
          <w:p w14:paraId="3CEAC1E9" w14:textId="77777777" w:rsidR="00162911" w:rsidRPr="00311B6E" w:rsidRDefault="00162911" w:rsidP="00162911">
            <w:pPr>
              <w:spacing w:after="0"/>
              <w:rPr>
                <w:rFonts w:eastAsia="Times New Roman"/>
                <w:sz w:val="16"/>
                <w:szCs w:val="16"/>
                <w:lang w:val="es-MX" w:eastAsia="en-US"/>
              </w:rPr>
            </w:pPr>
            <w:r w:rsidRPr="00311B6E">
              <w:rPr>
                <w:rFonts w:eastAsia="Times New Roman"/>
                <w:sz w:val="16"/>
                <w:szCs w:val="16"/>
                <w:lang w:val="es-MX" w:eastAsia="en-US"/>
              </w:rPr>
              <w:t>Dirección General de Política y Desarrollo Penitenciario</w:t>
            </w:r>
          </w:p>
          <w:p w14:paraId="151DECE0" w14:textId="77777777" w:rsidR="00162911" w:rsidRPr="00311B6E" w:rsidRDefault="00162911" w:rsidP="00162911">
            <w:pPr>
              <w:spacing w:after="0"/>
              <w:rPr>
                <w:rFonts w:eastAsia="Times New Roman"/>
                <w:sz w:val="16"/>
                <w:szCs w:val="16"/>
                <w:lang w:val="es-MX" w:eastAsia="en-US"/>
              </w:rPr>
            </w:pPr>
            <w:r w:rsidRPr="00311B6E">
              <w:rPr>
                <w:rFonts w:eastAsia="Times New Roman"/>
                <w:sz w:val="16"/>
                <w:szCs w:val="16"/>
                <w:lang w:val="es-MX" w:eastAsia="en-US"/>
              </w:rPr>
              <w:t>Inspectoría General</w:t>
            </w:r>
          </w:p>
          <w:p w14:paraId="38151010" w14:textId="77777777" w:rsidR="00162911" w:rsidRPr="00311B6E" w:rsidRDefault="00162911" w:rsidP="00162911">
            <w:pPr>
              <w:spacing w:after="0"/>
              <w:rPr>
                <w:rFonts w:eastAsia="Times New Roman"/>
                <w:sz w:val="16"/>
                <w:szCs w:val="16"/>
                <w:lang w:val="es-MX" w:eastAsia="en-US"/>
              </w:rPr>
            </w:pPr>
            <w:r w:rsidRPr="00311B6E">
              <w:rPr>
                <w:rFonts w:eastAsia="Times New Roman"/>
                <w:sz w:val="16"/>
                <w:szCs w:val="16"/>
                <w:lang w:val="es-MX" w:eastAsia="en-US"/>
              </w:rPr>
              <w:t>Dirección General de Apoyo Jurídico</w:t>
            </w:r>
          </w:p>
          <w:p w14:paraId="1B16029E" w14:textId="77777777" w:rsidR="00162911" w:rsidRPr="00311B6E" w:rsidRDefault="00162911" w:rsidP="00162911">
            <w:pPr>
              <w:spacing w:after="0"/>
              <w:rPr>
                <w:rFonts w:eastAsia="Times New Roman"/>
                <w:sz w:val="16"/>
                <w:szCs w:val="16"/>
                <w:lang w:val="es-MX" w:eastAsia="en-US"/>
              </w:rPr>
            </w:pPr>
            <w:r w:rsidRPr="00311B6E">
              <w:rPr>
                <w:rFonts w:eastAsia="Times New Roman"/>
                <w:sz w:val="16"/>
                <w:szCs w:val="16"/>
                <w:lang w:val="es-MX" w:eastAsia="en-US"/>
              </w:rPr>
              <w:t>Dirección General de Inspección y Evaluación para la Operación</w:t>
            </w:r>
          </w:p>
          <w:p w14:paraId="366F21D8" w14:textId="77777777" w:rsidR="004B00B5" w:rsidRPr="004B00B5" w:rsidRDefault="00162911" w:rsidP="00162911">
            <w:pPr>
              <w:spacing w:before="20" w:after="0"/>
              <w:rPr>
                <w:rFonts w:eastAsia="Times New Roman"/>
                <w:sz w:val="16"/>
                <w:szCs w:val="16"/>
                <w:lang w:val="es-MX" w:eastAsia="en-US"/>
              </w:rPr>
            </w:pPr>
            <w:r w:rsidRPr="00311B6E">
              <w:rPr>
                <w:rFonts w:eastAsia="Times New Roman"/>
                <w:sz w:val="16"/>
                <w:szCs w:val="16"/>
                <w:lang w:val="es-MX" w:eastAsia="en-US"/>
              </w:rPr>
              <w:t>Coordinación Nacional Antisecuestro</w:t>
            </w:r>
          </w:p>
        </w:tc>
      </w:tr>
      <w:tr w:rsidR="004B00B5" w:rsidRPr="0043350C" w14:paraId="79479CE3" w14:textId="77777777" w:rsidTr="006D135B">
        <w:trPr>
          <w:jc w:val="center"/>
        </w:trPr>
        <w:tc>
          <w:tcPr>
            <w:tcW w:w="2778" w:type="dxa"/>
            <w:gridSpan w:val="3"/>
          </w:tcPr>
          <w:p w14:paraId="169C7E95" w14:textId="77777777" w:rsidR="004B00B5" w:rsidRPr="00107872" w:rsidRDefault="004B00B5" w:rsidP="006D135B">
            <w:pPr>
              <w:spacing w:before="20"/>
              <w:rPr>
                <w:b/>
                <w:sz w:val="16"/>
                <w:szCs w:val="16"/>
                <w:lang w:val="es-ES"/>
              </w:rPr>
            </w:pPr>
            <w:r w:rsidRPr="00107872">
              <w:rPr>
                <w:b/>
                <w:sz w:val="16"/>
                <w:szCs w:val="16"/>
                <w:lang w:val="es-ES"/>
              </w:rPr>
              <w:t>Responsable</w:t>
            </w:r>
            <w:r w:rsidR="00162911" w:rsidRPr="00107872">
              <w:rPr>
                <w:rStyle w:val="Refdenotaalpie"/>
                <w:b/>
                <w:sz w:val="16"/>
                <w:szCs w:val="16"/>
                <w:lang w:val="es-ES"/>
              </w:rPr>
              <w:footnoteReference w:id="3"/>
            </w:r>
            <w:r w:rsidR="008C03DD" w:rsidRPr="00107872">
              <w:rPr>
                <w:sz w:val="16"/>
                <w:szCs w:val="16"/>
                <w:vertAlign w:val="superscript"/>
              </w:rPr>
              <w:t>_/</w:t>
            </w:r>
            <w:r w:rsidRPr="00107872">
              <w:rPr>
                <w:b/>
                <w:sz w:val="16"/>
                <w:szCs w:val="16"/>
                <w:lang w:val="es-ES"/>
              </w:rPr>
              <w:t>:</w:t>
            </w:r>
          </w:p>
        </w:tc>
        <w:tc>
          <w:tcPr>
            <w:tcW w:w="7395" w:type="dxa"/>
            <w:gridSpan w:val="2"/>
          </w:tcPr>
          <w:p w14:paraId="0CB0E4D6" w14:textId="77777777" w:rsidR="004B00B5" w:rsidRPr="00162911" w:rsidRDefault="00162911" w:rsidP="00162911">
            <w:pPr>
              <w:spacing w:before="20" w:after="0"/>
              <w:rPr>
                <w:rFonts w:eastAsia="Times New Roman"/>
                <w:sz w:val="16"/>
                <w:szCs w:val="16"/>
                <w:lang w:val="es-MX" w:eastAsia="en-US"/>
              </w:rPr>
            </w:pPr>
            <w:r>
              <w:rPr>
                <w:rFonts w:eastAsia="Times New Roman"/>
                <w:sz w:val="16"/>
                <w:szCs w:val="16"/>
                <w:lang w:val="es-MX" w:eastAsia="en-US"/>
              </w:rPr>
              <w:t>Renato Sales Heredia</w:t>
            </w:r>
          </w:p>
        </w:tc>
      </w:tr>
      <w:tr w:rsidR="004B00B5" w:rsidRPr="0043350C" w14:paraId="2F0D3380" w14:textId="77777777" w:rsidTr="006D135B">
        <w:trPr>
          <w:jc w:val="center"/>
        </w:trPr>
        <w:tc>
          <w:tcPr>
            <w:tcW w:w="2778" w:type="dxa"/>
            <w:gridSpan w:val="3"/>
            <w:shd w:val="clear" w:color="auto" w:fill="D9D9D9" w:themeFill="background1" w:themeFillShade="D9"/>
          </w:tcPr>
          <w:p w14:paraId="4B5AA4AE" w14:textId="77777777" w:rsidR="004B00B5" w:rsidRPr="0043350C" w:rsidRDefault="004B00B5" w:rsidP="006D135B">
            <w:pPr>
              <w:spacing w:before="20"/>
              <w:rPr>
                <w:b/>
                <w:sz w:val="16"/>
                <w:lang w:val="es-ES"/>
              </w:rPr>
            </w:pPr>
            <w:r w:rsidRPr="00FC7306">
              <w:rPr>
                <w:b/>
                <w:sz w:val="16"/>
                <w:lang w:val="es-ES"/>
              </w:rPr>
              <w:t>Tipo de Evaluación</w:t>
            </w:r>
            <w:r>
              <w:rPr>
                <w:b/>
                <w:sz w:val="16"/>
                <w:lang w:val="es-ES"/>
              </w:rPr>
              <w:t>:</w:t>
            </w:r>
          </w:p>
        </w:tc>
        <w:tc>
          <w:tcPr>
            <w:tcW w:w="7395" w:type="dxa"/>
            <w:gridSpan w:val="2"/>
            <w:shd w:val="clear" w:color="auto" w:fill="D9D9D9" w:themeFill="background1" w:themeFillShade="D9"/>
          </w:tcPr>
          <w:p w14:paraId="6F6C768F" w14:textId="77777777" w:rsidR="004B00B5" w:rsidRPr="0043350C" w:rsidRDefault="004B00B5" w:rsidP="006D135B">
            <w:pPr>
              <w:spacing w:before="20"/>
              <w:rPr>
                <w:sz w:val="16"/>
                <w:lang w:val="es-ES"/>
              </w:rPr>
            </w:pPr>
            <w:r>
              <w:rPr>
                <w:sz w:val="16"/>
                <w:lang w:val="es-ES"/>
              </w:rPr>
              <w:t>En materia de Diseño, PAE 2017</w:t>
            </w:r>
          </w:p>
        </w:tc>
      </w:tr>
    </w:tbl>
    <w:p w14:paraId="287D908A" w14:textId="77777777" w:rsidR="00A615D2" w:rsidRPr="00A615D2" w:rsidRDefault="00A615D2" w:rsidP="0061451A">
      <w:pPr>
        <w:pStyle w:val="Cdetextonegrita"/>
        <w:spacing w:line="250" w:lineRule="exact"/>
        <w:rPr>
          <w:b w:val="0"/>
        </w:rPr>
      </w:pPr>
    </w:p>
    <w:p w14:paraId="741ECC35" w14:textId="77777777" w:rsidR="001F09DA" w:rsidRDefault="001F09DA" w:rsidP="0061451A">
      <w:pPr>
        <w:pStyle w:val="Cdetextonegrita"/>
        <w:spacing w:line="250" w:lineRule="exact"/>
      </w:pPr>
      <w:r w:rsidRPr="00FC7306">
        <w:t xml:space="preserve">Descripción del </w:t>
      </w:r>
      <w:proofErr w:type="spellStart"/>
      <w:r w:rsidRPr="00FC7306">
        <w:t>P</w:t>
      </w:r>
      <w:r>
        <w:t>p</w:t>
      </w:r>
      <w:proofErr w:type="spellEnd"/>
    </w:p>
    <w:p w14:paraId="5C8CF16E" w14:textId="77777777" w:rsidR="00F846D5" w:rsidRPr="00F846D5" w:rsidRDefault="00F846D5" w:rsidP="00F846D5">
      <w:pPr>
        <w:pStyle w:val="Cdetextonegrita"/>
        <w:spacing w:line="250" w:lineRule="exact"/>
        <w:rPr>
          <w:b w:val="0"/>
        </w:rPr>
      </w:pPr>
      <w:r w:rsidRPr="00F846D5">
        <w:rPr>
          <w:b w:val="0"/>
        </w:rPr>
        <w:t xml:space="preserve">El </w:t>
      </w:r>
      <w:proofErr w:type="spellStart"/>
      <w:r w:rsidRPr="00F846D5">
        <w:rPr>
          <w:b w:val="0"/>
        </w:rPr>
        <w:t>Pp</w:t>
      </w:r>
      <w:proofErr w:type="spellEnd"/>
      <w:r w:rsidRPr="00F846D5">
        <w:rPr>
          <w:b w:val="0"/>
        </w:rPr>
        <w:t xml:space="preserve"> P021 tiene el objetivo de solucionar la necesidad</w:t>
      </w:r>
      <w:r w:rsidR="00EA7FD9">
        <w:rPr>
          <w:b w:val="0"/>
        </w:rPr>
        <w:t xml:space="preserve"> de</w:t>
      </w:r>
      <w:r w:rsidRPr="00F846D5">
        <w:rPr>
          <w:b w:val="0"/>
        </w:rPr>
        <w:t xml:space="preserve"> “Insuficiencia de políticas públicas articuladas, efectivas y coordinadas con los tres órdenes de gobierno que propicien la transformación de las instituciones de seguridad pública de la Nación</w:t>
      </w:r>
      <w:r w:rsidR="00CB734C">
        <w:rPr>
          <w:b w:val="0"/>
        </w:rPr>
        <w:t xml:space="preserve"> en beneficio de sus habitantes</w:t>
      </w:r>
      <w:r w:rsidRPr="00F846D5">
        <w:rPr>
          <w:b w:val="0"/>
        </w:rPr>
        <w:t>”</w:t>
      </w:r>
      <w:r w:rsidR="00CB734C">
        <w:rPr>
          <w:b w:val="0"/>
        </w:rPr>
        <w:t>.</w:t>
      </w:r>
    </w:p>
    <w:p w14:paraId="2617039F" w14:textId="77777777" w:rsidR="00F846D5" w:rsidRPr="00F846D5" w:rsidRDefault="00F846D5" w:rsidP="00F846D5">
      <w:pPr>
        <w:pStyle w:val="Cdetextonegrita"/>
        <w:spacing w:line="250" w:lineRule="exact"/>
        <w:rPr>
          <w:b w:val="0"/>
        </w:rPr>
      </w:pPr>
      <w:r w:rsidRPr="00F846D5">
        <w:rPr>
          <w:b w:val="0"/>
        </w:rPr>
        <w:t xml:space="preserve">El objetivo a nivel fin del </w:t>
      </w:r>
      <w:proofErr w:type="spellStart"/>
      <w:r w:rsidRPr="00F846D5">
        <w:rPr>
          <w:b w:val="0"/>
        </w:rPr>
        <w:t>Pp</w:t>
      </w:r>
      <w:proofErr w:type="spellEnd"/>
      <w:r w:rsidRPr="00F846D5">
        <w:rPr>
          <w:b w:val="0"/>
        </w:rPr>
        <w:t xml:space="preserve"> está definido como “Contribuir a mejorar las condiciones de seguridad y justicia, mediante la coordinación y colaboración con las instancias externas e internas al Comisionado Nacional de Seguridad (CNS) y la Secretaría de Gobernación </w:t>
      </w:r>
      <w:r w:rsidR="00CB734C">
        <w:rPr>
          <w:b w:val="0"/>
        </w:rPr>
        <w:t xml:space="preserve">[SEGOB] </w:t>
      </w:r>
      <w:r w:rsidRPr="00F846D5">
        <w:rPr>
          <w:b w:val="0"/>
        </w:rPr>
        <w:t>para apoyar el fortalecimiento de las instituciones de seguridad pública”</w:t>
      </w:r>
      <w:r w:rsidR="00CB734C">
        <w:rPr>
          <w:b w:val="0"/>
        </w:rPr>
        <w:t>.</w:t>
      </w:r>
    </w:p>
    <w:p w14:paraId="5BF2AB80" w14:textId="77777777" w:rsidR="00F846D5" w:rsidRPr="00F846D5" w:rsidRDefault="00F846D5" w:rsidP="00F846D5">
      <w:pPr>
        <w:pStyle w:val="Cdetextonegrita"/>
        <w:spacing w:line="250" w:lineRule="exact"/>
        <w:rPr>
          <w:b w:val="0"/>
        </w:rPr>
      </w:pPr>
      <w:r w:rsidRPr="00F846D5">
        <w:rPr>
          <w:b w:val="0"/>
        </w:rPr>
        <w:t xml:space="preserve">El propósito del </w:t>
      </w:r>
      <w:proofErr w:type="spellStart"/>
      <w:r w:rsidRPr="00F846D5">
        <w:rPr>
          <w:b w:val="0"/>
        </w:rPr>
        <w:t>Pp</w:t>
      </w:r>
      <w:proofErr w:type="spellEnd"/>
      <w:r w:rsidRPr="00F846D5">
        <w:rPr>
          <w:b w:val="0"/>
        </w:rPr>
        <w:t xml:space="preserve"> está identificado como “Las instituciones de seguridad pública reciben apoyo de la Unidad de Desarrollo e Integración Institucional con programas y proyectos en materia de seguridad pública”.</w:t>
      </w:r>
    </w:p>
    <w:p w14:paraId="07AA24F2" w14:textId="77777777" w:rsidR="00F846D5" w:rsidRPr="00F846D5" w:rsidRDefault="00CB734C" w:rsidP="00F846D5">
      <w:pPr>
        <w:pStyle w:val="Cdetextonegrita"/>
        <w:spacing w:line="250" w:lineRule="exact"/>
        <w:rPr>
          <w:b w:val="0"/>
        </w:rPr>
      </w:pPr>
      <w:r>
        <w:rPr>
          <w:b w:val="0"/>
        </w:rPr>
        <w:t>La</w:t>
      </w:r>
      <w:r w:rsidR="00FD1685">
        <w:rPr>
          <w:b w:val="0"/>
        </w:rPr>
        <w:t>s</w:t>
      </w:r>
      <w:r>
        <w:rPr>
          <w:b w:val="0"/>
        </w:rPr>
        <w:t xml:space="preserve"> definici</w:t>
      </w:r>
      <w:r w:rsidR="00FD1685">
        <w:rPr>
          <w:b w:val="0"/>
        </w:rPr>
        <w:t>o</w:t>
      </w:r>
      <w:r>
        <w:rPr>
          <w:b w:val="0"/>
        </w:rPr>
        <w:t>n</w:t>
      </w:r>
      <w:r w:rsidR="00FD1685">
        <w:rPr>
          <w:b w:val="0"/>
        </w:rPr>
        <w:t>es</w:t>
      </w:r>
      <w:r>
        <w:rPr>
          <w:b w:val="0"/>
        </w:rPr>
        <w:t xml:space="preserve"> del</w:t>
      </w:r>
      <w:r w:rsidR="00F846D5" w:rsidRPr="00F846D5">
        <w:rPr>
          <w:b w:val="0"/>
        </w:rPr>
        <w:t xml:space="preserve"> </w:t>
      </w:r>
      <w:proofErr w:type="spellStart"/>
      <w:r w:rsidR="00F846D5" w:rsidRPr="00F846D5">
        <w:rPr>
          <w:b w:val="0"/>
        </w:rPr>
        <w:t>AEPo</w:t>
      </w:r>
      <w:proofErr w:type="spellEnd"/>
      <w:r w:rsidR="00F846D5" w:rsidRPr="00F846D5">
        <w:rPr>
          <w:b w:val="0"/>
        </w:rPr>
        <w:t xml:space="preserve"> y </w:t>
      </w:r>
      <w:r>
        <w:rPr>
          <w:b w:val="0"/>
        </w:rPr>
        <w:t>del AEO no están plasmada</w:t>
      </w:r>
      <w:r w:rsidR="00F846D5" w:rsidRPr="00F846D5">
        <w:rPr>
          <w:b w:val="0"/>
        </w:rPr>
        <w:t xml:space="preserve">s explícitamente como tal, pero se entiende que son las instituciones de </w:t>
      </w:r>
      <w:r w:rsidR="00FD1685">
        <w:rPr>
          <w:b w:val="0"/>
        </w:rPr>
        <w:t>seguridad pública de la Nación.</w:t>
      </w:r>
    </w:p>
    <w:p w14:paraId="25580A6B" w14:textId="77777777" w:rsidR="00162911" w:rsidRDefault="00F846D5" w:rsidP="00F846D5">
      <w:pPr>
        <w:pStyle w:val="Cdetextonegrita"/>
        <w:spacing w:line="250" w:lineRule="exact"/>
        <w:rPr>
          <w:b w:val="0"/>
        </w:rPr>
      </w:pPr>
      <w:r w:rsidRPr="00F846D5">
        <w:rPr>
          <w:b w:val="0"/>
        </w:rPr>
        <w:t xml:space="preserve">El </w:t>
      </w:r>
      <w:proofErr w:type="spellStart"/>
      <w:r w:rsidRPr="00F846D5">
        <w:rPr>
          <w:b w:val="0"/>
        </w:rPr>
        <w:t>Pp</w:t>
      </w:r>
      <w:proofErr w:type="spellEnd"/>
      <w:r w:rsidRPr="00F846D5">
        <w:rPr>
          <w:b w:val="0"/>
        </w:rPr>
        <w:t xml:space="preserve"> está alineado a la Meta Nacional I. México en Paz del PND, al PSG mediante el Objetivo 2. Mejorar las condiciones de seguridad y justicia</w:t>
      </w:r>
      <w:r w:rsidR="00DD14E4">
        <w:rPr>
          <w:b w:val="0"/>
        </w:rPr>
        <w:t>,</w:t>
      </w:r>
      <w:r w:rsidRPr="00F846D5">
        <w:rPr>
          <w:b w:val="0"/>
        </w:rPr>
        <w:t xml:space="preserve"> y </w:t>
      </w:r>
      <w:r w:rsidR="00DD14E4">
        <w:rPr>
          <w:b w:val="0"/>
        </w:rPr>
        <w:t xml:space="preserve">se alinea </w:t>
      </w:r>
      <w:r w:rsidRPr="00F846D5">
        <w:rPr>
          <w:b w:val="0"/>
        </w:rPr>
        <w:t>al PNSP</w:t>
      </w:r>
      <w:r w:rsidR="00FD1685">
        <w:rPr>
          <w:b w:val="0"/>
        </w:rPr>
        <w:t xml:space="preserve"> </w:t>
      </w:r>
      <w:r w:rsidR="00DD14E4">
        <w:rPr>
          <w:b w:val="0"/>
        </w:rPr>
        <w:t>a través de</w:t>
      </w:r>
      <w:r w:rsidR="00FD1685">
        <w:rPr>
          <w:b w:val="0"/>
        </w:rPr>
        <w:t xml:space="preserve"> los o</w:t>
      </w:r>
      <w:r w:rsidRPr="00F846D5">
        <w:rPr>
          <w:b w:val="0"/>
        </w:rPr>
        <w:t xml:space="preserve">bjetivos 1. </w:t>
      </w:r>
      <w:r w:rsidRPr="00F846D5">
        <w:rPr>
          <w:b w:val="0"/>
        </w:rPr>
        <w:lastRenderedPageBreak/>
        <w:t>Consolidar una coordinación efectiva para el diseño, implementación y evaluación de la política de seguridad pública</w:t>
      </w:r>
      <w:r w:rsidR="00053B45">
        <w:rPr>
          <w:b w:val="0"/>
        </w:rPr>
        <w:t>,</w:t>
      </w:r>
      <w:r w:rsidRPr="00F846D5">
        <w:rPr>
          <w:b w:val="0"/>
        </w:rPr>
        <w:t xml:space="preserve"> y 5. Fortalecer las capacidades de las instituciones policiales.</w:t>
      </w:r>
    </w:p>
    <w:p w14:paraId="3D946EAF" w14:textId="77777777" w:rsidR="001F09DA" w:rsidRPr="00FC7306" w:rsidRDefault="001F09DA" w:rsidP="00162911">
      <w:pPr>
        <w:pStyle w:val="Cdetextonegrita"/>
        <w:spacing w:line="250" w:lineRule="exact"/>
      </w:pPr>
      <w:r w:rsidRPr="00FC7306">
        <w:t>Principales Hallazgos</w:t>
      </w:r>
    </w:p>
    <w:p w14:paraId="0266F1D1" w14:textId="77777777" w:rsidR="002F2915" w:rsidRDefault="002F2915" w:rsidP="002F2915">
      <w:pPr>
        <w:pStyle w:val="Cdetexto"/>
        <w:rPr>
          <w:i/>
        </w:rPr>
      </w:pPr>
      <w:r w:rsidRPr="003E79AF">
        <w:rPr>
          <w:i/>
        </w:rPr>
        <w:t>Diseño</w:t>
      </w:r>
      <w:r w:rsidR="00F846D5">
        <w:rPr>
          <w:i/>
        </w:rPr>
        <w:t>:</w:t>
      </w:r>
    </w:p>
    <w:p w14:paraId="425781EB" w14:textId="77777777" w:rsidR="00F846D5" w:rsidRDefault="00F846D5" w:rsidP="00F846D5">
      <w:pPr>
        <w:pStyle w:val="Cdetexto"/>
        <w:rPr>
          <w:lang w:eastAsia="es-MX"/>
        </w:rPr>
      </w:pPr>
      <w:r>
        <w:rPr>
          <w:lang w:eastAsia="es-MX"/>
        </w:rPr>
        <w:t xml:space="preserve">El problema </w:t>
      </w:r>
      <w:r w:rsidRPr="00BC2419">
        <w:rPr>
          <w:lang w:eastAsia="es-MX"/>
        </w:rPr>
        <w:t xml:space="preserve">no está redactado de conformidad con la </w:t>
      </w:r>
      <w:r w:rsidR="007773BD">
        <w:rPr>
          <w:lang w:eastAsia="es-MX"/>
        </w:rPr>
        <w:t>Metodología de Marco Lógico (</w:t>
      </w:r>
      <w:r w:rsidRPr="00BC2419">
        <w:rPr>
          <w:lang w:eastAsia="es-MX"/>
        </w:rPr>
        <w:t>MML</w:t>
      </w:r>
      <w:r w:rsidR="007773BD">
        <w:rPr>
          <w:lang w:eastAsia="es-MX"/>
        </w:rPr>
        <w:t>),</w:t>
      </w:r>
      <w:r>
        <w:rPr>
          <w:lang w:eastAsia="es-MX"/>
        </w:rPr>
        <w:t xml:space="preserve"> al no establecer explícitamente cuál es su </w:t>
      </w:r>
      <w:proofErr w:type="spellStart"/>
      <w:r>
        <w:rPr>
          <w:lang w:eastAsia="es-MX"/>
        </w:rPr>
        <w:t>AEPo</w:t>
      </w:r>
      <w:proofErr w:type="spellEnd"/>
      <w:r>
        <w:rPr>
          <w:lang w:eastAsia="es-MX"/>
        </w:rPr>
        <w:t xml:space="preserve"> o AEO. Por otra parte, la redacción actual mezcla </w:t>
      </w:r>
      <w:r>
        <w:rPr>
          <w:szCs w:val="22"/>
        </w:rPr>
        <w:t>dos problemas en el planteamiento</w:t>
      </w:r>
      <w:r w:rsidR="003A1343">
        <w:rPr>
          <w:szCs w:val="22"/>
        </w:rPr>
        <w:t>:</w:t>
      </w:r>
      <w:r>
        <w:rPr>
          <w:szCs w:val="22"/>
        </w:rPr>
        <w:t xml:space="preserve"> el que</w:t>
      </w:r>
      <w:r w:rsidR="003A1343">
        <w:rPr>
          <w:szCs w:val="22"/>
        </w:rPr>
        <w:t xml:space="preserve"> se indique que</w:t>
      </w:r>
      <w:r>
        <w:rPr>
          <w:szCs w:val="22"/>
        </w:rPr>
        <w:t xml:space="preserve"> no hay suficientes políticas públicas con ciertas características y el que </w:t>
      </w:r>
      <w:r w:rsidR="003A1343">
        <w:rPr>
          <w:szCs w:val="22"/>
        </w:rPr>
        <w:t xml:space="preserve">se afirme que </w:t>
      </w:r>
      <w:r>
        <w:rPr>
          <w:szCs w:val="22"/>
        </w:rPr>
        <w:t>las instituciones requieren transformarse en beneficio de su población.</w:t>
      </w:r>
    </w:p>
    <w:p w14:paraId="321FE78C" w14:textId="77777777" w:rsidR="00F846D5" w:rsidRDefault="00F846D5" w:rsidP="00F846D5">
      <w:pPr>
        <w:pStyle w:val="Cdetexto"/>
        <w:rPr>
          <w:szCs w:val="22"/>
        </w:rPr>
      </w:pPr>
      <w:r>
        <w:rPr>
          <w:lang w:eastAsia="es-MX"/>
        </w:rPr>
        <w:t xml:space="preserve">El </w:t>
      </w:r>
      <w:proofErr w:type="spellStart"/>
      <w:r w:rsidR="007773BD">
        <w:rPr>
          <w:lang w:eastAsia="es-MX"/>
        </w:rPr>
        <w:t>Pp</w:t>
      </w:r>
      <w:proofErr w:type="spellEnd"/>
      <w:r w:rsidR="007773BD">
        <w:rPr>
          <w:lang w:eastAsia="es-MX"/>
        </w:rPr>
        <w:t xml:space="preserve"> carece de un d</w:t>
      </w:r>
      <w:r>
        <w:rPr>
          <w:lang w:eastAsia="es-MX"/>
        </w:rPr>
        <w:t>iagnóstico</w:t>
      </w:r>
      <w:r w:rsidR="007773BD">
        <w:rPr>
          <w:lang w:eastAsia="es-MX"/>
        </w:rPr>
        <w:t xml:space="preserve"> específico donde se expliciten</w:t>
      </w:r>
      <w:r>
        <w:rPr>
          <w:lang w:eastAsia="es-MX"/>
        </w:rPr>
        <w:t xml:space="preserve"> las </w:t>
      </w:r>
      <w:r>
        <w:rPr>
          <w:szCs w:val="22"/>
        </w:rPr>
        <w:t>características de la necesidad detectada y</w:t>
      </w:r>
      <w:r w:rsidR="00402EB9">
        <w:rPr>
          <w:szCs w:val="22"/>
        </w:rPr>
        <w:t>,</w:t>
      </w:r>
      <w:r>
        <w:rPr>
          <w:szCs w:val="22"/>
        </w:rPr>
        <w:t xml:space="preserve"> por tanto</w:t>
      </w:r>
      <w:r w:rsidR="00402EB9">
        <w:rPr>
          <w:szCs w:val="22"/>
        </w:rPr>
        <w:t>,</w:t>
      </w:r>
      <w:r>
        <w:rPr>
          <w:szCs w:val="22"/>
        </w:rPr>
        <w:t xml:space="preserve"> no se cuenta con evidencia nacional o internacional que justifique los componentes planteados</w:t>
      </w:r>
      <w:r w:rsidR="008D44E0">
        <w:rPr>
          <w:szCs w:val="22"/>
        </w:rPr>
        <w:t xml:space="preserve"> del Pp</w:t>
      </w:r>
      <w:r>
        <w:rPr>
          <w:szCs w:val="22"/>
        </w:rPr>
        <w:t>.</w:t>
      </w:r>
    </w:p>
    <w:p w14:paraId="0D02A1CE" w14:textId="77777777" w:rsidR="002F2915" w:rsidRDefault="002F2915" w:rsidP="002F2915">
      <w:pPr>
        <w:pStyle w:val="Cdetexto"/>
        <w:rPr>
          <w:i/>
        </w:rPr>
      </w:pPr>
      <w:r w:rsidRPr="005F6173">
        <w:rPr>
          <w:i/>
        </w:rPr>
        <w:t>Contribución a las</w:t>
      </w:r>
      <w:r>
        <w:rPr>
          <w:i/>
        </w:rPr>
        <w:t xml:space="preserve"> metas y estrategias nacionales</w:t>
      </w:r>
      <w:r w:rsidR="00F846D5">
        <w:rPr>
          <w:i/>
        </w:rPr>
        <w:t>:</w:t>
      </w:r>
    </w:p>
    <w:p w14:paraId="39061B4D" w14:textId="77777777" w:rsidR="00F846D5" w:rsidRPr="00420631" w:rsidRDefault="00F846D5" w:rsidP="00F846D5">
      <w:pPr>
        <w:pStyle w:val="Cdetexto"/>
      </w:pPr>
      <w:r>
        <w:t>No hay relación causal entre los objetivos a nivel propósito y fin de la MIR, por lo que carece de lógica vertical y</w:t>
      </w:r>
      <w:r w:rsidR="00402EB9">
        <w:t>,</w:t>
      </w:r>
      <w:r>
        <w:t xml:space="preserve"> por tanto</w:t>
      </w:r>
      <w:r w:rsidR="00402EB9">
        <w:t>,</w:t>
      </w:r>
      <w:r>
        <w:t xml:space="preserve"> el </w:t>
      </w:r>
      <w:proofErr w:type="spellStart"/>
      <w:r>
        <w:t>Pp</w:t>
      </w:r>
      <w:proofErr w:type="spellEnd"/>
      <w:r>
        <w:t xml:space="preserve"> no estaría contribuyendo a la consecución de la Meta Nacional, ni del objetivo del PSG ni de los del PNSP.</w:t>
      </w:r>
    </w:p>
    <w:p w14:paraId="3A522D0B" w14:textId="77777777" w:rsidR="002F2915" w:rsidRDefault="002F2915" w:rsidP="002F2915">
      <w:pPr>
        <w:spacing w:line="250" w:lineRule="exact"/>
        <w:jc w:val="both"/>
        <w:rPr>
          <w:i/>
          <w:lang w:val="es-ES"/>
        </w:rPr>
      </w:pPr>
      <w:proofErr w:type="spellStart"/>
      <w:r w:rsidRPr="00B06379">
        <w:rPr>
          <w:i/>
          <w:lang w:val="es-ES"/>
        </w:rPr>
        <w:t>PPo</w:t>
      </w:r>
      <w:proofErr w:type="spellEnd"/>
      <w:r w:rsidRPr="00B06379">
        <w:rPr>
          <w:i/>
          <w:lang w:val="es-ES"/>
        </w:rPr>
        <w:t>, PO</w:t>
      </w:r>
      <w:r>
        <w:rPr>
          <w:i/>
          <w:lang w:val="es-ES"/>
        </w:rPr>
        <w:t xml:space="preserve"> y mecanismos de elegibilidad</w:t>
      </w:r>
      <w:r w:rsidR="00F846D5">
        <w:rPr>
          <w:i/>
          <w:lang w:val="es-ES"/>
        </w:rPr>
        <w:t>:</w:t>
      </w:r>
    </w:p>
    <w:p w14:paraId="7D96D130" w14:textId="77777777" w:rsidR="00F846D5" w:rsidRDefault="00F846D5" w:rsidP="00F846D5">
      <w:pPr>
        <w:spacing w:line="250" w:lineRule="exact"/>
        <w:jc w:val="both"/>
        <w:rPr>
          <w:szCs w:val="22"/>
        </w:rPr>
      </w:pPr>
      <w:r>
        <w:rPr>
          <w:lang w:val="es-ES"/>
        </w:rPr>
        <w:t xml:space="preserve">El </w:t>
      </w:r>
      <w:proofErr w:type="spellStart"/>
      <w:r>
        <w:rPr>
          <w:lang w:val="es-ES"/>
        </w:rPr>
        <w:t>AEPo</w:t>
      </w:r>
      <w:proofErr w:type="spellEnd"/>
      <w:r>
        <w:rPr>
          <w:lang w:val="es-ES"/>
        </w:rPr>
        <w:t xml:space="preserve"> y el AEO no están definid</w:t>
      </w:r>
      <w:r w:rsidR="000E49AF">
        <w:rPr>
          <w:lang w:val="es-ES"/>
        </w:rPr>
        <w:t>a</w:t>
      </w:r>
      <w:r>
        <w:rPr>
          <w:lang w:val="es-ES"/>
        </w:rPr>
        <w:t xml:space="preserve">s de manera oficial, pero se asume que </w:t>
      </w:r>
      <w:r>
        <w:t xml:space="preserve">son </w:t>
      </w:r>
      <w:r w:rsidRPr="00BC74E7">
        <w:rPr>
          <w:lang w:eastAsia="es-MX"/>
        </w:rPr>
        <w:t>las instituciones de seguridad pública de la Nación</w:t>
      </w:r>
      <w:r>
        <w:rPr>
          <w:lang w:eastAsia="es-MX"/>
        </w:rPr>
        <w:t xml:space="preserve">. Es necesario plasmar </w:t>
      </w:r>
      <w:r>
        <w:rPr>
          <w:szCs w:val="22"/>
        </w:rPr>
        <w:t>las definiciones, caracterización, cuantificación (incluyendo metodología y fuentes de información) y ubicación geográfica de las mismas.</w:t>
      </w:r>
    </w:p>
    <w:p w14:paraId="1DE4289C" w14:textId="77777777" w:rsidR="00F846D5" w:rsidRPr="00D924A0" w:rsidRDefault="00F846D5" w:rsidP="00F846D5">
      <w:pPr>
        <w:spacing w:line="250" w:lineRule="exact"/>
        <w:jc w:val="both"/>
        <w:rPr>
          <w:szCs w:val="22"/>
        </w:rPr>
      </w:pPr>
      <w:r>
        <w:rPr>
          <w:szCs w:val="22"/>
        </w:rPr>
        <w:t xml:space="preserve">Por otra parte, no hay información que permita conocer qué instancias, actores o beneficiarios reciben los componentes del </w:t>
      </w:r>
      <w:proofErr w:type="spellStart"/>
      <w:r>
        <w:rPr>
          <w:iCs/>
          <w:szCs w:val="22"/>
        </w:rPr>
        <w:t>Pp</w:t>
      </w:r>
      <w:proofErr w:type="spellEnd"/>
      <w:r>
        <w:rPr>
          <w:iCs/>
          <w:szCs w:val="22"/>
        </w:rPr>
        <w:t xml:space="preserve"> y tampoco existe una estrategia de cobertura.</w:t>
      </w:r>
    </w:p>
    <w:p w14:paraId="54F69A0C" w14:textId="77777777" w:rsidR="002F2915" w:rsidRPr="00C0515C" w:rsidRDefault="002F2915" w:rsidP="002F2915">
      <w:pPr>
        <w:spacing w:line="250" w:lineRule="exact"/>
        <w:jc w:val="both"/>
        <w:rPr>
          <w:i/>
          <w:iCs/>
          <w:szCs w:val="22"/>
        </w:rPr>
      </w:pPr>
      <w:r>
        <w:rPr>
          <w:i/>
          <w:iCs/>
          <w:szCs w:val="22"/>
        </w:rPr>
        <w:t>MIR</w:t>
      </w:r>
      <w:r w:rsidR="00F846D5">
        <w:rPr>
          <w:i/>
          <w:iCs/>
          <w:szCs w:val="22"/>
        </w:rPr>
        <w:t>:</w:t>
      </w:r>
    </w:p>
    <w:p w14:paraId="1380B31A" w14:textId="77777777" w:rsidR="00F846D5" w:rsidRDefault="00F846D5" w:rsidP="00F846D5">
      <w:pPr>
        <w:spacing w:line="250" w:lineRule="exact"/>
        <w:jc w:val="both"/>
        <w:rPr>
          <w:rFonts w:eastAsia="Times New Roman" w:cs="Arial"/>
          <w:szCs w:val="22"/>
          <w:lang w:val="es-ES"/>
        </w:rPr>
      </w:pPr>
      <w:r>
        <w:rPr>
          <w:rFonts w:eastAsia="Times New Roman" w:cs="Arial"/>
          <w:szCs w:val="22"/>
          <w:lang w:val="es-ES"/>
        </w:rPr>
        <w:t>La redacción de</w:t>
      </w:r>
      <w:r w:rsidR="006F4A52">
        <w:rPr>
          <w:rFonts w:eastAsia="Times New Roman" w:cs="Arial"/>
          <w:szCs w:val="22"/>
          <w:lang w:val="es-ES"/>
        </w:rPr>
        <w:t xml:space="preserve"> </w:t>
      </w:r>
      <w:r>
        <w:rPr>
          <w:rFonts w:eastAsia="Times New Roman" w:cs="Arial"/>
          <w:szCs w:val="22"/>
          <w:lang w:val="es-ES"/>
        </w:rPr>
        <w:t xml:space="preserve">los objetivos </w:t>
      </w:r>
      <w:r w:rsidR="002D2256">
        <w:rPr>
          <w:rFonts w:eastAsia="Times New Roman" w:cs="Arial"/>
          <w:szCs w:val="22"/>
          <w:lang w:val="es-ES"/>
        </w:rPr>
        <w:t>en</w:t>
      </w:r>
      <w:r>
        <w:rPr>
          <w:rFonts w:eastAsia="Times New Roman" w:cs="Arial"/>
          <w:szCs w:val="22"/>
          <w:lang w:val="es-ES"/>
        </w:rPr>
        <w:t xml:space="preserve"> los diferentes niveles de la MIR debe revisarse, cuidando que se guarde la lógica vertical y que</w:t>
      </w:r>
      <w:r w:rsidR="006F4A52">
        <w:rPr>
          <w:rFonts w:eastAsia="Times New Roman" w:cs="Arial"/>
          <w:szCs w:val="22"/>
          <w:lang w:val="es-ES"/>
        </w:rPr>
        <w:t xml:space="preserve"> </w:t>
      </w:r>
      <w:r>
        <w:rPr>
          <w:rFonts w:eastAsia="Times New Roman" w:cs="Arial"/>
          <w:szCs w:val="22"/>
          <w:lang w:val="es-ES"/>
        </w:rPr>
        <w:t>cada elemento contribuya al logro de los objetivos superiores. A nivel propósito</w:t>
      </w:r>
      <w:r w:rsidR="00BF6EA4">
        <w:rPr>
          <w:rFonts w:eastAsia="Times New Roman" w:cs="Arial"/>
          <w:szCs w:val="22"/>
          <w:lang w:val="es-ES"/>
        </w:rPr>
        <w:t>,</w:t>
      </w:r>
      <w:r>
        <w:rPr>
          <w:rFonts w:eastAsia="Times New Roman" w:cs="Arial"/>
          <w:szCs w:val="22"/>
          <w:lang w:val="es-ES"/>
        </w:rPr>
        <w:t xml:space="preserve"> se debe considerar lo plasmado en los árboles del problema y de objetivos.</w:t>
      </w:r>
    </w:p>
    <w:p w14:paraId="4B639FC5" w14:textId="77777777" w:rsidR="00F846D5" w:rsidRDefault="00F846D5" w:rsidP="00F846D5">
      <w:pPr>
        <w:pStyle w:val="Cdetexto"/>
      </w:pPr>
      <w:r>
        <w:t>Asimismo, no se detecta</w:t>
      </w:r>
      <w:r w:rsidRPr="000C4760">
        <w:t xml:space="preserve"> una relación causal entre el objetivo a nivel </w:t>
      </w:r>
      <w:r>
        <w:t>p</w:t>
      </w:r>
      <w:r w:rsidRPr="000C4760">
        <w:t xml:space="preserve">ropósito y a nivel </w:t>
      </w:r>
      <w:r>
        <w:t>f</w:t>
      </w:r>
      <w:r w:rsidRPr="000C4760">
        <w:t>in.</w:t>
      </w:r>
    </w:p>
    <w:p w14:paraId="47F532AA" w14:textId="77777777" w:rsidR="00F846D5" w:rsidRDefault="00F846D5" w:rsidP="00F846D5">
      <w:pPr>
        <w:pStyle w:val="Cdetexto"/>
      </w:pPr>
      <w:r>
        <w:t xml:space="preserve">Se deben replantear los indicadores </w:t>
      </w:r>
      <w:r w:rsidR="002D2256">
        <w:t>establecidos</w:t>
      </w:r>
      <w:r w:rsidR="006F4A52">
        <w:t xml:space="preserve"> </w:t>
      </w:r>
      <w:r w:rsidR="002D2256">
        <w:t>en</w:t>
      </w:r>
      <w:r>
        <w:t xml:space="preserve"> todos los niveles, para que den cuenta del logro de los objetivos, utilizando elementos cuantificables que no se presten </w:t>
      </w:r>
      <w:r w:rsidR="002375D8">
        <w:t xml:space="preserve">a ambigüedades </w:t>
      </w:r>
      <w:r>
        <w:t>o a diferentes interpretaciones.</w:t>
      </w:r>
    </w:p>
    <w:p w14:paraId="24A58564" w14:textId="77777777" w:rsidR="002F2915" w:rsidRDefault="002F2915" w:rsidP="002F2915">
      <w:pPr>
        <w:spacing w:line="250" w:lineRule="exact"/>
        <w:jc w:val="both"/>
        <w:rPr>
          <w:i/>
          <w:lang w:val="es-ES"/>
        </w:rPr>
      </w:pPr>
      <w:r w:rsidRPr="000E50B6">
        <w:rPr>
          <w:i/>
          <w:lang w:val="es-ES"/>
        </w:rPr>
        <w:t>Complementariedad</w:t>
      </w:r>
      <w:r>
        <w:rPr>
          <w:i/>
          <w:lang w:val="es-ES"/>
        </w:rPr>
        <w:t xml:space="preserve">es y coincidencias con otros </w:t>
      </w:r>
      <w:proofErr w:type="spellStart"/>
      <w:r>
        <w:rPr>
          <w:i/>
          <w:lang w:val="es-ES"/>
        </w:rPr>
        <w:t>Pp</w:t>
      </w:r>
      <w:proofErr w:type="spellEnd"/>
      <w:r w:rsidR="00F846D5">
        <w:rPr>
          <w:i/>
          <w:lang w:val="es-ES"/>
        </w:rPr>
        <w:t>:</w:t>
      </w:r>
    </w:p>
    <w:p w14:paraId="7CFB1ACD" w14:textId="77777777" w:rsidR="00F846D5" w:rsidRDefault="00F846D5" w:rsidP="00F846D5">
      <w:pPr>
        <w:spacing w:line="250" w:lineRule="exact"/>
        <w:jc w:val="both"/>
        <w:rPr>
          <w:i/>
          <w:iCs/>
          <w:szCs w:val="22"/>
        </w:rPr>
      </w:pPr>
      <w:r>
        <w:rPr>
          <w:szCs w:val="22"/>
          <w:lang w:val="es-ES"/>
        </w:rPr>
        <w:t>E</w:t>
      </w:r>
      <w:r w:rsidR="002375D8">
        <w:rPr>
          <w:szCs w:val="22"/>
          <w:lang w:val="es-ES"/>
        </w:rPr>
        <w:t xml:space="preserve">l </w:t>
      </w:r>
      <w:proofErr w:type="spellStart"/>
      <w:r w:rsidR="002375D8">
        <w:rPr>
          <w:szCs w:val="22"/>
          <w:lang w:val="es-ES"/>
        </w:rPr>
        <w:t>Pp</w:t>
      </w:r>
      <w:proofErr w:type="spellEnd"/>
      <w:r w:rsidR="002375D8">
        <w:rPr>
          <w:szCs w:val="22"/>
          <w:lang w:val="es-ES"/>
        </w:rPr>
        <w:t xml:space="preserve"> e</w:t>
      </w:r>
      <w:r>
        <w:rPr>
          <w:szCs w:val="22"/>
        </w:rPr>
        <w:t xml:space="preserve">s complementario con el </w:t>
      </w:r>
      <w:proofErr w:type="spellStart"/>
      <w:r>
        <w:rPr>
          <w:szCs w:val="22"/>
        </w:rPr>
        <w:t>Pp</w:t>
      </w:r>
      <w:proofErr w:type="spellEnd"/>
      <w:r>
        <w:rPr>
          <w:szCs w:val="22"/>
        </w:rPr>
        <w:t xml:space="preserve"> P014 </w:t>
      </w:r>
      <w:r w:rsidRPr="0002091B">
        <w:rPr>
          <w:szCs w:val="22"/>
        </w:rPr>
        <w:t>Coordinación con las instancias que integran el Sistema Nacional de Seguridad Pública</w:t>
      </w:r>
      <w:r>
        <w:rPr>
          <w:szCs w:val="22"/>
        </w:rPr>
        <w:t xml:space="preserve">, en virtud de que ambos programas buscan fortalecer a las instituciones de seguridad pública; este </w:t>
      </w:r>
      <w:proofErr w:type="spellStart"/>
      <w:r>
        <w:rPr>
          <w:szCs w:val="22"/>
        </w:rPr>
        <w:t>Pp</w:t>
      </w:r>
      <w:proofErr w:type="spellEnd"/>
      <w:r>
        <w:rPr>
          <w:szCs w:val="22"/>
        </w:rPr>
        <w:t xml:space="preserve"> puede implementar directamente los mecanismos y herramientas elaboradas por el </w:t>
      </w:r>
      <w:proofErr w:type="spellStart"/>
      <w:r w:rsidRPr="00FF17B7">
        <w:rPr>
          <w:iCs/>
          <w:szCs w:val="22"/>
        </w:rPr>
        <w:t>Pp</w:t>
      </w:r>
      <w:proofErr w:type="spellEnd"/>
      <w:r>
        <w:rPr>
          <w:iCs/>
          <w:szCs w:val="22"/>
        </w:rPr>
        <w:t xml:space="preserve"> P</w:t>
      </w:r>
      <w:r w:rsidRPr="00FF17B7">
        <w:rPr>
          <w:iCs/>
          <w:szCs w:val="22"/>
        </w:rPr>
        <w:t>021.</w:t>
      </w:r>
    </w:p>
    <w:p w14:paraId="484023A2" w14:textId="77777777" w:rsidR="00F846D5" w:rsidRPr="00CA5E8B" w:rsidRDefault="00F846D5" w:rsidP="00F846D5">
      <w:pPr>
        <w:spacing w:line="250" w:lineRule="exact"/>
        <w:jc w:val="both"/>
        <w:rPr>
          <w:lang w:val="es-ES"/>
        </w:rPr>
      </w:pPr>
      <w:r>
        <w:rPr>
          <w:szCs w:val="22"/>
        </w:rPr>
        <w:t xml:space="preserve">También es complementario con el </w:t>
      </w:r>
      <w:proofErr w:type="spellStart"/>
      <w:r>
        <w:rPr>
          <w:szCs w:val="22"/>
        </w:rPr>
        <w:t>Pp</w:t>
      </w:r>
      <w:proofErr w:type="spellEnd"/>
      <w:r>
        <w:rPr>
          <w:szCs w:val="22"/>
        </w:rPr>
        <w:t xml:space="preserve"> E904 </w:t>
      </w:r>
      <w:r w:rsidRPr="0002091B">
        <w:rPr>
          <w:szCs w:val="22"/>
        </w:rPr>
        <w:t>Administración del Sistema Federal Penitenciario</w:t>
      </w:r>
      <w:r>
        <w:rPr>
          <w:szCs w:val="22"/>
        </w:rPr>
        <w:t xml:space="preserve">, que es receptor de los mecanismos y herramientas diseñadas por el </w:t>
      </w:r>
      <w:proofErr w:type="spellStart"/>
      <w:r w:rsidRPr="00FF17B7">
        <w:rPr>
          <w:iCs/>
          <w:szCs w:val="22"/>
        </w:rPr>
        <w:t>Pp</w:t>
      </w:r>
      <w:proofErr w:type="spellEnd"/>
      <w:r>
        <w:rPr>
          <w:iCs/>
          <w:szCs w:val="22"/>
        </w:rPr>
        <w:t xml:space="preserve"> P</w:t>
      </w:r>
      <w:r w:rsidRPr="00FF17B7">
        <w:rPr>
          <w:iCs/>
          <w:szCs w:val="22"/>
        </w:rPr>
        <w:t>021</w:t>
      </w:r>
      <w:r>
        <w:rPr>
          <w:i/>
          <w:iCs/>
          <w:szCs w:val="22"/>
        </w:rPr>
        <w:t xml:space="preserve"> </w:t>
      </w:r>
      <w:r>
        <w:rPr>
          <w:szCs w:val="22"/>
        </w:rPr>
        <w:t>en materia de mejora para la reinserción social.</w:t>
      </w:r>
    </w:p>
    <w:p w14:paraId="5FA3CCC0" w14:textId="77777777" w:rsidR="001F09DA" w:rsidRPr="00B06379" w:rsidRDefault="001F09DA" w:rsidP="0061451A">
      <w:pPr>
        <w:pStyle w:val="Cdetextonegrita"/>
        <w:spacing w:line="250" w:lineRule="exact"/>
      </w:pPr>
      <w:r w:rsidRPr="00B06379">
        <w:t>Principales Recomendaciones</w:t>
      </w:r>
    </w:p>
    <w:p w14:paraId="29F2C5DB" w14:textId="77777777" w:rsidR="002F2915" w:rsidRDefault="002F2915" w:rsidP="002F2915">
      <w:pPr>
        <w:pStyle w:val="Bala"/>
        <w:numPr>
          <w:ilvl w:val="0"/>
          <w:numId w:val="17"/>
        </w:numPr>
        <w:ind w:left="426"/>
        <w:rPr>
          <w:szCs w:val="22"/>
        </w:rPr>
      </w:pPr>
      <w:r w:rsidRPr="00201400">
        <w:rPr>
          <w:szCs w:val="22"/>
        </w:rPr>
        <w:t xml:space="preserve">Considerar </w:t>
      </w:r>
      <w:r>
        <w:rPr>
          <w:szCs w:val="22"/>
        </w:rPr>
        <w:t xml:space="preserve">a todas las UR </w:t>
      </w:r>
      <w:r w:rsidR="001A3219">
        <w:rPr>
          <w:szCs w:val="22"/>
        </w:rPr>
        <w:t xml:space="preserve">del </w:t>
      </w:r>
      <w:proofErr w:type="spellStart"/>
      <w:r w:rsidR="001A3219">
        <w:rPr>
          <w:szCs w:val="22"/>
        </w:rPr>
        <w:t>Pp</w:t>
      </w:r>
      <w:proofErr w:type="spellEnd"/>
      <w:r w:rsidR="001A3219">
        <w:rPr>
          <w:szCs w:val="22"/>
        </w:rPr>
        <w:t xml:space="preserve"> </w:t>
      </w:r>
      <w:r>
        <w:rPr>
          <w:szCs w:val="22"/>
        </w:rPr>
        <w:t>par</w:t>
      </w:r>
      <w:r w:rsidR="002375D8">
        <w:rPr>
          <w:szCs w:val="22"/>
        </w:rPr>
        <w:t xml:space="preserve">a el replanteamiento de </w:t>
      </w:r>
      <w:r w:rsidR="001A3219">
        <w:rPr>
          <w:szCs w:val="22"/>
        </w:rPr>
        <w:t>su</w:t>
      </w:r>
      <w:r w:rsidR="002375D8">
        <w:rPr>
          <w:szCs w:val="22"/>
        </w:rPr>
        <w:t xml:space="preserve"> MIR.</w:t>
      </w:r>
    </w:p>
    <w:p w14:paraId="619D2FCF" w14:textId="77777777" w:rsidR="002F2915" w:rsidRDefault="002F2915" w:rsidP="002F2915">
      <w:pPr>
        <w:pStyle w:val="Bala"/>
        <w:numPr>
          <w:ilvl w:val="0"/>
          <w:numId w:val="17"/>
        </w:numPr>
        <w:ind w:left="426"/>
        <w:rPr>
          <w:szCs w:val="22"/>
        </w:rPr>
      </w:pPr>
      <w:r w:rsidRPr="005214D4">
        <w:rPr>
          <w:szCs w:val="22"/>
        </w:rPr>
        <w:lastRenderedPageBreak/>
        <w:t xml:space="preserve">Desarrollar un diagnóstico específico sobre </w:t>
      </w:r>
      <w:r w:rsidR="00330C0D" w:rsidRPr="005214D4">
        <w:rPr>
          <w:szCs w:val="22"/>
        </w:rPr>
        <w:t xml:space="preserve">la </w:t>
      </w:r>
      <w:r w:rsidR="00330C0D">
        <w:rPr>
          <w:szCs w:val="22"/>
        </w:rPr>
        <w:t xml:space="preserve">necesidad </w:t>
      </w:r>
      <w:r w:rsidR="001A3219">
        <w:rPr>
          <w:szCs w:val="22"/>
        </w:rPr>
        <w:t xml:space="preserve">que atiende el </w:t>
      </w:r>
      <w:proofErr w:type="spellStart"/>
      <w:r w:rsidR="001A3219">
        <w:rPr>
          <w:szCs w:val="22"/>
        </w:rPr>
        <w:t>Pp</w:t>
      </w:r>
      <w:proofErr w:type="spellEnd"/>
      <w:r w:rsidR="00330C0D">
        <w:rPr>
          <w:szCs w:val="22"/>
        </w:rPr>
        <w:t xml:space="preserve">, involucrando a todas las UR que </w:t>
      </w:r>
      <w:r w:rsidR="001A3219">
        <w:rPr>
          <w:szCs w:val="22"/>
        </w:rPr>
        <w:t>operan</w:t>
      </w:r>
      <w:r w:rsidR="00330C0D">
        <w:rPr>
          <w:szCs w:val="22"/>
        </w:rPr>
        <w:t xml:space="preserve"> </w:t>
      </w:r>
      <w:r w:rsidR="001A3219">
        <w:rPr>
          <w:szCs w:val="22"/>
        </w:rPr>
        <w:t xml:space="preserve">el </w:t>
      </w:r>
      <w:r w:rsidR="00330C0D">
        <w:rPr>
          <w:szCs w:val="22"/>
        </w:rPr>
        <w:t>Pp</w:t>
      </w:r>
      <w:r>
        <w:rPr>
          <w:szCs w:val="22"/>
        </w:rPr>
        <w:t>.</w:t>
      </w:r>
    </w:p>
    <w:p w14:paraId="663FFC74" w14:textId="77777777" w:rsidR="002F2915" w:rsidRDefault="002F2915" w:rsidP="002F2915">
      <w:pPr>
        <w:pStyle w:val="Bala"/>
        <w:numPr>
          <w:ilvl w:val="0"/>
          <w:numId w:val="17"/>
        </w:numPr>
        <w:ind w:left="426"/>
        <w:rPr>
          <w:szCs w:val="22"/>
        </w:rPr>
      </w:pPr>
      <w:r w:rsidRPr="005214D4">
        <w:rPr>
          <w:szCs w:val="22"/>
        </w:rPr>
        <w:t xml:space="preserve">Reformular el resumen narrativo en todos los niveles de la MIR para que exista congruencia entre </w:t>
      </w:r>
      <w:r w:rsidR="001A3219">
        <w:rPr>
          <w:szCs w:val="22"/>
        </w:rPr>
        <w:t>los</w:t>
      </w:r>
      <w:r w:rsidRPr="005214D4">
        <w:rPr>
          <w:szCs w:val="22"/>
        </w:rPr>
        <w:t xml:space="preserve"> objetivo</w:t>
      </w:r>
      <w:r w:rsidR="001A3219">
        <w:rPr>
          <w:szCs w:val="22"/>
        </w:rPr>
        <w:t>s</w:t>
      </w:r>
      <w:r w:rsidRPr="005214D4">
        <w:rPr>
          <w:szCs w:val="22"/>
        </w:rPr>
        <w:t xml:space="preserve"> </w:t>
      </w:r>
      <w:r w:rsidR="001A3219">
        <w:rPr>
          <w:szCs w:val="22"/>
        </w:rPr>
        <w:t>de</w:t>
      </w:r>
      <w:r w:rsidRPr="005214D4">
        <w:rPr>
          <w:szCs w:val="22"/>
        </w:rPr>
        <w:t xml:space="preserve"> cada nivel</w:t>
      </w:r>
      <w:r>
        <w:rPr>
          <w:szCs w:val="22"/>
        </w:rPr>
        <w:t>.</w:t>
      </w:r>
    </w:p>
    <w:p w14:paraId="3FC4C954" w14:textId="77777777" w:rsidR="002F2915" w:rsidRDefault="00330C0D" w:rsidP="002F2915">
      <w:pPr>
        <w:pStyle w:val="Bala"/>
        <w:numPr>
          <w:ilvl w:val="0"/>
          <w:numId w:val="17"/>
        </w:numPr>
        <w:ind w:left="426"/>
        <w:rPr>
          <w:szCs w:val="22"/>
        </w:rPr>
      </w:pPr>
      <w:r w:rsidRPr="005214D4">
        <w:rPr>
          <w:szCs w:val="22"/>
        </w:rPr>
        <w:t>Incluir en algún documento oficial</w:t>
      </w:r>
      <w:r>
        <w:rPr>
          <w:szCs w:val="22"/>
        </w:rPr>
        <w:t xml:space="preserve"> </w:t>
      </w:r>
      <w:r w:rsidRPr="005214D4">
        <w:rPr>
          <w:szCs w:val="22"/>
        </w:rPr>
        <w:t>las definiciones, caracterización, cuantificación (incluyendo metodología y fuentes de información) y ubicación geográfica de</w:t>
      </w:r>
      <w:r>
        <w:rPr>
          <w:szCs w:val="22"/>
        </w:rPr>
        <w:t xml:space="preserve">l </w:t>
      </w:r>
      <w:proofErr w:type="spellStart"/>
      <w:r>
        <w:rPr>
          <w:szCs w:val="22"/>
        </w:rPr>
        <w:t>AEPo</w:t>
      </w:r>
      <w:proofErr w:type="spellEnd"/>
      <w:r>
        <w:rPr>
          <w:szCs w:val="22"/>
        </w:rPr>
        <w:t>, AEO y AEA</w:t>
      </w:r>
      <w:r w:rsidR="002F2915" w:rsidRPr="005214D4">
        <w:rPr>
          <w:szCs w:val="22"/>
        </w:rPr>
        <w:t>.</w:t>
      </w:r>
    </w:p>
    <w:p w14:paraId="7B6C7786" w14:textId="77777777" w:rsidR="002F2915" w:rsidRDefault="002F2915" w:rsidP="002F2915">
      <w:pPr>
        <w:pStyle w:val="Bala"/>
        <w:numPr>
          <w:ilvl w:val="0"/>
          <w:numId w:val="17"/>
        </w:numPr>
        <w:ind w:left="426"/>
        <w:rPr>
          <w:szCs w:val="22"/>
        </w:rPr>
      </w:pPr>
      <w:r w:rsidRPr="005214D4">
        <w:rPr>
          <w:szCs w:val="22"/>
        </w:rPr>
        <w:t>Desarrollar una estrategia de cobertura</w:t>
      </w:r>
      <w:r w:rsidR="001A3219">
        <w:rPr>
          <w:szCs w:val="22"/>
        </w:rPr>
        <w:t xml:space="preserve"> del Pp</w:t>
      </w:r>
      <w:r>
        <w:rPr>
          <w:szCs w:val="22"/>
        </w:rPr>
        <w:t>.</w:t>
      </w:r>
    </w:p>
    <w:p w14:paraId="0B3251FC" w14:textId="77777777" w:rsidR="002F2915" w:rsidRDefault="002F2915" w:rsidP="002F2915">
      <w:pPr>
        <w:pStyle w:val="Bala"/>
        <w:numPr>
          <w:ilvl w:val="0"/>
          <w:numId w:val="17"/>
        </w:numPr>
        <w:ind w:left="426"/>
        <w:rPr>
          <w:szCs w:val="22"/>
        </w:rPr>
      </w:pPr>
      <w:r w:rsidRPr="005214D4">
        <w:rPr>
          <w:szCs w:val="22"/>
        </w:rPr>
        <w:t>Acelerar el proceso de integración de los Manuales de Procedimientos</w:t>
      </w:r>
      <w:r>
        <w:rPr>
          <w:szCs w:val="22"/>
        </w:rPr>
        <w:t>.</w:t>
      </w:r>
    </w:p>
    <w:p w14:paraId="247FDF3B" w14:textId="77777777" w:rsidR="002F2915" w:rsidRDefault="002F2915" w:rsidP="002F2915">
      <w:pPr>
        <w:pStyle w:val="Bala"/>
        <w:numPr>
          <w:ilvl w:val="0"/>
          <w:numId w:val="17"/>
        </w:numPr>
        <w:ind w:left="426"/>
        <w:rPr>
          <w:szCs w:val="22"/>
        </w:rPr>
      </w:pPr>
      <w:r w:rsidRPr="005214D4">
        <w:rPr>
          <w:szCs w:val="22"/>
        </w:rPr>
        <w:t>Hacer una revisión exhaustiva de la definición de los indica</w:t>
      </w:r>
      <w:r>
        <w:rPr>
          <w:szCs w:val="22"/>
        </w:rPr>
        <w:t>dores para cada nivel de la MIR, así como de los métodos de cálculo y medios de verificación.</w:t>
      </w:r>
    </w:p>
    <w:p w14:paraId="58A39421" w14:textId="77777777" w:rsidR="00201400" w:rsidRPr="00201400" w:rsidRDefault="00201400" w:rsidP="002F2915">
      <w:pPr>
        <w:pStyle w:val="Bala"/>
        <w:ind w:left="66"/>
        <w:rPr>
          <w:szCs w:val="22"/>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CF06E2" w:rsidRPr="00FC7306" w14:paraId="1F8322F3" w14:textId="77777777" w:rsidTr="00B83F5C">
        <w:tc>
          <w:tcPr>
            <w:tcW w:w="749" w:type="pct"/>
            <w:vAlign w:val="center"/>
          </w:tcPr>
          <w:p w14:paraId="16768A96" w14:textId="77777777" w:rsidR="00CF06E2" w:rsidRPr="00FC7306" w:rsidRDefault="00CF06E2" w:rsidP="00B83F5C">
            <w:pPr>
              <w:spacing w:before="20" w:after="0"/>
              <w:ind w:left="170"/>
              <w:rPr>
                <w:b/>
                <w:sz w:val="16"/>
                <w:lang w:val="es-ES"/>
              </w:rPr>
            </w:pPr>
            <w:r>
              <w:br w:type="page"/>
            </w:r>
            <w:r w:rsidRPr="00FC7306">
              <w:rPr>
                <w:b/>
                <w:sz w:val="16"/>
                <w:lang w:val="es-ES"/>
              </w:rPr>
              <w:t>Evaluador Externo</w:t>
            </w:r>
            <w:r>
              <w:rPr>
                <w:b/>
                <w:sz w:val="16"/>
                <w:lang w:val="es-ES"/>
              </w:rPr>
              <w:t>:</w:t>
            </w:r>
          </w:p>
        </w:tc>
        <w:tc>
          <w:tcPr>
            <w:tcW w:w="4251" w:type="pct"/>
            <w:gridSpan w:val="3"/>
            <w:vAlign w:val="center"/>
          </w:tcPr>
          <w:p w14:paraId="5CAF52BD" w14:textId="77777777" w:rsidR="002F2915" w:rsidRDefault="002F2915" w:rsidP="002F2915">
            <w:pPr>
              <w:spacing w:before="20" w:after="0"/>
              <w:ind w:left="113"/>
              <w:rPr>
                <w:sz w:val="16"/>
                <w:lang w:val="es-ES"/>
              </w:rPr>
            </w:pPr>
            <w:r w:rsidRPr="00FC7306">
              <w:rPr>
                <w:sz w:val="16"/>
                <w:lang w:val="es-ES"/>
              </w:rPr>
              <w:t xml:space="preserve">1. Instancia Evaluadora: </w:t>
            </w:r>
            <w:r w:rsidRPr="005214D4">
              <w:rPr>
                <w:sz w:val="16"/>
                <w:lang w:val="es-ES"/>
              </w:rPr>
              <w:t>Facultad de Economía</w:t>
            </w:r>
            <w:r w:rsidRPr="00FC7306">
              <w:rPr>
                <w:sz w:val="16"/>
                <w:lang w:val="es-ES"/>
              </w:rPr>
              <w:t xml:space="preserve"> </w:t>
            </w:r>
            <w:r w:rsidR="00687B66">
              <w:rPr>
                <w:sz w:val="16"/>
                <w:lang w:val="es-ES"/>
              </w:rPr>
              <w:t>de la UNAM</w:t>
            </w:r>
          </w:p>
          <w:p w14:paraId="4D0609FB" w14:textId="77777777" w:rsidR="002F2915" w:rsidRDefault="002F2915" w:rsidP="002F2915">
            <w:pPr>
              <w:spacing w:before="20" w:after="0"/>
              <w:ind w:left="113"/>
              <w:rPr>
                <w:sz w:val="16"/>
                <w:lang w:val="es-ES"/>
              </w:rPr>
            </w:pPr>
            <w:r w:rsidRPr="00FC7306">
              <w:rPr>
                <w:sz w:val="16"/>
                <w:lang w:val="es-ES"/>
              </w:rPr>
              <w:t xml:space="preserve">2. Coordinador de la Evaluación: </w:t>
            </w:r>
            <w:r w:rsidRPr="005214D4">
              <w:rPr>
                <w:sz w:val="16"/>
                <w:lang w:val="es-ES"/>
              </w:rPr>
              <w:t>Miguel Ángel González Guadarrama</w:t>
            </w:r>
            <w:r w:rsidRPr="00FC7306">
              <w:rPr>
                <w:sz w:val="16"/>
                <w:lang w:val="es-ES"/>
              </w:rPr>
              <w:t xml:space="preserve"> </w:t>
            </w:r>
          </w:p>
          <w:p w14:paraId="7BB9BC8B" w14:textId="77777777" w:rsidR="00CF06E2" w:rsidRPr="00FC7306" w:rsidRDefault="002F2915" w:rsidP="0067196D">
            <w:pPr>
              <w:spacing w:before="20" w:after="0"/>
              <w:ind w:left="113"/>
              <w:rPr>
                <w:sz w:val="16"/>
                <w:lang w:val="es-ES"/>
              </w:rPr>
            </w:pPr>
            <w:r w:rsidRPr="00FC7306">
              <w:rPr>
                <w:sz w:val="16"/>
                <w:lang w:val="es-ES"/>
              </w:rPr>
              <w:t xml:space="preserve">3. Forma de contratación: </w:t>
            </w:r>
            <w:r w:rsidR="006F4AD5">
              <w:rPr>
                <w:sz w:val="16"/>
                <w:lang w:val="es-ES"/>
              </w:rPr>
              <w:t xml:space="preserve">No </w:t>
            </w:r>
            <w:r w:rsidR="0067196D" w:rsidRPr="00107872">
              <w:rPr>
                <w:sz w:val="16"/>
                <w:szCs w:val="16"/>
                <w:lang w:val="es-ES"/>
              </w:rPr>
              <w:t>disponible</w:t>
            </w:r>
            <w:r w:rsidR="006F4AD5" w:rsidRPr="00107872">
              <w:rPr>
                <w:rStyle w:val="Refdenotaalpie"/>
                <w:sz w:val="16"/>
                <w:szCs w:val="16"/>
                <w:lang w:val="es-ES"/>
              </w:rPr>
              <w:footnoteReference w:id="4"/>
            </w:r>
            <w:r w:rsidR="00107872" w:rsidRPr="00107872">
              <w:rPr>
                <w:sz w:val="16"/>
                <w:szCs w:val="16"/>
                <w:vertAlign w:val="superscript"/>
              </w:rPr>
              <w:t>_/</w:t>
            </w:r>
          </w:p>
        </w:tc>
      </w:tr>
      <w:tr w:rsidR="00CF06E2" w:rsidRPr="00FC7306" w14:paraId="0E098713" w14:textId="77777777" w:rsidTr="00B83F5C">
        <w:tc>
          <w:tcPr>
            <w:tcW w:w="749" w:type="pct"/>
            <w:vAlign w:val="center"/>
          </w:tcPr>
          <w:p w14:paraId="04E080E6" w14:textId="77777777" w:rsidR="00CF06E2" w:rsidRPr="00FC7306" w:rsidRDefault="00CF06E2" w:rsidP="00B83F5C">
            <w:pPr>
              <w:spacing w:before="20" w:after="0"/>
              <w:ind w:left="170"/>
              <w:rPr>
                <w:b/>
                <w:sz w:val="16"/>
                <w:lang w:val="es-ES"/>
              </w:rPr>
            </w:pPr>
          </w:p>
        </w:tc>
        <w:tc>
          <w:tcPr>
            <w:tcW w:w="4251" w:type="pct"/>
            <w:gridSpan w:val="3"/>
            <w:vAlign w:val="center"/>
          </w:tcPr>
          <w:p w14:paraId="33BDA902" w14:textId="77777777" w:rsidR="00CF06E2" w:rsidRPr="00FC7306" w:rsidRDefault="00CF06E2" w:rsidP="00B83F5C">
            <w:pPr>
              <w:spacing w:before="20" w:after="0"/>
              <w:ind w:left="113"/>
              <w:rPr>
                <w:sz w:val="16"/>
                <w:lang w:val="es-ES"/>
              </w:rPr>
            </w:pPr>
          </w:p>
        </w:tc>
      </w:tr>
      <w:tr w:rsidR="00CF06E2" w:rsidRPr="00FC7306" w14:paraId="1446F7DC" w14:textId="77777777" w:rsidTr="00B83F5C">
        <w:tc>
          <w:tcPr>
            <w:tcW w:w="749" w:type="pct"/>
            <w:vAlign w:val="center"/>
          </w:tcPr>
          <w:p w14:paraId="1E8F931C" w14:textId="77777777" w:rsidR="00CF06E2" w:rsidRPr="00FC7306" w:rsidRDefault="00CF06E2" w:rsidP="00B83F5C">
            <w:pPr>
              <w:spacing w:before="20" w:after="0"/>
              <w:ind w:left="170"/>
              <w:rPr>
                <w:b/>
                <w:sz w:val="16"/>
                <w:lang w:val="es-ES"/>
              </w:rPr>
            </w:pPr>
            <w:r w:rsidRPr="00FC7306">
              <w:rPr>
                <w:b/>
                <w:sz w:val="16"/>
                <w:lang w:val="es-ES"/>
              </w:rPr>
              <w:t>Costo:</w:t>
            </w:r>
          </w:p>
        </w:tc>
        <w:tc>
          <w:tcPr>
            <w:tcW w:w="1113" w:type="pct"/>
            <w:vAlign w:val="center"/>
          </w:tcPr>
          <w:p w14:paraId="050B5D49" w14:textId="77777777" w:rsidR="00CF06E2" w:rsidRPr="00FC7306" w:rsidRDefault="002F2915" w:rsidP="002F2915">
            <w:pPr>
              <w:spacing w:before="20" w:after="0"/>
              <w:ind w:left="113"/>
              <w:rPr>
                <w:sz w:val="16"/>
                <w:lang w:val="es-ES"/>
              </w:rPr>
            </w:pPr>
            <w:r>
              <w:rPr>
                <w:sz w:val="16"/>
                <w:lang w:val="es-ES"/>
              </w:rPr>
              <w:t>$430</w:t>
            </w:r>
            <w:r w:rsidR="00CF06E2" w:rsidRPr="00CF06E2">
              <w:rPr>
                <w:sz w:val="16"/>
                <w:lang w:val="es-ES"/>
              </w:rPr>
              <w:t>,</w:t>
            </w:r>
            <w:r>
              <w:rPr>
                <w:sz w:val="16"/>
                <w:lang w:val="es-ES"/>
              </w:rPr>
              <w:t>00</w:t>
            </w:r>
            <w:r w:rsidR="00201400">
              <w:rPr>
                <w:sz w:val="16"/>
                <w:lang w:val="es-ES"/>
              </w:rPr>
              <w:t>0</w:t>
            </w:r>
            <w:r w:rsidR="00CC1800">
              <w:rPr>
                <w:sz w:val="16"/>
                <w:lang w:val="es-ES"/>
              </w:rPr>
              <w:t>.00</w:t>
            </w:r>
            <w:r w:rsidR="0042172F">
              <w:rPr>
                <w:sz w:val="16"/>
                <w:lang w:val="es-ES"/>
              </w:rPr>
              <w:t xml:space="preserve"> </w:t>
            </w:r>
            <w:r w:rsidR="0042172F" w:rsidRPr="0042172F">
              <w:rPr>
                <w:sz w:val="16"/>
                <w:lang w:val="es-ES"/>
              </w:rPr>
              <w:t>IVA incluido</w:t>
            </w:r>
          </w:p>
        </w:tc>
        <w:tc>
          <w:tcPr>
            <w:tcW w:w="904" w:type="pct"/>
            <w:vAlign w:val="center"/>
          </w:tcPr>
          <w:p w14:paraId="20067145" w14:textId="77777777" w:rsidR="00CF06E2" w:rsidRPr="00FC7306" w:rsidRDefault="00CF06E2" w:rsidP="00B83F5C">
            <w:pPr>
              <w:spacing w:before="20" w:after="0"/>
              <w:ind w:left="170"/>
              <w:rPr>
                <w:b/>
                <w:sz w:val="16"/>
                <w:lang w:val="es-ES"/>
              </w:rPr>
            </w:pPr>
            <w:r w:rsidRPr="00FC7306">
              <w:rPr>
                <w:b/>
                <w:sz w:val="16"/>
                <w:lang w:val="es-ES"/>
              </w:rPr>
              <w:t>Fuente de Financiamiento:</w:t>
            </w:r>
          </w:p>
        </w:tc>
        <w:tc>
          <w:tcPr>
            <w:tcW w:w="2234" w:type="pct"/>
            <w:vAlign w:val="center"/>
          </w:tcPr>
          <w:p w14:paraId="32341CF0" w14:textId="77777777" w:rsidR="00CF06E2" w:rsidRPr="00E56516" w:rsidRDefault="00CF06E2" w:rsidP="00B83F5C">
            <w:pPr>
              <w:spacing w:before="20" w:after="0"/>
              <w:ind w:left="113"/>
              <w:rPr>
                <w:sz w:val="16"/>
                <w:highlight w:val="yellow"/>
                <w:lang w:val="es-ES"/>
              </w:rPr>
            </w:pPr>
            <w:r w:rsidRPr="00E56516">
              <w:rPr>
                <w:sz w:val="16"/>
                <w:lang w:val="es-ES"/>
              </w:rPr>
              <w:t>Recursos Fiscales</w:t>
            </w:r>
          </w:p>
        </w:tc>
      </w:tr>
      <w:tr w:rsidR="00CF06E2" w:rsidRPr="00FC7306" w14:paraId="1877EC8C" w14:textId="77777777" w:rsidTr="00B83F5C">
        <w:tc>
          <w:tcPr>
            <w:tcW w:w="749" w:type="pct"/>
            <w:tcBorders>
              <w:bottom w:val="single" w:sz="4" w:space="0" w:color="auto"/>
            </w:tcBorders>
            <w:vAlign w:val="center"/>
          </w:tcPr>
          <w:p w14:paraId="019F7024" w14:textId="77777777" w:rsidR="00CF06E2" w:rsidRPr="00FC7306" w:rsidRDefault="00CF06E2" w:rsidP="00B83F5C">
            <w:pPr>
              <w:pStyle w:val="Textocuadroneg1"/>
              <w:rPr>
                <w:sz w:val="16"/>
                <w:szCs w:val="16"/>
              </w:rPr>
            </w:pPr>
            <w:r w:rsidRPr="00FC7306">
              <w:rPr>
                <w:sz w:val="16"/>
                <w:szCs w:val="16"/>
              </w:rPr>
              <w:t>Coordinación de la Evaluación</w:t>
            </w:r>
          </w:p>
        </w:tc>
        <w:tc>
          <w:tcPr>
            <w:tcW w:w="1113" w:type="pct"/>
            <w:tcBorders>
              <w:bottom w:val="single" w:sz="4" w:space="0" w:color="auto"/>
            </w:tcBorders>
            <w:vAlign w:val="center"/>
          </w:tcPr>
          <w:p w14:paraId="5C9DD7EA" w14:textId="77777777" w:rsidR="00CF06E2" w:rsidRPr="00D70C3A" w:rsidRDefault="00EC08DE" w:rsidP="00B83F5C">
            <w:pPr>
              <w:pStyle w:val="Cdetexto"/>
              <w:spacing w:after="0"/>
              <w:jc w:val="center"/>
              <w:rPr>
                <w:sz w:val="16"/>
                <w:szCs w:val="14"/>
              </w:rPr>
            </w:pPr>
            <w:r w:rsidRPr="00D70C3A">
              <w:rPr>
                <w:sz w:val="16"/>
                <w:szCs w:val="14"/>
              </w:rPr>
              <w:t>SHCP</w:t>
            </w:r>
          </w:p>
        </w:tc>
        <w:tc>
          <w:tcPr>
            <w:tcW w:w="904" w:type="pct"/>
            <w:tcBorders>
              <w:bottom w:val="single" w:sz="4" w:space="0" w:color="auto"/>
            </w:tcBorders>
            <w:vAlign w:val="center"/>
          </w:tcPr>
          <w:p w14:paraId="2E7106C0" w14:textId="77777777" w:rsidR="00CF06E2" w:rsidRPr="00FC7306" w:rsidRDefault="00CF06E2" w:rsidP="00B83F5C">
            <w:pPr>
              <w:pStyle w:val="Textocuadroneg1"/>
              <w:rPr>
                <w:sz w:val="16"/>
                <w:szCs w:val="16"/>
              </w:rPr>
            </w:pPr>
            <w:r w:rsidRPr="00FC7306">
              <w:rPr>
                <w:sz w:val="16"/>
                <w:szCs w:val="16"/>
              </w:rPr>
              <w:t>Informe completo</w:t>
            </w:r>
          </w:p>
        </w:tc>
        <w:tc>
          <w:tcPr>
            <w:tcW w:w="2234" w:type="pct"/>
            <w:tcBorders>
              <w:bottom w:val="single" w:sz="4" w:space="0" w:color="auto"/>
            </w:tcBorders>
            <w:vAlign w:val="center"/>
          </w:tcPr>
          <w:p w14:paraId="411CB16B" w14:textId="77777777" w:rsidR="00CF06E2" w:rsidRPr="00FC7306" w:rsidRDefault="00CF06E2" w:rsidP="00B83F5C">
            <w:pPr>
              <w:pStyle w:val="Textocuadro1"/>
              <w:rPr>
                <w:sz w:val="16"/>
                <w:szCs w:val="16"/>
              </w:rPr>
            </w:pPr>
            <w:r w:rsidRPr="00FC7306">
              <w:rPr>
                <w:sz w:val="16"/>
                <w:szCs w:val="16"/>
              </w:rPr>
              <w:t>Disponible en:</w:t>
            </w:r>
          </w:p>
          <w:p w14:paraId="04CF1C28" w14:textId="77777777" w:rsidR="00CF06E2" w:rsidRPr="00FC7306" w:rsidRDefault="00CF06E2" w:rsidP="00B83F5C">
            <w:pPr>
              <w:pStyle w:val="Textocuadro1"/>
              <w:rPr>
                <w:sz w:val="16"/>
                <w:szCs w:val="16"/>
              </w:rPr>
            </w:pPr>
            <w:r w:rsidRPr="00FC7306">
              <w:rPr>
                <w:sz w:val="16"/>
                <w:szCs w:val="16"/>
              </w:rPr>
              <w:t>http://www.transparenciapresupuestaria.gob.mx/</w:t>
            </w:r>
          </w:p>
        </w:tc>
      </w:tr>
    </w:tbl>
    <w:p w14:paraId="4BBA6B4F" w14:textId="77777777" w:rsidR="003D1896" w:rsidRDefault="003D1896"/>
    <w:p w14:paraId="49B3953C" w14:textId="77777777" w:rsidR="003562B5" w:rsidRDefault="003562B5">
      <w:r>
        <w:br w:type="page"/>
      </w:r>
    </w:p>
    <w:tbl>
      <w:tblPr>
        <w:tblStyle w:val="Tablaconcuadrcula3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F13410" w:rsidRPr="00FC7306" w14:paraId="4BA691EA" w14:textId="77777777" w:rsidTr="00137AB0">
        <w:trPr>
          <w:trHeight w:val="435"/>
        </w:trPr>
        <w:tc>
          <w:tcPr>
            <w:tcW w:w="9923" w:type="dxa"/>
            <w:gridSpan w:val="5"/>
            <w:shd w:val="clear" w:color="auto" w:fill="D6E3BC" w:themeFill="accent3" w:themeFillTint="66"/>
            <w:vAlign w:val="center"/>
          </w:tcPr>
          <w:p w14:paraId="0970E8FB" w14:textId="77777777" w:rsidR="00F13410" w:rsidRPr="006C2077" w:rsidRDefault="003640DB" w:rsidP="00695D93">
            <w:pPr>
              <w:pStyle w:val="CABEZA"/>
              <w:ind w:left="0"/>
              <w:rPr>
                <w:lang w:val="es-MX"/>
              </w:rPr>
            </w:pPr>
            <w:r>
              <w:rPr>
                <w:lang w:val="es-MX"/>
              </w:rPr>
              <w:lastRenderedPageBreak/>
              <w:br w:type="page"/>
              <w:t>Ramo</w:t>
            </w:r>
            <w:r w:rsidR="00304F3D">
              <w:rPr>
                <w:lang w:val="es-MX"/>
              </w:rPr>
              <w:t xml:space="preserve"> </w:t>
            </w:r>
            <w:r w:rsidR="002F2915">
              <w:rPr>
                <w:lang w:val="es-MX"/>
              </w:rPr>
              <w:t>09</w:t>
            </w:r>
            <w:r w:rsidR="00F13410" w:rsidRPr="006C2077">
              <w:rPr>
                <w:lang w:val="es-MX"/>
              </w:rPr>
              <w:t xml:space="preserve">. </w:t>
            </w:r>
            <w:r w:rsidR="002F2915" w:rsidRPr="002F2915">
              <w:rPr>
                <w:lang w:val="es-MX"/>
              </w:rPr>
              <w:t>Comunicaciones y Transportes</w:t>
            </w:r>
          </w:p>
        </w:tc>
      </w:tr>
      <w:tr w:rsidR="00F13410" w:rsidRPr="00FC7306" w14:paraId="769DDFE1" w14:textId="77777777" w:rsidTr="009B3D9C">
        <w:tc>
          <w:tcPr>
            <w:tcW w:w="1359" w:type="dxa"/>
            <w:shd w:val="clear" w:color="auto" w:fill="D9D9D9" w:themeFill="background1" w:themeFillShade="D9"/>
          </w:tcPr>
          <w:p w14:paraId="5038A8B4" w14:textId="77777777" w:rsidR="00F13410" w:rsidRPr="00FC7306" w:rsidRDefault="00F13410" w:rsidP="009B3D9C">
            <w:pPr>
              <w:spacing w:before="20"/>
              <w:rPr>
                <w:b/>
                <w:sz w:val="16"/>
                <w:lang w:val="es-ES"/>
              </w:rPr>
            </w:pPr>
            <w:r w:rsidRPr="00FC7306">
              <w:rPr>
                <w:b/>
                <w:sz w:val="16"/>
                <w:lang w:val="es-ES"/>
              </w:rPr>
              <w:t xml:space="preserve">Clave del </w:t>
            </w:r>
            <w:proofErr w:type="spellStart"/>
            <w:r w:rsidRPr="00FC7306">
              <w:rPr>
                <w:b/>
                <w:sz w:val="16"/>
                <w:lang w:val="es-ES"/>
              </w:rPr>
              <w:t>Pp</w:t>
            </w:r>
            <w:proofErr w:type="spellEnd"/>
            <w:r w:rsidRPr="00FC7306">
              <w:rPr>
                <w:b/>
                <w:sz w:val="16"/>
                <w:lang w:val="es-ES"/>
              </w:rPr>
              <w:t>:</w:t>
            </w:r>
          </w:p>
        </w:tc>
        <w:tc>
          <w:tcPr>
            <w:tcW w:w="734" w:type="dxa"/>
            <w:shd w:val="clear" w:color="auto" w:fill="D9D9D9" w:themeFill="background1" w:themeFillShade="D9"/>
          </w:tcPr>
          <w:p w14:paraId="28ACF468" w14:textId="77777777" w:rsidR="00F13410" w:rsidRPr="00FC7306" w:rsidRDefault="002F2915" w:rsidP="009B3D9C">
            <w:pPr>
              <w:contextualSpacing/>
              <w:rPr>
                <w:sz w:val="16"/>
                <w:szCs w:val="16"/>
                <w:lang w:val="es-ES" w:eastAsia="en-US"/>
              </w:rPr>
            </w:pPr>
            <w:r>
              <w:rPr>
                <w:sz w:val="16"/>
                <w:szCs w:val="16"/>
                <w:lang w:val="es-ES" w:eastAsia="en-US"/>
              </w:rPr>
              <w:t>P</w:t>
            </w:r>
            <w:r w:rsidR="00304F3D">
              <w:rPr>
                <w:sz w:val="16"/>
                <w:szCs w:val="16"/>
                <w:lang w:val="es-ES" w:eastAsia="en-US"/>
              </w:rPr>
              <w:t>001</w:t>
            </w:r>
          </w:p>
        </w:tc>
        <w:tc>
          <w:tcPr>
            <w:tcW w:w="1701" w:type="dxa"/>
            <w:gridSpan w:val="2"/>
            <w:shd w:val="clear" w:color="auto" w:fill="D9D9D9" w:themeFill="background1" w:themeFillShade="D9"/>
          </w:tcPr>
          <w:p w14:paraId="0E290CA8" w14:textId="77777777" w:rsidR="00F13410" w:rsidRPr="00FC7306" w:rsidRDefault="00F13410" w:rsidP="009B3D9C">
            <w:pPr>
              <w:spacing w:before="20"/>
              <w:rPr>
                <w:b/>
                <w:sz w:val="16"/>
                <w:lang w:val="es-ES"/>
              </w:rPr>
            </w:pPr>
            <w:r w:rsidRPr="00FC7306">
              <w:rPr>
                <w:b/>
                <w:sz w:val="16"/>
                <w:lang w:val="es-ES"/>
              </w:rPr>
              <w:t>Denominación:</w:t>
            </w:r>
          </w:p>
        </w:tc>
        <w:tc>
          <w:tcPr>
            <w:tcW w:w="6129" w:type="dxa"/>
            <w:shd w:val="clear" w:color="auto" w:fill="D9D9D9" w:themeFill="background1" w:themeFillShade="D9"/>
          </w:tcPr>
          <w:p w14:paraId="57D73876" w14:textId="77777777" w:rsidR="00F13410" w:rsidRPr="00FC7306" w:rsidRDefault="002F2915" w:rsidP="00304F3D">
            <w:pPr>
              <w:contextualSpacing/>
              <w:rPr>
                <w:sz w:val="16"/>
                <w:szCs w:val="16"/>
                <w:lang w:val="es-ES" w:eastAsia="en-US"/>
              </w:rPr>
            </w:pPr>
            <w:r w:rsidRPr="00DF34A6">
              <w:rPr>
                <w:sz w:val="16"/>
                <w:szCs w:val="16"/>
                <w:lang w:val="es-ES" w:eastAsia="en-US"/>
              </w:rPr>
              <w:t>Definición, conducción y supervisión de la política de comunicaciones y transportes</w:t>
            </w:r>
          </w:p>
        </w:tc>
      </w:tr>
      <w:tr w:rsidR="00F13410" w:rsidRPr="00FC7306" w14:paraId="2D147773" w14:textId="77777777" w:rsidTr="009B3D9C">
        <w:tc>
          <w:tcPr>
            <w:tcW w:w="2778" w:type="dxa"/>
            <w:gridSpan w:val="3"/>
          </w:tcPr>
          <w:p w14:paraId="21A2B2DA" w14:textId="77777777" w:rsidR="00F13410" w:rsidRPr="00FC7306" w:rsidRDefault="00F13410" w:rsidP="009B3D9C">
            <w:pPr>
              <w:spacing w:before="20"/>
              <w:rPr>
                <w:b/>
                <w:sz w:val="16"/>
                <w:lang w:val="es-ES"/>
              </w:rPr>
            </w:pPr>
            <w:r w:rsidRPr="00FC7306">
              <w:rPr>
                <w:b/>
                <w:sz w:val="16"/>
                <w:lang w:val="es-ES"/>
              </w:rPr>
              <w:t>Unidad Administrativa</w:t>
            </w:r>
            <w:r w:rsidR="008822DF">
              <w:rPr>
                <w:b/>
                <w:sz w:val="16"/>
                <w:lang w:val="es-ES"/>
              </w:rPr>
              <w:t>:</w:t>
            </w:r>
          </w:p>
        </w:tc>
        <w:tc>
          <w:tcPr>
            <w:tcW w:w="7145" w:type="dxa"/>
            <w:gridSpan w:val="2"/>
          </w:tcPr>
          <w:p w14:paraId="79B40F43" w14:textId="77777777" w:rsidR="002F2915" w:rsidRPr="0032204E" w:rsidRDefault="002F2915" w:rsidP="002F2915">
            <w:pPr>
              <w:pStyle w:val="Sinespaciado"/>
              <w:rPr>
                <w:rFonts w:ascii="Soberana Sans" w:hAnsi="Soberana Sans"/>
                <w:sz w:val="16"/>
                <w:szCs w:val="16"/>
              </w:rPr>
            </w:pPr>
            <w:r w:rsidRPr="0032204E">
              <w:rPr>
                <w:rFonts w:ascii="Soberana Sans" w:hAnsi="Soberana Sans"/>
                <w:sz w:val="16"/>
                <w:szCs w:val="16"/>
              </w:rPr>
              <w:t>Secretaría</w:t>
            </w:r>
          </w:p>
          <w:p w14:paraId="0BBA74C7" w14:textId="77777777" w:rsidR="002F2915" w:rsidRPr="0032204E" w:rsidRDefault="002F2915" w:rsidP="002F2915">
            <w:pPr>
              <w:pStyle w:val="Sinespaciado"/>
              <w:rPr>
                <w:rFonts w:ascii="Soberana Sans" w:hAnsi="Soberana Sans"/>
                <w:sz w:val="16"/>
                <w:szCs w:val="16"/>
              </w:rPr>
            </w:pPr>
            <w:r w:rsidRPr="0032204E">
              <w:rPr>
                <w:rFonts w:ascii="Soberana Sans" w:hAnsi="Soberana Sans"/>
                <w:sz w:val="16"/>
                <w:szCs w:val="16"/>
              </w:rPr>
              <w:t>Dirección General de Vinculación</w:t>
            </w:r>
          </w:p>
          <w:p w14:paraId="0B1EBE74" w14:textId="77777777" w:rsidR="002F2915" w:rsidRPr="0032204E" w:rsidRDefault="002F2915" w:rsidP="002F2915">
            <w:pPr>
              <w:pStyle w:val="Sinespaciado"/>
              <w:rPr>
                <w:rFonts w:ascii="Soberana Sans" w:hAnsi="Soberana Sans"/>
                <w:sz w:val="16"/>
                <w:szCs w:val="16"/>
              </w:rPr>
            </w:pPr>
            <w:r w:rsidRPr="0032204E">
              <w:rPr>
                <w:rFonts w:ascii="Soberana Sans" w:hAnsi="Soberana Sans"/>
                <w:sz w:val="16"/>
                <w:szCs w:val="16"/>
              </w:rPr>
              <w:t>Unidad de Asuntos Jurídicos</w:t>
            </w:r>
          </w:p>
          <w:p w14:paraId="357D188C" w14:textId="77777777" w:rsidR="002F2915" w:rsidRPr="0032204E" w:rsidRDefault="002F2915" w:rsidP="002F2915">
            <w:pPr>
              <w:pStyle w:val="Sinespaciado"/>
              <w:rPr>
                <w:rFonts w:ascii="Soberana Sans" w:hAnsi="Soberana Sans"/>
                <w:sz w:val="16"/>
                <w:szCs w:val="16"/>
              </w:rPr>
            </w:pPr>
            <w:r w:rsidRPr="0032204E">
              <w:rPr>
                <w:rFonts w:ascii="Soberana Sans" w:hAnsi="Soberana Sans"/>
                <w:sz w:val="16"/>
                <w:szCs w:val="16"/>
              </w:rPr>
              <w:t>Dirección General de Comunicación Social</w:t>
            </w:r>
          </w:p>
          <w:p w14:paraId="1B237360" w14:textId="77777777" w:rsidR="002F2915" w:rsidRPr="0032204E" w:rsidRDefault="002F2915" w:rsidP="002F2915">
            <w:pPr>
              <w:pStyle w:val="Sinespaciado"/>
              <w:rPr>
                <w:rFonts w:ascii="Soberana Sans" w:hAnsi="Soberana Sans"/>
                <w:sz w:val="16"/>
                <w:szCs w:val="16"/>
              </w:rPr>
            </w:pPr>
            <w:r w:rsidRPr="0032204E">
              <w:rPr>
                <w:rFonts w:ascii="Soberana Sans" w:hAnsi="Soberana Sans"/>
                <w:sz w:val="16"/>
                <w:szCs w:val="16"/>
              </w:rPr>
              <w:t>Dirección General de Planeación</w:t>
            </w:r>
          </w:p>
          <w:p w14:paraId="3A0DEC69" w14:textId="77777777" w:rsidR="002F2915" w:rsidRPr="0032204E" w:rsidRDefault="002F2915" w:rsidP="002F2915">
            <w:pPr>
              <w:pStyle w:val="Sinespaciado"/>
              <w:rPr>
                <w:rFonts w:ascii="Soberana Sans" w:hAnsi="Soberana Sans"/>
                <w:sz w:val="16"/>
                <w:szCs w:val="16"/>
              </w:rPr>
            </w:pPr>
            <w:r w:rsidRPr="0032204E">
              <w:rPr>
                <w:rFonts w:ascii="Soberana Sans" w:hAnsi="Soberana Sans"/>
                <w:sz w:val="16"/>
                <w:szCs w:val="16"/>
              </w:rPr>
              <w:t>Coordinación de la Sociedad de la Información y el Conocimiento</w:t>
            </w:r>
          </w:p>
          <w:p w14:paraId="43335D5F" w14:textId="77777777" w:rsidR="002F2915" w:rsidRPr="0032204E" w:rsidRDefault="002F2915" w:rsidP="002F2915">
            <w:pPr>
              <w:pStyle w:val="Sinespaciado"/>
              <w:rPr>
                <w:rFonts w:ascii="Soberana Sans" w:hAnsi="Soberana Sans"/>
                <w:sz w:val="16"/>
                <w:szCs w:val="16"/>
              </w:rPr>
            </w:pPr>
            <w:r w:rsidRPr="0032204E">
              <w:rPr>
                <w:rFonts w:ascii="Soberana Sans" w:hAnsi="Soberana Sans"/>
                <w:sz w:val="16"/>
                <w:szCs w:val="16"/>
              </w:rPr>
              <w:t>Subsecretaría de Infraestructura</w:t>
            </w:r>
          </w:p>
          <w:p w14:paraId="2491EE90" w14:textId="77777777" w:rsidR="002F2915" w:rsidRPr="0032204E" w:rsidRDefault="002F2915" w:rsidP="002F2915">
            <w:pPr>
              <w:pStyle w:val="Sinespaciado"/>
              <w:rPr>
                <w:rFonts w:ascii="Soberana Sans" w:hAnsi="Soberana Sans"/>
                <w:sz w:val="16"/>
                <w:szCs w:val="16"/>
              </w:rPr>
            </w:pPr>
            <w:r w:rsidRPr="0032204E">
              <w:rPr>
                <w:rFonts w:ascii="Soberana Sans" w:hAnsi="Soberana Sans"/>
                <w:sz w:val="16"/>
                <w:szCs w:val="16"/>
              </w:rPr>
              <w:t>Dirección General de Desarrollo Carretero</w:t>
            </w:r>
          </w:p>
          <w:p w14:paraId="0D79D71E" w14:textId="77777777" w:rsidR="002F2915" w:rsidRPr="0032204E" w:rsidRDefault="002F2915" w:rsidP="002F2915">
            <w:pPr>
              <w:pStyle w:val="Sinespaciado"/>
              <w:rPr>
                <w:rFonts w:ascii="Soberana Sans" w:hAnsi="Soberana Sans"/>
                <w:sz w:val="16"/>
                <w:szCs w:val="16"/>
              </w:rPr>
            </w:pPr>
            <w:r w:rsidRPr="0032204E">
              <w:rPr>
                <w:rFonts w:ascii="Soberana Sans" w:hAnsi="Soberana Sans"/>
                <w:sz w:val="16"/>
                <w:szCs w:val="16"/>
              </w:rPr>
              <w:t>Subsecretaría de Transporte</w:t>
            </w:r>
          </w:p>
          <w:p w14:paraId="163E5458" w14:textId="77777777" w:rsidR="002F2915" w:rsidRPr="0032204E" w:rsidRDefault="002F2915" w:rsidP="002F2915">
            <w:pPr>
              <w:pStyle w:val="Sinespaciado"/>
              <w:rPr>
                <w:rFonts w:ascii="Soberana Sans" w:hAnsi="Soberana Sans"/>
                <w:sz w:val="16"/>
                <w:szCs w:val="16"/>
              </w:rPr>
            </w:pPr>
            <w:r w:rsidRPr="0032204E">
              <w:rPr>
                <w:rFonts w:ascii="Soberana Sans" w:hAnsi="Soberana Sans"/>
                <w:sz w:val="16"/>
                <w:szCs w:val="16"/>
              </w:rPr>
              <w:t>Dirección General de Aeronáutica Civil</w:t>
            </w:r>
          </w:p>
          <w:p w14:paraId="70368184" w14:textId="77777777" w:rsidR="002F2915" w:rsidRPr="0032204E" w:rsidRDefault="002F2915" w:rsidP="002F2915">
            <w:pPr>
              <w:pStyle w:val="Sinespaciado"/>
              <w:rPr>
                <w:rFonts w:ascii="Soberana Sans" w:hAnsi="Soberana Sans"/>
                <w:sz w:val="16"/>
                <w:szCs w:val="16"/>
              </w:rPr>
            </w:pPr>
            <w:r w:rsidRPr="0032204E">
              <w:rPr>
                <w:rFonts w:ascii="Soberana Sans" w:hAnsi="Soberana Sans"/>
                <w:sz w:val="16"/>
                <w:szCs w:val="16"/>
              </w:rPr>
              <w:t>Dirección General de Autotransporte Federal</w:t>
            </w:r>
          </w:p>
          <w:p w14:paraId="7613A514" w14:textId="77777777" w:rsidR="002F2915" w:rsidRPr="0032204E" w:rsidRDefault="002F2915" w:rsidP="002F2915">
            <w:pPr>
              <w:pStyle w:val="Sinespaciado"/>
              <w:rPr>
                <w:rFonts w:ascii="Soberana Sans" w:hAnsi="Soberana Sans"/>
                <w:sz w:val="16"/>
                <w:szCs w:val="16"/>
              </w:rPr>
            </w:pPr>
            <w:r w:rsidRPr="0032204E">
              <w:rPr>
                <w:rFonts w:ascii="Soberana Sans" w:hAnsi="Soberana Sans"/>
                <w:sz w:val="16"/>
                <w:szCs w:val="16"/>
              </w:rPr>
              <w:t>Subsecretaría de Comunicaciones</w:t>
            </w:r>
          </w:p>
          <w:p w14:paraId="6AB0E17B" w14:textId="77777777" w:rsidR="002F2915" w:rsidRPr="0032204E" w:rsidRDefault="002F2915" w:rsidP="002F2915">
            <w:pPr>
              <w:pStyle w:val="Sinespaciado"/>
              <w:rPr>
                <w:rFonts w:ascii="Soberana Sans" w:hAnsi="Soberana Sans"/>
                <w:sz w:val="16"/>
                <w:szCs w:val="16"/>
              </w:rPr>
            </w:pPr>
            <w:r w:rsidRPr="0032204E">
              <w:rPr>
                <w:rFonts w:ascii="Soberana Sans" w:hAnsi="Soberana Sans"/>
                <w:sz w:val="16"/>
                <w:szCs w:val="16"/>
              </w:rPr>
              <w:t>Dirección General de Política de Telecomunicaciones y de Radiodifusión</w:t>
            </w:r>
          </w:p>
          <w:p w14:paraId="1EC71735" w14:textId="77777777" w:rsidR="002F2915" w:rsidRPr="0032204E" w:rsidRDefault="002F2915" w:rsidP="002F2915">
            <w:pPr>
              <w:pStyle w:val="Sinespaciado"/>
              <w:rPr>
                <w:rFonts w:ascii="Soberana Sans" w:hAnsi="Soberana Sans"/>
                <w:sz w:val="16"/>
                <w:szCs w:val="16"/>
              </w:rPr>
            </w:pPr>
            <w:r w:rsidRPr="0032204E">
              <w:rPr>
                <w:rFonts w:ascii="Soberana Sans" w:hAnsi="Soberana Sans"/>
                <w:sz w:val="16"/>
                <w:szCs w:val="16"/>
              </w:rPr>
              <w:t>Unidad de la Red Privada del Gobierno Federal</w:t>
            </w:r>
          </w:p>
          <w:p w14:paraId="56D218D4" w14:textId="77777777" w:rsidR="002F2915" w:rsidRPr="0032204E" w:rsidRDefault="002F2915" w:rsidP="002F2915">
            <w:pPr>
              <w:pStyle w:val="Sinespaciado"/>
              <w:rPr>
                <w:rFonts w:ascii="Soberana Sans" w:hAnsi="Soberana Sans"/>
                <w:sz w:val="16"/>
                <w:szCs w:val="16"/>
              </w:rPr>
            </w:pPr>
            <w:r w:rsidRPr="0032204E">
              <w:rPr>
                <w:rFonts w:ascii="Soberana Sans" w:hAnsi="Soberana Sans"/>
                <w:sz w:val="16"/>
                <w:szCs w:val="16"/>
              </w:rPr>
              <w:t>Coordinación General de Puertos y Marina Mercante</w:t>
            </w:r>
          </w:p>
          <w:p w14:paraId="550F6F48" w14:textId="77777777" w:rsidR="002F2915" w:rsidRPr="0032204E" w:rsidRDefault="002F2915" w:rsidP="002F2915">
            <w:pPr>
              <w:pStyle w:val="Sinespaciado"/>
              <w:rPr>
                <w:rFonts w:ascii="Soberana Sans" w:hAnsi="Soberana Sans"/>
                <w:sz w:val="16"/>
                <w:szCs w:val="16"/>
              </w:rPr>
            </w:pPr>
            <w:r w:rsidRPr="0032204E">
              <w:rPr>
                <w:rFonts w:ascii="Soberana Sans" w:hAnsi="Soberana Sans"/>
                <w:sz w:val="16"/>
                <w:szCs w:val="16"/>
              </w:rPr>
              <w:t>Dirección General de Puertos</w:t>
            </w:r>
          </w:p>
          <w:p w14:paraId="4C2CF712" w14:textId="77777777" w:rsidR="002F2915" w:rsidRPr="0032204E" w:rsidRDefault="002F2915" w:rsidP="002F2915">
            <w:pPr>
              <w:pStyle w:val="Sinespaciado"/>
              <w:rPr>
                <w:rFonts w:ascii="Soberana Sans" w:hAnsi="Soberana Sans"/>
                <w:sz w:val="16"/>
                <w:szCs w:val="16"/>
              </w:rPr>
            </w:pPr>
            <w:r w:rsidRPr="0032204E">
              <w:rPr>
                <w:rFonts w:ascii="Soberana Sans" w:hAnsi="Soberana Sans"/>
                <w:sz w:val="16"/>
                <w:szCs w:val="16"/>
              </w:rPr>
              <w:t>Dirección General de Marina Mercante</w:t>
            </w:r>
          </w:p>
          <w:p w14:paraId="740F462D" w14:textId="77777777" w:rsidR="002F2915" w:rsidRPr="0032204E" w:rsidRDefault="002F2915" w:rsidP="002F2915">
            <w:pPr>
              <w:pStyle w:val="Sinespaciado"/>
              <w:rPr>
                <w:rFonts w:ascii="Soberana Sans" w:hAnsi="Soberana Sans"/>
                <w:sz w:val="16"/>
                <w:szCs w:val="16"/>
              </w:rPr>
            </w:pPr>
            <w:r w:rsidRPr="0032204E">
              <w:rPr>
                <w:rFonts w:ascii="Soberana Sans" w:hAnsi="Soberana Sans"/>
                <w:sz w:val="16"/>
                <w:szCs w:val="16"/>
              </w:rPr>
              <w:t>Dirección General de Fomento y Administración Portuaria</w:t>
            </w:r>
          </w:p>
          <w:p w14:paraId="090427FC" w14:textId="77777777" w:rsidR="002F2915" w:rsidRPr="0032204E" w:rsidRDefault="002F2915" w:rsidP="002F2915">
            <w:pPr>
              <w:pStyle w:val="Sinespaciado"/>
              <w:rPr>
                <w:rFonts w:ascii="Soberana Sans" w:hAnsi="Soberana Sans"/>
                <w:sz w:val="16"/>
                <w:szCs w:val="16"/>
              </w:rPr>
            </w:pPr>
            <w:r w:rsidRPr="0032204E">
              <w:rPr>
                <w:rFonts w:ascii="Soberana Sans" w:hAnsi="Soberana Sans"/>
                <w:sz w:val="16"/>
                <w:szCs w:val="16"/>
              </w:rPr>
              <w:t>Coordinación General de Centros SCT</w:t>
            </w:r>
          </w:p>
          <w:p w14:paraId="7F7E96EE" w14:textId="77777777" w:rsidR="002F2915" w:rsidRPr="0032204E" w:rsidRDefault="002F2915" w:rsidP="002F2915">
            <w:pPr>
              <w:pStyle w:val="Sinespaciado"/>
              <w:rPr>
                <w:rFonts w:ascii="Soberana Sans" w:hAnsi="Soberana Sans"/>
                <w:sz w:val="16"/>
                <w:szCs w:val="16"/>
              </w:rPr>
            </w:pPr>
            <w:r w:rsidRPr="0032204E">
              <w:rPr>
                <w:rFonts w:ascii="Soberana Sans" w:hAnsi="Soberana Sans"/>
                <w:sz w:val="16"/>
                <w:szCs w:val="16"/>
              </w:rPr>
              <w:t>Dirección General de Evaluación</w:t>
            </w:r>
          </w:p>
          <w:p w14:paraId="367124FE" w14:textId="77777777" w:rsidR="002F2915" w:rsidRPr="0032204E" w:rsidRDefault="00EA7FD9" w:rsidP="002F2915">
            <w:pPr>
              <w:pStyle w:val="Sinespaciado"/>
              <w:rPr>
                <w:rFonts w:ascii="Soberana Sans" w:hAnsi="Soberana Sans"/>
                <w:sz w:val="16"/>
                <w:szCs w:val="16"/>
              </w:rPr>
            </w:pPr>
            <w:r>
              <w:rPr>
                <w:rFonts w:ascii="Soberana Sans" w:hAnsi="Soberana Sans"/>
                <w:sz w:val="16"/>
                <w:szCs w:val="16"/>
              </w:rPr>
              <w:t xml:space="preserve">31 </w:t>
            </w:r>
            <w:r w:rsidR="002F2915" w:rsidRPr="0032204E">
              <w:rPr>
                <w:rFonts w:ascii="Soberana Sans" w:hAnsi="Soberana Sans"/>
                <w:sz w:val="16"/>
                <w:szCs w:val="16"/>
              </w:rPr>
              <w:t>Centro</w:t>
            </w:r>
            <w:r>
              <w:rPr>
                <w:rFonts w:ascii="Soberana Sans" w:hAnsi="Soberana Sans"/>
                <w:sz w:val="16"/>
                <w:szCs w:val="16"/>
              </w:rPr>
              <w:t>s</w:t>
            </w:r>
            <w:r w:rsidR="002F2915" w:rsidRPr="0032204E">
              <w:rPr>
                <w:rFonts w:ascii="Soberana Sans" w:hAnsi="Soberana Sans"/>
                <w:sz w:val="16"/>
                <w:szCs w:val="16"/>
              </w:rPr>
              <w:t xml:space="preserve"> SCT </w:t>
            </w:r>
            <w:r>
              <w:rPr>
                <w:rFonts w:ascii="Soberana Sans" w:hAnsi="Soberana Sans"/>
                <w:sz w:val="16"/>
                <w:szCs w:val="16"/>
              </w:rPr>
              <w:t>en Estados</w:t>
            </w:r>
          </w:p>
          <w:p w14:paraId="2DA4F9EB" w14:textId="77777777" w:rsidR="00F13410" w:rsidRPr="00FC7306" w:rsidRDefault="00F13410" w:rsidP="002F2915">
            <w:pPr>
              <w:spacing w:before="20" w:after="0"/>
              <w:rPr>
                <w:rFonts w:eastAsia="Times New Roman"/>
                <w:sz w:val="16"/>
                <w:szCs w:val="16"/>
                <w:lang w:val="es-MX" w:eastAsia="en-US"/>
              </w:rPr>
            </w:pPr>
          </w:p>
        </w:tc>
      </w:tr>
      <w:tr w:rsidR="00F13410" w:rsidRPr="00FC7306" w14:paraId="5D3652B5" w14:textId="77777777" w:rsidTr="009B3D9C">
        <w:tc>
          <w:tcPr>
            <w:tcW w:w="2778" w:type="dxa"/>
            <w:gridSpan w:val="3"/>
          </w:tcPr>
          <w:p w14:paraId="053750C5" w14:textId="77777777" w:rsidR="00F13410" w:rsidRPr="00107872" w:rsidRDefault="00F13410" w:rsidP="009B3D9C">
            <w:pPr>
              <w:spacing w:before="20"/>
              <w:rPr>
                <w:b/>
                <w:sz w:val="16"/>
                <w:szCs w:val="16"/>
                <w:lang w:val="es-ES"/>
              </w:rPr>
            </w:pPr>
            <w:r w:rsidRPr="00107872">
              <w:rPr>
                <w:b/>
                <w:sz w:val="16"/>
                <w:szCs w:val="16"/>
                <w:lang w:val="es-ES"/>
              </w:rPr>
              <w:t>Responsable</w:t>
            </w:r>
            <w:r w:rsidR="002F2915" w:rsidRPr="00107872">
              <w:rPr>
                <w:rStyle w:val="Refdenotaalpie"/>
                <w:b/>
                <w:sz w:val="16"/>
                <w:szCs w:val="16"/>
                <w:lang w:val="es-ES"/>
              </w:rPr>
              <w:footnoteReference w:id="5"/>
            </w:r>
            <w:r w:rsidR="00107872" w:rsidRPr="00107872">
              <w:rPr>
                <w:sz w:val="16"/>
                <w:szCs w:val="16"/>
                <w:vertAlign w:val="superscript"/>
              </w:rPr>
              <w:t>_/</w:t>
            </w:r>
            <w:r w:rsidR="008822DF" w:rsidRPr="00107872">
              <w:rPr>
                <w:b/>
                <w:sz w:val="16"/>
                <w:szCs w:val="16"/>
                <w:lang w:val="es-ES"/>
              </w:rPr>
              <w:t>:</w:t>
            </w:r>
          </w:p>
        </w:tc>
        <w:tc>
          <w:tcPr>
            <w:tcW w:w="7145" w:type="dxa"/>
            <w:gridSpan w:val="2"/>
          </w:tcPr>
          <w:p w14:paraId="36224ED0" w14:textId="77777777" w:rsidR="00F13410" w:rsidRPr="00C5742C" w:rsidRDefault="002F2915" w:rsidP="00304F3D">
            <w:pPr>
              <w:spacing w:before="20" w:after="0"/>
              <w:rPr>
                <w:rFonts w:eastAsia="Times New Roman"/>
                <w:sz w:val="16"/>
                <w:szCs w:val="16"/>
                <w:lang w:val="es-MX" w:eastAsia="en-US"/>
              </w:rPr>
            </w:pPr>
            <w:r w:rsidRPr="0032204E">
              <w:rPr>
                <w:rFonts w:eastAsia="Times New Roman"/>
                <w:sz w:val="16"/>
                <w:szCs w:val="16"/>
                <w:lang w:val="es-MX" w:eastAsia="en-US"/>
              </w:rPr>
              <w:t>Federico Domínguez Zuloaga</w:t>
            </w:r>
          </w:p>
        </w:tc>
      </w:tr>
      <w:tr w:rsidR="00F13410" w:rsidRPr="00FC7306" w14:paraId="4AF62517" w14:textId="77777777" w:rsidTr="009B3D9C">
        <w:tc>
          <w:tcPr>
            <w:tcW w:w="2778" w:type="dxa"/>
            <w:gridSpan w:val="3"/>
            <w:tcBorders>
              <w:bottom w:val="single" w:sz="4" w:space="0" w:color="auto"/>
            </w:tcBorders>
            <w:shd w:val="clear" w:color="auto" w:fill="D9D9D9" w:themeFill="background1" w:themeFillShade="D9"/>
          </w:tcPr>
          <w:p w14:paraId="080FDF18" w14:textId="77777777" w:rsidR="00F13410" w:rsidRPr="00FC7306" w:rsidRDefault="00F13410" w:rsidP="009B3D9C">
            <w:pPr>
              <w:spacing w:before="20"/>
              <w:rPr>
                <w:b/>
                <w:sz w:val="16"/>
                <w:lang w:val="es-ES"/>
              </w:rPr>
            </w:pPr>
            <w:r w:rsidRPr="00FC7306">
              <w:rPr>
                <w:b/>
                <w:sz w:val="16"/>
                <w:lang w:val="es-ES"/>
              </w:rPr>
              <w:t>Tipo de Evaluación</w:t>
            </w:r>
            <w:r w:rsidR="008822DF">
              <w:rPr>
                <w:b/>
                <w:sz w:val="16"/>
                <w:lang w:val="es-ES"/>
              </w:rPr>
              <w:t>:</w:t>
            </w:r>
          </w:p>
        </w:tc>
        <w:tc>
          <w:tcPr>
            <w:tcW w:w="7145" w:type="dxa"/>
            <w:gridSpan w:val="2"/>
            <w:tcBorders>
              <w:bottom w:val="single" w:sz="4" w:space="0" w:color="auto"/>
            </w:tcBorders>
            <w:shd w:val="clear" w:color="auto" w:fill="D9D9D9" w:themeFill="background1" w:themeFillShade="D9"/>
          </w:tcPr>
          <w:p w14:paraId="63EE606D" w14:textId="77777777" w:rsidR="00F13410" w:rsidRPr="00FC7306" w:rsidRDefault="00A55569" w:rsidP="002F2915">
            <w:pPr>
              <w:spacing w:before="20"/>
              <w:rPr>
                <w:sz w:val="16"/>
                <w:lang w:val="es-ES"/>
              </w:rPr>
            </w:pPr>
            <w:r>
              <w:rPr>
                <w:sz w:val="16"/>
                <w:lang w:val="es-ES"/>
              </w:rPr>
              <w:t xml:space="preserve">En materia de </w:t>
            </w:r>
            <w:r w:rsidR="00F13410" w:rsidRPr="00FC7306">
              <w:rPr>
                <w:sz w:val="16"/>
                <w:lang w:val="es-ES"/>
              </w:rPr>
              <w:t>Diseño</w:t>
            </w:r>
            <w:r w:rsidR="00E42064">
              <w:rPr>
                <w:sz w:val="16"/>
                <w:lang w:val="es-ES"/>
              </w:rPr>
              <w:t>, PAE 201</w:t>
            </w:r>
            <w:r w:rsidR="002F2915">
              <w:rPr>
                <w:sz w:val="16"/>
                <w:lang w:val="es-ES"/>
              </w:rPr>
              <w:t>6</w:t>
            </w:r>
          </w:p>
        </w:tc>
      </w:tr>
    </w:tbl>
    <w:p w14:paraId="5FF9C7FC" w14:textId="77777777" w:rsidR="00F13410" w:rsidRDefault="00F13410" w:rsidP="00F13410">
      <w:pPr>
        <w:rPr>
          <w:lang w:eastAsia="en-US"/>
        </w:rPr>
      </w:pPr>
    </w:p>
    <w:p w14:paraId="0C79E637" w14:textId="77777777" w:rsidR="00F13410" w:rsidRDefault="00F13410" w:rsidP="0061451A">
      <w:pPr>
        <w:pStyle w:val="Cdetextonegrita"/>
        <w:spacing w:line="250" w:lineRule="exact"/>
      </w:pPr>
      <w:r w:rsidRPr="00FC7306">
        <w:t xml:space="preserve">Descripción del </w:t>
      </w:r>
      <w:proofErr w:type="spellStart"/>
      <w:r w:rsidRPr="00FC7306">
        <w:t>P</w:t>
      </w:r>
      <w:r>
        <w:t>p</w:t>
      </w:r>
      <w:proofErr w:type="spellEnd"/>
    </w:p>
    <w:p w14:paraId="3B819363" w14:textId="77777777" w:rsidR="00330C0D" w:rsidRDefault="00330C0D" w:rsidP="00330C0D">
      <w:pPr>
        <w:pStyle w:val="Cdetexto"/>
      </w:pPr>
      <w:r w:rsidRPr="00304F3D">
        <w:t>El</w:t>
      </w:r>
      <w:r>
        <w:t xml:space="preserve"> </w:t>
      </w:r>
      <w:proofErr w:type="spellStart"/>
      <w:r w:rsidRPr="00304F3D">
        <w:t>Pp</w:t>
      </w:r>
      <w:proofErr w:type="spellEnd"/>
      <w:r>
        <w:t xml:space="preserve"> P001 </w:t>
      </w:r>
      <w:r w:rsidR="00EA7FD9">
        <w:t>h</w:t>
      </w:r>
      <w:r>
        <w:t xml:space="preserve">a operado desde 2008, pero fue en 2015 cuando se determinó necesario rediseñarlo de tal forma que hubiera una mayor integración entre las UR participantes y que también se incluyera lo referente al tema de transportes, ya que anteriormente no se consideraba dentro del Pp. Asimismo, en 2015 también se tomó la decisión de fusionar </w:t>
      </w:r>
      <w:r w:rsidR="00EA7FD9">
        <w:t xml:space="preserve">a partir del ejercicio 2016, </w:t>
      </w:r>
      <w:r>
        <w:t xml:space="preserve">el </w:t>
      </w:r>
      <w:proofErr w:type="spellStart"/>
      <w:r w:rsidR="00695D93">
        <w:t>Pp</w:t>
      </w:r>
      <w:proofErr w:type="spellEnd"/>
      <w:r w:rsidR="00695D93">
        <w:t xml:space="preserve"> </w:t>
      </w:r>
      <w:r>
        <w:t xml:space="preserve">P001 con el </w:t>
      </w:r>
      <w:proofErr w:type="spellStart"/>
      <w:r w:rsidR="00695D93">
        <w:t>Pp</w:t>
      </w:r>
      <w:proofErr w:type="spellEnd"/>
      <w:r w:rsidR="00695D93">
        <w:t xml:space="preserve"> </w:t>
      </w:r>
      <w:r>
        <w:t>G005</w:t>
      </w:r>
      <w:r w:rsidR="002375D8">
        <w:t xml:space="preserve"> Supervisión, inspección y verificación de telefonía rural</w:t>
      </w:r>
      <w:r>
        <w:t>.</w:t>
      </w:r>
    </w:p>
    <w:p w14:paraId="75001AC6" w14:textId="77777777" w:rsidR="00330C0D" w:rsidRDefault="00330C0D" w:rsidP="00330C0D">
      <w:pPr>
        <w:pStyle w:val="Cdetexto"/>
      </w:pPr>
      <w:r>
        <w:t xml:space="preserve">El diagnóstico existente contempla dos problemáticas a resolver, aunque debe hacerse notar que la redacción de los problemas no cumple con las características señaladas por la MML: </w:t>
      </w:r>
    </w:p>
    <w:p w14:paraId="201007A8" w14:textId="77777777" w:rsidR="00330C0D" w:rsidRDefault="00330C0D" w:rsidP="00647BAE">
      <w:pPr>
        <w:pStyle w:val="Cdetexto"/>
        <w:numPr>
          <w:ilvl w:val="0"/>
          <w:numId w:val="27"/>
        </w:numPr>
        <w:ind w:left="284" w:hanging="284"/>
      </w:pPr>
      <w:r>
        <w:t>“Entre los principales retos que enfrenta el sector del transporte se encuentra el de elevar la seguridad vial […]. La calidad de la infraestructura en algunos de los casos es baja, y la conectividad del país debe incrementarse. Es necesario aumentar la inversión en este sector, lo que se traducirá en mayor crecimiento y productividad, para lo cual se requiere ampliar la participación privada.</w:t>
      </w:r>
    </w:p>
    <w:p w14:paraId="220276E6" w14:textId="77777777" w:rsidR="002F2915" w:rsidRDefault="00330C0D" w:rsidP="00647BAE">
      <w:pPr>
        <w:pStyle w:val="Cdetexto"/>
        <w:numPr>
          <w:ilvl w:val="0"/>
          <w:numId w:val="27"/>
        </w:numPr>
        <w:ind w:left="284" w:hanging="284"/>
      </w:pPr>
      <w:r>
        <w:t>El acceso a los servicios en México aún es limitado para una gran parte de la población. Lo anterior afecta a los precios de los servicios de telecomunicaciones que enfrentan las empresas y la población en general”.</w:t>
      </w:r>
    </w:p>
    <w:p w14:paraId="5398183D" w14:textId="77777777" w:rsidR="002F2915" w:rsidRDefault="00330C0D" w:rsidP="002F2915">
      <w:pPr>
        <w:pStyle w:val="Cdetexto"/>
      </w:pPr>
      <w:r w:rsidRPr="00B176D3">
        <w:t xml:space="preserve">El fin del </w:t>
      </w:r>
      <w:proofErr w:type="spellStart"/>
      <w:r w:rsidRPr="00B176D3">
        <w:t>Pp</w:t>
      </w:r>
      <w:proofErr w:type="spellEnd"/>
      <w:r w:rsidRPr="00B176D3">
        <w:t xml:space="preserve"> se define como</w:t>
      </w:r>
      <w:r>
        <w:t xml:space="preserve"> </w:t>
      </w:r>
      <w:r w:rsidRPr="00AE1BFC">
        <w:t>“</w:t>
      </w:r>
      <w:r w:rsidRPr="009C66DA">
        <w:t xml:space="preserve">Contribuir a desarrollar una infraestructura de transporte y logística multimodal que genere costos competitivos, mejore la seguridad e impulse el desarrollo económico y social mediante, el desarrollo de una infraestructura y servicios de los Sectores </w:t>
      </w:r>
      <w:r w:rsidRPr="009C66DA">
        <w:lastRenderedPageBreak/>
        <w:t>Comunicaciones y Transportes que impulse la competitividad del país, mediante la coordinación estratégica de las políticas públicas en la materia y conforme a las atribuciones reglamentarias de las Subsecretarías, Coordinaciones Generales y demás unidades administrativas que conforman la SCT</w:t>
      </w:r>
      <w:r w:rsidR="009A05EB">
        <w:t xml:space="preserve"> [Secretaría de Comunicaciones y Transportes]</w:t>
      </w:r>
      <w:r w:rsidRPr="00AE1BFC">
        <w:t>”</w:t>
      </w:r>
      <w:r>
        <w:t>.</w:t>
      </w:r>
    </w:p>
    <w:p w14:paraId="0CE6CF54" w14:textId="77777777" w:rsidR="002F2915" w:rsidRDefault="00330C0D" w:rsidP="002F2915">
      <w:pPr>
        <w:pStyle w:val="Cdetexto"/>
      </w:pPr>
      <w:r w:rsidRPr="0071126D">
        <w:t xml:space="preserve">El propósito del </w:t>
      </w:r>
      <w:proofErr w:type="spellStart"/>
      <w:r w:rsidRPr="0071126D">
        <w:t>Pp</w:t>
      </w:r>
      <w:proofErr w:type="spellEnd"/>
      <w:r w:rsidRPr="0071126D">
        <w:t xml:space="preserve"> </w:t>
      </w:r>
      <w:r>
        <w:t>es “El sistema de trasporte se desarrolle de forma estratégica a través de la provisión de servicios e infraestructura que atiendan la demanda incremental anual de pasajeros y carga</w:t>
      </w:r>
      <w:r w:rsidRPr="00C30A32">
        <w:t>”</w:t>
      </w:r>
      <w:r w:rsidR="00E31D5E">
        <w:t>.</w:t>
      </w:r>
    </w:p>
    <w:p w14:paraId="0DAC83F7" w14:textId="77777777" w:rsidR="002F2915" w:rsidRDefault="00E31D5E" w:rsidP="002F2915">
      <w:pPr>
        <w:pStyle w:val="Cdetexto"/>
      </w:pPr>
      <w:r>
        <w:t>E</w:t>
      </w:r>
      <w:r w:rsidR="00330C0D" w:rsidRPr="00C30A32">
        <w:t xml:space="preserve">l diagnóstico del </w:t>
      </w:r>
      <w:proofErr w:type="spellStart"/>
      <w:r w:rsidR="00330C0D">
        <w:t>Pp</w:t>
      </w:r>
      <w:proofErr w:type="spellEnd"/>
      <w:r w:rsidR="00330C0D" w:rsidRPr="00C30A32">
        <w:t xml:space="preserve"> </w:t>
      </w:r>
      <w:r w:rsidR="00330C0D">
        <w:t xml:space="preserve">no incluye definición ni del </w:t>
      </w:r>
      <w:proofErr w:type="spellStart"/>
      <w:r w:rsidR="00330C0D">
        <w:t>AEPo</w:t>
      </w:r>
      <w:proofErr w:type="spellEnd"/>
      <w:r w:rsidR="00330C0D">
        <w:t xml:space="preserve"> ni del AEO.</w:t>
      </w:r>
    </w:p>
    <w:p w14:paraId="2E4F41EB" w14:textId="77777777" w:rsidR="0046259B" w:rsidRDefault="00BB4F1D" w:rsidP="002F2915">
      <w:pPr>
        <w:pStyle w:val="Cdetexto"/>
      </w:pPr>
      <w:r>
        <w:t xml:space="preserve">De acuerdo con el </w:t>
      </w:r>
      <w:r w:rsidR="00330C0D">
        <w:t xml:space="preserve">diagnóstico del </w:t>
      </w:r>
      <w:proofErr w:type="spellStart"/>
      <w:r w:rsidR="00330C0D">
        <w:t>Pp</w:t>
      </w:r>
      <w:proofErr w:type="spellEnd"/>
      <w:r w:rsidR="00330C0D">
        <w:t xml:space="preserve">, éste </w:t>
      </w:r>
      <w:r w:rsidR="00E31D5E">
        <w:t>se encuentra</w:t>
      </w:r>
      <w:r w:rsidR="00330C0D" w:rsidRPr="00FA2CAE">
        <w:t xml:space="preserve"> alineado a la</w:t>
      </w:r>
      <w:r w:rsidR="00330C0D">
        <w:t>s</w:t>
      </w:r>
      <w:r w:rsidR="00330C0D" w:rsidRPr="00FA2CAE">
        <w:t xml:space="preserve"> Meta</w:t>
      </w:r>
      <w:r w:rsidR="00330C0D">
        <w:t>s</w:t>
      </w:r>
      <w:r w:rsidR="00330C0D" w:rsidRPr="00FA2CAE">
        <w:t xml:space="preserve"> Nacional</w:t>
      </w:r>
      <w:r w:rsidR="00330C0D">
        <w:t>es</w:t>
      </w:r>
      <w:r w:rsidR="00330C0D" w:rsidRPr="00FA2CAE">
        <w:t xml:space="preserve"> </w:t>
      </w:r>
      <w:r w:rsidR="00330C0D">
        <w:t>III.</w:t>
      </w:r>
      <w:r w:rsidR="00330C0D" w:rsidRPr="00F81318">
        <w:t xml:space="preserve"> </w:t>
      </w:r>
      <w:r w:rsidR="00330C0D">
        <w:t xml:space="preserve">México con educación de calidad y IV. </w:t>
      </w:r>
      <w:r w:rsidR="00330C0D" w:rsidRPr="00F81318">
        <w:t>México próspero</w:t>
      </w:r>
      <w:r w:rsidR="00330C0D">
        <w:t xml:space="preserve"> </w:t>
      </w:r>
      <w:r w:rsidR="00330C0D" w:rsidRPr="00FA2CAE">
        <w:t xml:space="preserve">del </w:t>
      </w:r>
      <w:r w:rsidR="00330C0D">
        <w:t>PND y</w:t>
      </w:r>
      <w:r w:rsidR="00330C0D" w:rsidRPr="00FA2CAE">
        <w:t xml:space="preserve"> al </w:t>
      </w:r>
      <w:r w:rsidR="00330C0D">
        <w:t>Programa Sectorial de Comunicaciones y</w:t>
      </w:r>
      <w:r w:rsidR="00330C0D" w:rsidRPr="00F81318">
        <w:t xml:space="preserve"> Transportes 2013</w:t>
      </w:r>
      <w:r w:rsidR="00330C0D">
        <w:t>-</w:t>
      </w:r>
      <w:r w:rsidR="00330C0D" w:rsidRPr="00F81318">
        <w:t>2018</w:t>
      </w:r>
      <w:r w:rsidR="00330C0D">
        <w:t xml:space="preserve"> (PSCT) a través del Objetivo 1. Desarrollar una infraestructura de transporte y una logística multimodal que genere costos competitivos, mejore la seguridad e impulse el desarrollo </w:t>
      </w:r>
      <w:r w:rsidR="00330C0D" w:rsidRPr="00F81318">
        <w:t>económico y social.</w:t>
      </w:r>
    </w:p>
    <w:p w14:paraId="31A0AE23" w14:textId="77777777" w:rsidR="00F13410" w:rsidRPr="00FC7306" w:rsidRDefault="00F13410" w:rsidP="0061451A">
      <w:pPr>
        <w:pStyle w:val="Cdetextonegrita"/>
        <w:spacing w:line="250" w:lineRule="exact"/>
      </w:pPr>
      <w:r w:rsidRPr="00FC7306">
        <w:t>Principales Hallazgos</w:t>
      </w:r>
    </w:p>
    <w:p w14:paraId="7C453F6A" w14:textId="77777777" w:rsidR="00446504" w:rsidRDefault="00446504" w:rsidP="00446504">
      <w:pPr>
        <w:pStyle w:val="Cdetexto"/>
        <w:rPr>
          <w:i/>
        </w:rPr>
      </w:pPr>
      <w:r w:rsidRPr="003E79AF">
        <w:rPr>
          <w:i/>
        </w:rPr>
        <w:t>Diseño</w:t>
      </w:r>
      <w:r w:rsidR="00330C0D">
        <w:rPr>
          <w:i/>
        </w:rPr>
        <w:t>:</w:t>
      </w:r>
    </w:p>
    <w:p w14:paraId="079EC963" w14:textId="77777777" w:rsidR="00446504" w:rsidRDefault="00330C0D" w:rsidP="00446504">
      <w:pPr>
        <w:pStyle w:val="Cdetexto"/>
      </w:pPr>
      <w:r>
        <w:t xml:space="preserve">El </w:t>
      </w:r>
      <w:proofErr w:type="spellStart"/>
      <w:r>
        <w:t>Pp</w:t>
      </w:r>
      <w:proofErr w:type="spellEnd"/>
      <w:r>
        <w:t xml:space="preserve"> no </w:t>
      </w:r>
      <w:r w:rsidRPr="00F81318">
        <w:t>identifica claramente la problemática a revertir</w:t>
      </w:r>
      <w:r>
        <w:t>, ni a</w:t>
      </w:r>
      <w:r w:rsidR="009A05EB">
        <w:t xml:space="preserve"> </w:t>
      </w:r>
      <w:r>
        <w:t>l</w:t>
      </w:r>
      <w:r w:rsidR="009A05EB">
        <w:t xml:space="preserve">as </w:t>
      </w:r>
      <w:proofErr w:type="spellStart"/>
      <w:r w:rsidR="009A05EB">
        <w:t>AEPo</w:t>
      </w:r>
      <w:proofErr w:type="spellEnd"/>
      <w:r w:rsidR="009A05EB">
        <w:t xml:space="preserve"> o </w:t>
      </w:r>
      <w:r>
        <w:t>AEO.</w:t>
      </w:r>
    </w:p>
    <w:p w14:paraId="71A08273" w14:textId="77777777" w:rsidR="00446504" w:rsidRPr="00093A79" w:rsidRDefault="00446504" w:rsidP="00446504">
      <w:pPr>
        <w:pStyle w:val="Cdetexto"/>
      </w:pPr>
      <w:r w:rsidRPr="009B11E8">
        <w:rPr>
          <w:i/>
        </w:rPr>
        <w:t>Contribución a las metas y estrategias nacionales</w:t>
      </w:r>
      <w:r w:rsidR="00330C0D">
        <w:rPr>
          <w:i/>
        </w:rPr>
        <w:t>:</w:t>
      </w:r>
    </w:p>
    <w:p w14:paraId="35B96B6A" w14:textId="77777777" w:rsidR="00446504" w:rsidRPr="00C5742C" w:rsidRDefault="00330C0D" w:rsidP="00446504">
      <w:pPr>
        <w:pStyle w:val="Cdetexto"/>
      </w:pPr>
      <w:r>
        <w:t>La falta de claridad en la problemática a atender repercute en los objetivos a todos los niveles de la MIR, por lo que ésta carece de lógica vertical y horizontal haciendo que su aporte a las metas nacionales y al objetivo sectorial no sea medible.</w:t>
      </w:r>
    </w:p>
    <w:p w14:paraId="255AA23E" w14:textId="77777777" w:rsidR="00446504" w:rsidRDefault="00446504" w:rsidP="00446504">
      <w:pPr>
        <w:spacing w:line="250" w:lineRule="exact"/>
        <w:jc w:val="both"/>
        <w:rPr>
          <w:i/>
          <w:lang w:val="es-ES"/>
        </w:rPr>
      </w:pPr>
      <w:proofErr w:type="spellStart"/>
      <w:r w:rsidRPr="009B11E8">
        <w:rPr>
          <w:i/>
          <w:lang w:val="es-ES"/>
        </w:rPr>
        <w:t>PPo</w:t>
      </w:r>
      <w:proofErr w:type="spellEnd"/>
      <w:r w:rsidRPr="009B11E8">
        <w:rPr>
          <w:i/>
          <w:lang w:val="es-ES"/>
        </w:rPr>
        <w:t>, PO y mecanismos de elegibilidad</w:t>
      </w:r>
      <w:r w:rsidR="00330C0D">
        <w:rPr>
          <w:i/>
          <w:lang w:val="es-ES"/>
        </w:rPr>
        <w:t>:</w:t>
      </w:r>
    </w:p>
    <w:p w14:paraId="210EEB1C" w14:textId="77777777" w:rsidR="00330C0D" w:rsidRDefault="00BB4F1D" w:rsidP="00330C0D">
      <w:pPr>
        <w:spacing w:line="250" w:lineRule="exact"/>
        <w:jc w:val="both"/>
      </w:pPr>
      <w:r>
        <w:rPr>
          <w:lang w:eastAsia="es-MX"/>
        </w:rPr>
        <w:t>E</w:t>
      </w:r>
      <w:r w:rsidR="00330C0D">
        <w:rPr>
          <w:szCs w:val="22"/>
        </w:rPr>
        <w:t xml:space="preserve">l </w:t>
      </w:r>
      <w:proofErr w:type="spellStart"/>
      <w:r w:rsidR="00330C0D">
        <w:rPr>
          <w:szCs w:val="22"/>
        </w:rPr>
        <w:t>AEPo</w:t>
      </w:r>
      <w:proofErr w:type="spellEnd"/>
      <w:r w:rsidR="00330C0D">
        <w:rPr>
          <w:szCs w:val="22"/>
        </w:rPr>
        <w:t xml:space="preserve"> y el AEO</w:t>
      </w:r>
      <w:r>
        <w:rPr>
          <w:szCs w:val="22"/>
        </w:rPr>
        <w:t xml:space="preserve"> no se encuentran definidas, caracterizadas ni cuantificadas en documentos oficiales</w:t>
      </w:r>
      <w:r w:rsidR="00330C0D">
        <w:rPr>
          <w:szCs w:val="22"/>
        </w:rPr>
        <w:t xml:space="preserve">. Para la realización de la evaluación se consideraron a las </w:t>
      </w:r>
      <w:r w:rsidR="00330C0D">
        <w:t xml:space="preserve">51 UR que </w:t>
      </w:r>
      <w:r>
        <w:t xml:space="preserve">operan el </w:t>
      </w:r>
      <w:proofErr w:type="spellStart"/>
      <w:r w:rsidR="00330C0D">
        <w:t>Pp</w:t>
      </w:r>
      <w:proofErr w:type="spellEnd"/>
      <w:r w:rsidR="00330C0D">
        <w:t xml:space="preserve"> como AEO.</w:t>
      </w:r>
    </w:p>
    <w:p w14:paraId="545E48B1" w14:textId="77777777" w:rsidR="00446504" w:rsidRPr="00330C0D" w:rsidRDefault="00330C0D" w:rsidP="00330C0D">
      <w:pPr>
        <w:spacing w:line="250" w:lineRule="exact"/>
        <w:jc w:val="both"/>
      </w:pPr>
      <w:r>
        <w:t>Con base en lo anterior, no se cuenta con una estrategia de cobertura.</w:t>
      </w:r>
    </w:p>
    <w:p w14:paraId="40179EFE" w14:textId="77777777" w:rsidR="00446504" w:rsidRPr="0087217E" w:rsidRDefault="00446504" w:rsidP="00446504">
      <w:pPr>
        <w:spacing w:line="250" w:lineRule="exact"/>
        <w:jc w:val="both"/>
        <w:rPr>
          <w:rFonts w:eastAsia="Times New Roman" w:cs="Arial"/>
          <w:szCs w:val="20"/>
          <w:lang w:val="es-ES"/>
        </w:rPr>
      </w:pPr>
      <w:r w:rsidRPr="0087217E">
        <w:rPr>
          <w:i/>
          <w:lang w:val="es-ES"/>
        </w:rPr>
        <w:t>MIR</w:t>
      </w:r>
      <w:r w:rsidR="00330C0D">
        <w:rPr>
          <w:i/>
          <w:lang w:val="es-ES"/>
        </w:rPr>
        <w:t>:</w:t>
      </w:r>
    </w:p>
    <w:p w14:paraId="653B574E" w14:textId="77777777" w:rsidR="00330C0D" w:rsidRDefault="00330C0D" w:rsidP="00330C0D">
      <w:pPr>
        <w:pStyle w:val="Cdetexto"/>
      </w:pPr>
      <w:r>
        <w:t xml:space="preserve">El objetivo a nivel fin del </w:t>
      </w:r>
      <w:proofErr w:type="spellStart"/>
      <w:r>
        <w:t>Pp</w:t>
      </w:r>
      <w:proofErr w:type="spellEnd"/>
      <w:r>
        <w:t xml:space="preserve"> debería alinearse únicamente a la Meta Nacional IV. México Próspero, pues es donde mayor impacto podría tener.</w:t>
      </w:r>
    </w:p>
    <w:p w14:paraId="30912DCB" w14:textId="77777777" w:rsidR="00446504" w:rsidRDefault="00330C0D" w:rsidP="00330C0D">
      <w:pPr>
        <w:pStyle w:val="Cdetexto"/>
      </w:pPr>
      <w:r>
        <w:t xml:space="preserve">El objetivo a nivel propósito solo está enfocado al sector Transportes </w:t>
      </w:r>
      <w:r w:rsidR="00BB4F1D">
        <w:t>y no considera</w:t>
      </w:r>
      <w:r>
        <w:t xml:space="preserve"> las demás áreas de acción del Pp.</w:t>
      </w:r>
    </w:p>
    <w:p w14:paraId="4C969226" w14:textId="77777777" w:rsidR="00446504" w:rsidRPr="000E50B6" w:rsidRDefault="00446504" w:rsidP="00446504">
      <w:pPr>
        <w:spacing w:line="250" w:lineRule="exact"/>
        <w:jc w:val="both"/>
        <w:rPr>
          <w:i/>
          <w:lang w:val="es-ES"/>
        </w:rPr>
      </w:pPr>
      <w:r w:rsidRPr="000E50B6">
        <w:rPr>
          <w:i/>
          <w:lang w:val="es-ES"/>
        </w:rPr>
        <w:t>Complementariedad</w:t>
      </w:r>
      <w:r>
        <w:rPr>
          <w:i/>
          <w:lang w:val="es-ES"/>
        </w:rPr>
        <w:t xml:space="preserve">es y coincidencias con otros </w:t>
      </w:r>
      <w:proofErr w:type="spellStart"/>
      <w:r>
        <w:rPr>
          <w:i/>
          <w:lang w:val="es-ES"/>
        </w:rPr>
        <w:t>Pp</w:t>
      </w:r>
      <w:proofErr w:type="spellEnd"/>
      <w:r w:rsidR="00330C0D">
        <w:rPr>
          <w:i/>
          <w:lang w:val="es-ES"/>
        </w:rPr>
        <w:t>:</w:t>
      </w:r>
    </w:p>
    <w:p w14:paraId="477187A2" w14:textId="77777777" w:rsidR="008216DB" w:rsidRPr="0087217E" w:rsidRDefault="00330C0D" w:rsidP="00446504">
      <w:pPr>
        <w:pStyle w:val="Cdetexto"/>
      </w:pPr>
      <w:r>
        <w:t xml:space="preserve">Se consideró que el </w:t>
      </w:r>
      <w:proofErr w:type="spellStart"/>
      <w:r w:rsidRPr="00F84E54">
        <w:t>Pp</w:t>
      </w:r>
      <w:proofErr w:type="spellEnd"/>
      <w:r w:rsidRPr="00F84E54">
        <w:t xml:space="preserve"> M001 </w:t>
      </w:r>
      <w:r>
        <w:t xml:space="preserve">es un programa complementario, en virtud de que atiende a la misma AEO (las 51 UR que reciben recursos del </w:t>
      </w:r>
      <w:proofErr w:type="spellStart"/>
      <w:r>
        <w:t>Pp</w:t>
      </w:r>
      <w:proofErr w:type="spellEnd"/>
      <w:r>
        <w:t xml:space="preserve"> P001) y está vinculado a las mismas funciones y </w:t>
      </w:r>
      <w:proofErr w:type="spellStart"/>
      <w:r>
        <w:t>subfunciones</w:t>
      </w:r>
      <w:proofErr w:type="spellEnd"/>
      <w:r>
        <w:t>.</w:t>
      </w:r>
    </w:p>
    <w:p w14:paraId="696D24CC" w14:textId="77777777" w:rsidR="00B471A8" w:rsidRDefault="00B471A8" w:rsidP="00B471A8">
      <w:pPr>
        <w:pStyle w:val="Cdetextonegrita"/>
        <w:spacing w:line="250" w:lineRule="exact"/>
      </w:pPr>
      <w:r>
        <w:t>Principales Recomendaciones</w:t>
      </w:r>
    </w:p>
    <w:p w14:paraId="1B2982E0" w14:textId="77777777" w:rsidR="00330C0D" w:rsidRDefault="00330C0D" w:rsidP="00330C0D">
      <w:pPr>
        <w:pStyle w:val="Bala"/>
        <w:numPr>
          <w:ilvl w:val="0"/>
          <w:numId w:val="16"/>
        </w:numPr>
        <w:ind w:left="357" w:hanging="357"/>
      </w:pPr>
      <w:r>
        <w:t>Replantear la definición del problema y reformular los árboles del problema y el de objetivos.</w:t>
      </w:r>
    </w:p>
    <w:p w14:paraId="228E79E8" w14:textId="77777777" w:rsidR="00330C0D" w:rsidRDefault="00330C0D" w:rsidP="00330C0D">
      <w:pPr>
        <w:pStyle w:val="Bala"/>
        <w:numPr>
          <w:ilvl w:val="0"/>
          <w:numId w:val="16"/>
        </w:numPr>
        <w:ind w:left="357" w:hanging="357"/>
      </w:pPr>
      <w:r>
        <w:t>Establecer el AEO</w:t>
      </w:r>
      <w:r w:rsidR="00187E08">
        <w:t xml:space="preserve"> dentro de documentos oficiales</w:t>
      </w:r>
      <w:r>
        <w:t xml:space="preserve">, </w:t>
      </w:r>
      <w:r w:rsidR="00187E08">
        <w:t xml:space="preserve">misma </w:t>
      </w:r>
      <w:r>
        <w:t xml:space="preserve">que </w:t>
      </w:r>
      <w:r w:rsidR="00187E08">
        <w:t xml:space="preserve">representan </w:t>
      </w:r>
      <w:r>
        <w:t xml:space="preserve">las 51 UR que </w:t>
      </w:r>
      <w:r w:rsidR="00187E08">
        <w:t xml:space="preserve">operan </w:t>
      </w:r>
      <w:r>
        <w:t xml:space="preserve">el </w:t>
      </w:r>
      <w:proofErr w:type="spellStart"/>
      <w:r>
        <w:t>Pp</w:t>
      </w:r>
      <w:proofErr w:type="spellEnd"/>
      <w:r>
        <w:t xml:space="preserve"> y que son coordinadas por las Subsecretarías y Coordinaciones Generales de la SCT.</w:t>
      </w:r>
    </w:p>
    <w:p w14:paraId="4EE78B67" w14:textId="77777777" w:rsidR="00330C0D" w:rsidRDefault="00330C0D" w:rsidP="00330C0D">
      <w:pPr>
        <w:pStyle w:val="Bala"/>
        <w:numPr>
          <w:ilvl w:val="0"/>
          <w:numId w:val="16"/>
        </w:numPr>
        <w:ind w:left="357" w:hanging="357"/>
      </w:pPr>
      <w:r>
        <w:lastRenderedPageBreak/>
        <w:t>Replantear el diseño de los indicadores para que sean consistentes con el replanteamiento de los distintos niveles de la MIR.</w:t>
      </w:r>
    </w:p>
    <w:p w14:paraId="23DBCB42" w14:textId="77777777" w:rsidR="00AC0C13" w:rsidRPr="0087217E" w:rsidRDefault="00AC0C13" w:rsidP="007D1DD5">
      <w:pPr>
        <w:pStyle w:val="Bala"/>
        <w:spacing w:line="250" w:lineRule="exact"/>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F13410" w:rsidRPr="00FC7306" w14:paraId="25BB465E" w14:textId="77777777" w:rsidTr="006B532E">
        <w:trPr>
          <w:trHeight w:val="675"/>
        </w:trPr>
        <w:tc>
          <w:tcPr>
            <w:tcW w:w="749" w:type="pct"/>
            <w:vAlign w:val="center"/>
          </w:tcPr>
          <w:p w14:paraId="4211587A" w14:textId="77777777" w:rsidR="00F13410" w:rsidRPr="00FC7306" w:rsidRDefault="00F13410" w:rsidP="006B532E">
            <w:pPr>
              <w:spacing w:before="20" w:after="0"/>
              <w:ind w:left="170"/>
              <w:rPr>
                <w:b/>
                <w:sz w:val="16"/>
                <w:lang w:val="es-ES"/>
              </w:rPr>
            </w:pPr>
            <w:r w:rsidRPr="00FC7306">
              <w:rPr>
                <w:b/>
                <w:sz w:val="16"/>
                <w:lang w:val="es-ES"/>
              </w:rPr>
              <w:t>Evaluador Externo</w:t>
            </w:r>
            <w:r w:rsidR="008822DF">
              <w:rPr>
                <w:b/>
                <w:sz w:val="16"/>
                <w:lang w:val="es-ES"/>
              </w:rPr>
              <w:t>:</w:t>
            </w:r>
          </w:p>
        </w:tc>
        <w:tc>
          <w:tcPr>
            <w:tcW w:w="4251" w:type="pct"/>
            <w:gridSpan w:val="3"/>
            <w:vAlign w:val="center"/>
          </w:tcPr>
          <w:p w14:paraId="2E7C0E52" w14:textId="77777777" w:rsidR="00446504" w:rsidRPr="00446504" w:rsidRDefault="00446504" w:rsidP="00446504">
            <w:pPr>
              <w:spacing w:before="20" w:after="0"/>
              <w:ind w:left="113"/>
              <w:rPr>
                <w:sz w:val="16"/>
                <w:lang w:val="es-ES"/>
              </w:rPr>
            </w:pPr>
            <w:r w:rsidRPr="00446504">
              <w:rPr>
                <w:sz w:val="16"/>
                <w:lang w:val="es-ES"/>
              </w:rPr>
              <w:t xml:space="preserve">1. Instancia Evaluadora: Instituto de Investigaciones Sociales de la </w:t>
            </w:r>
            <w:r w:rsidR="004C77BC">
              <w:rPr>
                <w:sz w:val="16"/>
                <w:lang w:val="es-ES"/>
              </w:rPr>
              <w:t>UNAM</w:t>
            </w:r>
          </w:p>
          <w:p w14:paraId="683E3CFF" w14:textId="77777777" w:rsidR="00446504" w:rsidRPr="00446504" w:rsidRDefault="00446504" w:rsidP="00446504">
            <w:pPr>
              <w:spacing w:before="20" w:after="0"/>
              <w:ind w:left="113"/>
              <w:rPr>
                <w:sz w:val="16"/>
                <w:lang w:val="es-ES"/>
              </w:rPr>
            </w:pPr>
            <w:r w:rsidRPr="00446504">
              <w:rPr>
                <w:sz w:val="16"/>
                <w:lang w:val="es-ES"/>
              </w:rPr>
              <w:t>2. Coordinador de la Evaluación: Carlos López Alanís</w:t>
            </w:r>
          </w:p>
          <w:p w14:paraId="36B70157" w14:textId="77777777" w:rsidR="00F13410" w:rsidRPr="001D5EDD" w:rsidRDefault="00446504" w:rsidP="00446504">
            <w:pPr>
              <w:spacing w:before="20" w:after="0"/>
              <w:ind w:left="113"/>
              <w:rPr>
                <w:sz w:val="16"/>
                <w:lang w:val="es-ES"/>
              </w:rPr>
            </w:pPr>
            <w:r w:rsidRPr="00446504">
              <w:rPr>
                <w:sz w:val="16"/>
                <w:lang w:val="es-ES"/>
              </w:rPr>
              <w:t>3. Forma de contratación: Adjudicación Directa</w:t>
            </w:r>
          </w:p>
        </w:tc>
      </w:tr>
      <w:tr w:rsidR="00785282" w:rsidRPr="00FC7306" w14:paraId="57B14DD8" w14:textId="77777777" w:rsidTr="00785282">
        <w:trPr>
          <w:trHeight w:val="80"/>
        </w:trPr>
        <w:tc>
          <w:tcPr>
            <w:tcW w:w="749" w:type="pct"/>
            <w:vAlign w:val="center"/>
          </w:tcPr>
          <w:p w14:paraId="1C873CDF" w14:textId="77777777" w:rsidR="00785282" w:rsidRPr="00FC7306" w:rsidRDefault="00785282" w:rsidP="006B532E">
            <w:pPr>
              <w:spacing w:before="20" w:after="0"/>
              <w:ind w:left="170"/>
              <w:rPr>
                <w:b/>
                <w:sz w:val="16"/>
                <w:lang w:val="es-ES"/>
              </w:rPr>
            </w:pPr>
          </w:p>
        </w:tc>
        <w:tc>
          <w:tcPr>
            <w:tcW w:w="4251" w:type="pct"/>
            <w:gridSpan w:val="3"/>
            <w:vAlign w:val="center"/>
          </w:tcPr>
          <w:p w14:paraId="0B36FDBF" w14:textId="77777777" w:rsidR="00785282" w:rsidRPr="001D5EDD" w:rsidRDefault="00785282" w:rsidP="006B532E">
            <w:pPr>
              <w:spacing w:before="20" w:after="0"/>
              <w:ind w:left="113"/>
              <w:rPr>
                <w:sz w:val="16"/>
                <w:lang w:val="es-ES"/>
              </w:rPr>
            </w:pPr>
          </w:p>
        </w:tc>
      </w:tr>
      <w:tr w:rsidR="00F13410" w:rsidRPr="00FC7306" w14:paraId="617B6625" w14:textId="77777777" w:rsidTr="006B532E">
        <w:tc>
          <w:tcPr>
            <w:tcW w:w="749" w:type="pct"/>
            <w:vAlign w:val="center"/>
          </w:tcPr>
          <w:p w14:paraId="48043FEB" w14:textId="77777777" w:rsidR="00F13410" w:rsidRPr="00FC7306" w:rsidRDefault="00F13410" w:rsidP="006B532E">
            <w:pPr>
              <w:spacing w:before="20" w:after="0"/>
              <w:ind w:left="170"/>
              <w:rPr>
                <w:b/>
                <w:sz w:val="16"/>
                <w:lang w:val="es-ES"/>
              </w:rPr>
            </w:pPr>
            <w:r w:rsidRPr="00FC7306">
              <w:rPr>
                <w:b/>
                <w:sz w:val="16"/>
                <w:lang w:val="es-ES"/>
              </w:rPr>
              <w:t>Costo:</w:t>
            </w:r>
          </w:p>
        </w:tc>
        <w:tc>
          <w:tcPr>
            <w:tcW w:w="1113" w:type="pct"/>
            <w:vAlign w:val="center"/>
          </w:tcPr>
          <w:p w14:paraId="6614FC27" w14:textId="77777777" w:rsidR="00F13410" w:rsidRPr="007620E8" w:rsidRDefault="005F6996" w:rsidP="004C77BC">
            <w:pPr>
              <w:spacing w:before="20" w:after="0"/>
              <w:ind w:left="113"/>
              <w:rPr>
                <w:sz w:val="16"/>
                <w:highlight w:val="yellow"/>
                <w:lang w:val="es-ES"/>
              </w:rPr>
            </w:pPr>
            <w:r>
              <w:rPr>
                <w:sz w:val="16"/>
                <w:lang w:val="es-ES"/>
              </w:rPr>
              <w:t>$</w:t>
            </w:r>
            <w:r w:rsidR="004C77BC">
              <w:rPr>
                <w:sz w:val="16"/>
                <w:lang w:val="es-ES"/>
              </w:rPr>
              <w:t>4</w:t>
            </w:r>
            <w:r w:rsidR="00A37C43">
              <w:rPr>
                <w:sz w:val="16"/>
                <w:lang w:val="es-ES"/>
              </w:rPr>
              <w:t>3</w:t>
            </w:r>
            <w:r>
              <w:rPr>
                <w:sz w:val="16"/>
                <w:lang w:val="es-ES"/>
              </w:rPr>
              <w:t>0</w:t>
            </w:r>
            <w:r w:rsidR="00A37C43">
              <w:rPr>
                <w:sz w:val="16"/>
                <w:lang w:val="es-ES"/>
              </w:rPr>
              <w:t>,000</w:t>
            </w:r>
            <w:r w:rsidR="00CC1800">
              <w:rPr>
                <w:sz w:val="16"/>
                <w:lang w:val="es-ES"/>
              </w:rPr>
              <w:t>.</w:t>
            </w:r>
            <w:r w:rsidR="00CC1800" w:rsidRPr="00C77C51">
              <w:rPr>
                <w:sz w:val="16"/>
                <w:lang w:val="es-ES"/>
              </w:rPr>
              <w:t>00</w:t>
            </w:r>
            <w:r w:rsidR="00A37C43" w:rsidRPr="00C77C51">
              <w:rPr>
                <w:sz w:val="16"/>
                <w:lang w:val="es-ES"/>
              </w:rPr>
              <w:t xml:space="preserve"> </w:t>
            </w:r>
            <w:r w:rsidR="004C77BC" w:rsidRPr="00C77C51">
              <w:rPr>
                <w:sz w:val="16"/>
                <w:lang w:val="es-ES"/>
              </w:rPr>
              <w:t>No genera IVA</w:t>
            </w:r>
          </w:p>
        </w:tc>
        <w:tc>
          <w:tcPr>
            <w:tcW w:w="904" w:type="pct"/>
            <w:vAlign w:val="center"/>
          </w:tcPr>
          <w:p w14:paraId="4E1A3F94" w14:textId="77777777" w:rsidR="00F13410" w:rsidRPr="00FC7306" w:rsidRDefault="00870459" w:rsidP="006B532E">
            <w:pPr>
              <w:spacing w:before="20" w:after="0"/>
              <w:ind w:left="170"/>
              <w:rPr>
                <w:b/>
                <w:sz w:val="16"/>
                <w:lang w:val="es-ES"/>
              </w:rPr>
            </w:pPr>
            <w:r>
              <w:rPr>
                <w:b/>
                <w:sz w:val="16"/>
                <w:lang w:val="es-ES"/>
              </w:rPr>
              <w:t>Fuente de Financiamiento:</w:t>
            </w:r>
            <w:r w:rsidR="00F13410" w:rsidRPr="00FC7306">
              <w:rPr>
                <w:b/>
                <w:sz w:val="16"/>
                <w:lang w:val="es-ES"/>
              </w:rPr>
              <w:t xml:space="preserve"> </w:t>
            </w:r>
          </w:p>
        </w:tc>
        <w:tc>
          <w:tcPr>
            <w:tcW w:w="2234" w:type="pct"/>
            <w:vAlign w:val="center"/>
          </w:tcPr>
          <w:p w14:paraId="600601AE" w14:textId="77777777" w:rsidR="00F13410" w:rsidRPr="00FC7306" w:rsidRDefault="00F13410" w:rsidP="006B532E">
            <w:pPr>
              <w:spacing w:before="20" w:after="0"/>
              <w:rPr>
                <w:sz w:val="16"/>
                <w:highlight w:val="yellow"/>
                <w:lang w:val="es-ES"/>
              </w:rPr>
            </w:pPr>
            <w:r w:rsidRPr="00FC7306">
              <w:rPr>
                <w:sz w:val="16"/>
                <w:lang w:val="es-ES"/>
              </w:rPr>
              <w:t>Recursos Fiscales</w:t>
            </w:r>
          </w:p>
        </w:tc>
      </w:tr>
      <w:tr w:rsidR="00F13410" w:rsidRPr="00FC7306" w14:paraId="6B74B753" w14:textId="77777777" w:rsidTr="00A37C43">
        <w:trPr>
          <w:trHeight w:val="521"/>
        </w:trPr>
        <w:tc>
          <w:tcPr>
            <w:tcW w:w="749" w:type="pct"/>
            <w:tcBorders>
              <w:bottom w:val="single" w:sz="4" w:space="0" w:color="auto"/>
            </w:tcBorders>
            <w:vAlign w:val="center"/>
          </w:tcPr>
          <w:p w14:paraId="560A95E5" w14:textId="77777777" w:rsidR="00AC0C13" w:rsidRPr="00FC7306" w:rsidRDefault="00F13410" w:rsidP="00A37C43">
            <w:pPr>
              <w:pStyle w:val="Textocuadroneg1"/>
              <w:rPr>
                <w:sz w:val="16"/>
                <w:szCs w:val="16"/>
              </w:rPr>
            </w:pPr>
            <w:r w:rsidRPr="00FC7306">
              <w:rPr>
                <w:sz w:val="16"/>
                <w:szCs w:val="16"/>
              </w:rPr>
              <w:t>Coordinación de la Evaluación</w:t>
            </w:r>
            <w:r w:rsidR="008822DF">
              <w:rPr>
                <w:sz w:val="16"/>
                <w:szCs w:val="16"/>
              </w:rPr>
              <w:t>:</w:t>
            </w:r>
          </w:p>
        </w:tc>
        <w:tc>
          <w:tcPr>
            <w:tcW w:w="1113" w:type="pct"/>
            <w:tcBorders>
              <w:bottom w:val="single" w:sz="4" w:space="0" w:color="auto"/>
            </w:tcBorders>
            <w:vAlign w:val="center"/>
          </w:tcPr>
          <w:p w14:paraId="6F256714" w14:textId="77777777" w:rsidR="00F13410" w:rsidRPr="00FC7306" w:rsidRDefault="00A37C43" w:rsidP="006B532E">
            <w:pPr>
              <w:pStyle w:val="Cdetexto"/>
              <w:spacing w:after="0"/>
              <w:jc w:val="center"/>
              <w:rPr>
                <w:sz w:val="14"/>
                <w:szCs w:val="14"/>
              </w:rPr>
            </w:pPr>
            <w:r w:rsidRPr="00513F21">
              <w:rPr>
                <w:sz w:val="16"/>
                <w:szCs w:val="14"/>
              </w:rPr>
              <w:t>SHCP</w:t>
            </w:r>
          </w:p>
        </w:tc>
        <w:tc>
          <w:tcPr>
            <w:tcW w:w="904" w:type="pct"/>
            <w:tcBorders>
              <w:bottom w:val="single" w:sz="4" w:space="0" w:color="auto"/>
            </w:tcBorders>
            <w:vAlign w:val="center"/>
          </w:tcPr>
          <w:p w14:paraId="08F051E5" w14:textId="77777777" w:rsidR="00F13410" w:rsidRPr="00FC7306" w:rsidRDefault="00F13410" w:rsidP="006B532E">
            <w:pPr>
              <w:pStyle w:val="Textocuadroneg1"/>
              <w:rPr>
                <w:sz w:val="16"/>
                <w:szCs w:val="16"/>
              </w:rPr>
            </w:pPr>
            <w:r w:rsidRPr="00FC7306">
              <w:rPr>
                <w:sz w:val="16"/>
                <w:szCs w:val="16"/>
              </w:rPr>
              <w:t>Informe completo</w:t>
            </w:r>
            <w:r w:rsidR="008822DF">
              <w:rPr>
                <w:sz w:val="16"/>
                <w:szCs w:val="16"/>
              </w:rPr>
              <w:t>:</w:t>
            </w:r>
          </w:p>
        </w:tc>
        <w:tc>
          <w:tcPr>
            <w:tcW w:w="2234" w:type="pct"/>
            <w:tcBorders>
              <w:bottom w:val="single" w:sz="4" w:space="0" w:color="auto"/>
            </w:tcBorders>
            <w:vAlign w:val="center"/>
          </w:tcPr>
          <w:p w14:paraId="068279C3" w14:textId="77777777" w:rsidR="00A37C43" w:rsidRPr="00FC7306" w:rsidRDefault="00A37C43" w:rsidP="00A37C43">
            <w:pPr>
              <w:pStyle w:val="Textocuadro1"/>
              <w:rPr>
                <w:sz w:val="16"/>
                <w:szCs w:val="16"/>
              </w:rPr>
            </w:pPr>
            <w:r w:rsidRPr="00FC7306">
              <w:rPr>
                <w:sz w:val="16"/>
                <w:szCs w:val="16"/>
              </w:rPr>
              <w:t>Disponible en:</w:t>
            </w:r>
          </w:p>
          <w:p w14:paraId="5685F0D3" w14:textId="77777777" w:rsidR="00543153" w:rsidRPr="00FC7306" w:rsidRDefault="00A37C43" w:rsidP="00A37C43">
            <w:pPr>
              <w:pStyle w:val="Textocuadro1"/>
              <w:rPr>
                <w:sz w:val="16"/>
                <w:szCs w:val="16"/>
              </w:rPr>
            </w:pPr>
            <w:r w:rsidRPr="00FC7306">
              <w:rPr>
                <w:sz w:val="16"/>
                <w:szCs w:val="16"/>
              </w:rPr>
              <w:t>http://www.transparenciapresupuestaria.gob.mx/</w:t>
            </w:r>
          </w:p>
        </w:tc>
      </w:tr>
    </w:tbl>
    <w:p w14:paraId="77A9E1D6" w14:textId="77777777" w:rsidR="009079D2" w:rsidRPr="009079D2" w:rsidRDefault="009079D2" w:rsidP="009079D2">
      <w:pPr>
        <w:spacing w:before="120"/>
        <w:contextualSpacing/>
        <w:rPr>
          <w:szCs w:val="22"/>
          <w:lang w:val="es-MX"/>
        </w:rPr>
      </w:pPr>
    </w:p>
    <w:tbl>
      <w:tblPr>
        <w:tblStyle w:val="Tablaconcuadrcula3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AC0C13" w:rsidRPr="006C2077" w14:paraId="67F6FE48" w14:textId="77777777" w:rsidTr="00AC0C13">
        <w:trPr>
          <w:trHeight w:val="435"/>
        </w:trPr>
        <w:tc>
          <w:tcPr>
            <w:tcW w:w="9923" w:type="dxa"/>
            <w:gridSpan w:val="5"/>
            <w:shd w:val="clear" w:color="auto" w:fill="D6E3BC" w:themeFill="accent3" w:themeFillTint="66"/>
            <w:vAlign w:val="center"/>
          </w:tcPr>
          <w:p w14:paraId="4B49C428" w14:textId="77777777" w:rsidR="00AC0C13" w:rsidRPr="006C2077" w:rsidRDefault="00AC0C13" w:rsidP="00F979EA">
            <w:pPr>
              <w:pStyle w:val="CABEZA"/>
              <w:ind w:left="0"/>
              <w:rPr>
                <w:lang w:val="es-MX"/>
              </w:rPr>
            </w:pPr>
            <w:r>
              <w:rPr>
                <w:lang w:val="es-MX"/>
              </w:rPr>
              <w:br w:type="page"/>
              <w:t xml:space="preserve">Ramo </w:t>
            </w:r>
            <w:r w:rsidR="00530B5B">
              <w:rPr>
                <w:lang w:val="es-MX"/>
              </w:rPr>
              <w:t>1</w:t>
            </w:r>
            <w:r w:rsidR="00F979EA">
              <w:rPr>
                <w:lang w:val="es-MX"/>
              </w:rPr>
              <w:t>1</w:t>
            </w:r>
            <w:r w:rsidRPr="006C2077">
              <w:rPr>
                <w:lang w:val="es-MX"/>
              </w:rPr>
              <w:t>.</w:t>
            </w:r>
            <w:r w:rsidR="0078633A">
              <w:rPr>
                <w:lang w:val="es-MX"/>
              </w:rPr>
              <w:t xml:space="preserve"> </w:t>
            </w:r>
            <w:r w:rsidR="00F979EA" w:rsidRPr="004E3825">
              <w:rPr>
                <w:lang w:val="es-MX"/>
              </w:rPr>
              <w:t>Educación Pública</w:t>
            </w:r>
          </w:p>
        </w:tc>
      </w:tr>
      <w:tr w:rsidR="00AC0C13" w:rsidRPr="00FC7306" w14:paraId="66A10A8A" w14:textId="77777777" w:rsidTr="00AC0C13">
        <w:tc>
          <w:tcPr>
            <w:tcW w:w="1359" w:type="dxa"/>
            <w:shd w:val="clear" w:color="auto" w:fill="D9D9D9" w:themeFill="background1" w:themeFillShade="D9"/>
          </w:tcPr>
          <w:p w14:paraId="09860280" w14:textId="77777777" w:rsidR="00AC0C13" w:rsidRPr="00FC7306" w:rsidRDefault="00AC0C13" w:rsidP="00AC0C13">
            <w:pPr>
              <w:spacing w:before="20"/>
              <w:rPr>
                <w:b/>
                <w:sz w:val="16"/>
                <w:lang w:val="es-ES"/>
              </w:rPr>
            </w:pPr>
            <w:r w:rsidRPr="00FC7306">
              <w:rPr>
                <w:b/>
                <w:sz w:val="16"/>
                <w:lang w:val="es-ES"/>
              </w:rPr>
              <w:t xml:space="preserve">Clave del </w:t>
            </w:r>
            <w:proofErr w:type="spellStart"/>
            <w:r w:rsidRPr="00FC7306">
              <w:rPr>
                <w:b/>
                <w:sz w:val="16"/>
                <w:lang w:val="es-ES"/>
              </w:rPr>
              <w:t>Pp</w:t>
            </w:r>
            <w:proofErr w:type="spellEnd"/>
            <w:r w:rsidRPr="00FC7306">
              <w:rPr>
                <w:b/>
                <w:sz w:val="16"/>
                <w:lang w:val="es-ES"/>
              </w:rPr>
              <w:t>:</w:t>
            </w:r>
          </w:p>
        </w:tc>
        <w:tc>
          <w:tcPr>
            <w:tcW w:w="734" w:type="dxa"/>
            <w:shd w:val="clear" w:color="auto" w:fill="D9D9D9" w:themeFill="background1" w:themeFillShade="D9"/>
          </w:tcPr>
          <w:p w14:paraId="751AA304" w14:textId="77777777" w:rsidR="00AC0C13" w:rsidRPr="00FC7306" w:rsidRDefault="00F979EA" w:rsidP="00F979EA">
            <w:pPr>
              <w:contextualSpacing/>
              <w:rPr>
                <w:sz w:val="16"/>
                <w:szCs w:val="16"/>
                <w:lang w:val="es-ES" w:eastAsia="en-US"/>
              </w:rPr>
            </w:pPr>
            <w:r>
              <w:rPr>
                <w:sz w:val="16"/>
                <w:szCs w:val="16"/>
                <w:lang w:val="es-ES" w:eastAsia="en-US"/>
              </w:rPr>
              <w:t>G</w:t>
            </w:r>
            <w:r w:rsidR="00530B5B">
              <w:rPr>
                <w:sz w:val="16"/>
                <w:szCs w:val="16"/>
                <w:lang w:val="es-ES" w:eastAsia="en-US"/>
              </w:rPr>
              <w:t>00</w:t>
            </w:r>
            <w:r>
              <w:rPr>
                <w:sz w:val="16"/>
                <w:szCs w:val="16"/>
                <w:lang w:val="es-ES" w:eastAsia="en-US"/>
              </w:rPr>
              <w:t>1</w:t>
            </w:r>
          </w:p>
        </w:tc>
        <w:tc>
          <w:tcPr>
            <w:tcW w:w="1701" w:type="dxa"/>
            <w:gridSpan w:val="2"/>
            <w:shd w:val="clear" w:color="auto" w:fill="D9D9D9" w:themeFill="background1" w:themeFillShade="D9"/>
          </w:tcPr>
          <w:p w14:paraId="19ECCB57" w14:textId="77777777" w:rsidR="00AC0C13" w:rsidRPr="00FC7306" w:rsidRDefault="00AC0C13" w:rsidP="00AC0C13">
            <w:pPr>
              <w:spacing w:before="20"/>
              <w:rPr>
                <w:b/>
                <w:sz w:val="16"/>
                <w:lang w:val="es-ES"/>
              </w:rPr>
            </w:pPr>
            <w:r w:rsidRPr="00FC7306">
              <w:rPr>
                <w:b/>
                <w:sz w:val="16"/>
                <w:lang w:val="es-ES"/>
              </w:rPr>
              <w:t>Denominación:</w:t>
            </w:r>
          </w:p>
        </w:tc>
        <w:tc>
          <w:tcPr>
            <w:tcW w:w="6129" w:type="dxa"/>
            <w:shd w:val="clear" w:color="auto" w:fill="D9D9D9" w:themeFill="background1" w:themeFillShade="D9"/>
          </w:tcPr>
          <w:p w14:paraId="2C4177E3" w14:textId="77777777" w:rsidR="00530B5B" w:rsidRPr="00FC7306" w:rsidRDefault="00F979EA" w:rsidP="00AC0C13">
            <w:pPr>
              <w:contextualSpacing/>
              <w:rPr>
                <w:sz w:val="16"/>
                <w:szCs w:val="16"/>
                <w:lang w:val="es-ES" w:eastAsia="en-US"/>
              </w:rPr>
            </w:pPr>
            <w:r w:rsidRPr="004E3825">
              <w:rPr>
                <w:sz w:val="16"/>
                <w:szCs w:val="16"/>
                <w:lang w:val="es-ES" w:eastAsia="en-US"/>
              </w:rPr>
              <w:t>Normar los servicios educativos</w:t>
            </w:r>
          </w:p>
        </w:tc>
      </w:tr>
      <w:tr w:rsidR="00AC0C13" w:rsidRPr="00FC7306" w14:paraId="49F441D2" w14:textId="77777777" w:rsidTr="00AC0C13">
        <w:tc>
          <w:tcPr>
            <w:tcW w:w="2778" w:type="dxa"/>
            <w:gridSpan w:val="3"/>
          </w:tcPr>
          <w:p w14:paraId="4B1E507C" w14:textId="77777777" w:rsidR="00AC0C13" w:rsidRPr="00FC7306" w:rsidRDefault="00AC0C13" w:rsidP="00AC0C13">
            <w:pPr>
              <w:spacing w:before="20"/>
              <w:rPr>
                <w:b/>
                <w:sz w:val="16"/>
                <w:lang w:val="es-ES"/>
              </w:rPr>
            </w:pPr>
            <w:r w:rsidRPr="00FC7306">
              <w:rPr>
                <w:b/>
                <w:sz w:val="16"/>
                <w:lang w:val="es-ES"/>
              </w:rPr>
              <w:t>Unidad</w:t>
            </w:r>
            <w:r w:rsidR="0076127F">
              <w:rPr>
                <w:b/>
                <w:sz w:val="16"/>
                <w:lang w:val="es-ES"/>
              </w:rPr>
              <w:t>es</w:t>
            </w:r>
            <w:r w:rsidRPr="00FC7306">
              <w:rPr>
                <w:b/>
                <w:sz w:val="16"/>
                <w:lang w:val="es-ES"/>
              </w:rPr>
              <w:t xml:space="preserve"> Administrativa</w:t>
            </w:r>
            <w:r w:rsidR="0076127F">
              <w:rPr>
                <w:b/>
                <w:sz w:val="16"/>
                <w:lang w:val="es-ES"/>
              </w:rPr>
              <w:t>s</w:t>
            </w:r>
            <w:r>
              <w:rPr>
                <w:b/>
                <w:sz w:val="16"/>
                <w:lang w:val="es-ES"/>
              </w:rPr>
              <w:t>:</w:t>
            </w:r>
          </w:p>
        </w:tc>
        <w:tc>
          <w:tcPr>
            <w:tcW w:w="7145" w:type="dxa"/>
            <w:gridSpan w:val="2"/>
          </w:tcPr>
          <w:p w14:paraId="650284A7" w14:textId="77777777" w:rsidR="00F979EA" w:rsidRPr="004E3825" w:rsidRDefault="00F979EA" w:rsidP="00F979EA">
            <w:pPr>
              <w:pStyle w:val="Sinespaciado"/>
              <w:rPr>
                <w:rFonts w:ascii="Soberana Sans" w:hAnsi="Soberana Sans"/>
                <w:sz w:val="16"/>
                <w:szCs w:val="16"/>
              </w:rPr>
            </w:pPr>
            <w:r w:rsidRPr="004E3825">
              <w:rPr>
                <w:rFonts w:ascii="Soberana Sans" w:hAnsi="Soberana Sans"/>
                <w:sz w:val="16"/>
                <w:szCs w:val="16"/>
              </w:rPr>
              <w:t xml:space="preserve">Dirección General de Acreditación, Incorporación y Revalidación </w:t>
            </w:r>
          </w:p>
          <w:p w14:paraId="2CA7F22E" w14:textId="77777777" w:rsidR="00F979EA" w:rsidRPr="004E3825" w:rsidRDefault="00F979EA" w:rsidP="00F979EA">
            <w:pPr>
              <w:pStyle w:val="Sinespaciado"/>
              <w:rPr>
                <w:rFonts w:ascii="Soberana Sans" w:hAnsi="Soberana Sans"/>
                <w:sz w:val="16"/>
                <w:szCs w:val="16"/>
              </w:rPr>
            </w:pPr>
            <w:r w:rsidRPr="004E3825">
              <w:rPr>
                <w:rFonts w:ascii="Soberana Sans" w:hAnsi="Soberana Sans"/>
                <w:sz w:val="16"/>
                <w:szCs w:val="16"/>
              </w:rPr>
              <w:t>Subsecretaría de Educación Básica</w:t>
            </w:r>
          </w:p>
          <w:p w14:paraId="42029DB0" w14:textId="77777777" w:rsidR="00F979EA" w:rsidRPr="004E3825" w:rsidRDefault="00F979EA" w:rsidP="00F979EA">
            <w:pPr>
              <w:pStyle w:val="Sinespaciado"/>
              <w:rPr>
                <w:rFonts w:ascii="Soberana Sans" w:hAnsi="Soberana Sans"/>
                <w:sz w:val="16"/>
                <w:szCs w:val="16"/>
              </w:rPr>
            </w:pPr>
            <w:r w:rsidRPr="004E3825">
              <w:rPr>
                <w:rFonts w:ascii="Soberana Sans" w:hAnsi="Soberana Sans"/>
                <w:sz w:val="16"/>
                <w:szCs w:val="16"/>
              </w:rPr>
              <w:t>Dirección General de Desarrollo</w:t>
            </w:r>
            <w:r w:rsidR="006F4A52">
              <w:rPr>
                <w:rFonts w:ascii="Soberana Sans" w:hAnsi="Soberana Sans"/>
                <w:sz w:val="16"/>
                <w:szCs w:val="16"/>
              </w:rPr>
              <w:t xml:space="preserve"> </w:t>
            </w:r>
            <w:r w:rsidRPr="004E3825">
              <w:rPr>
                <w:rFonts w:ascii="Soberana Sans" w:hAnsi="Soberana Sans"/>
                <w:sz w:val="16"/>
                <w:szCs w:val="16"/>
              </w:rPr>
              <w:t xml:space="preserve">de la Gestión Educativa </w:t>
            </w:r>
          </w:p>
          <w:p w14:paraId="79682DA5" w14:textId="77777777" w:rsidR="00F979EA" w:rsidRPr="004E3825" w:rsidRDefault="00F979EA" w:rsidP="00F979EA">
            <w:pPr>
              <w:pStyle w:val="Sinespaciado"/>
              <w:rPr>
                <w:rFonts w:ascii="Soberana Sans" w:hAnsi="Soberana Sans"/>
                <w:sz w:val="16"/>
                <w:szCs w:val="16"/>
              </w:rPr>
            </w:pPr>
            <w:r w:rsidRPr="004E3825">
              <w:rPr>
                <w:rFonts w:ascii="Soberana Sans" w:hAnsi="Soberana Sans"/>
                <w:sz w:val="16"/>
                <w:szCs w:val="16"/>
              </w:rPr>
              <w:t>Dirección General de Materiales Educativos</w:t>
            </w:r>
          </w:p>
          <w:p w14:paraId="2CAC0270" w14:textId="77777777" w:rsidR="00F979EA" w:rsidRPr="004E3825" w:rsidRDefault="00F979EA" w:rsidP="00F979EA">
            <w:pPr>
              <w:pStyle w:val="Sinespaciado"/>
              <w:rPr>
                <w:rFonts w:ascii="Soberana Sans" w:hAnsi="Soberana Sans"/>
                <w:sz w:val="16"/>
                <w:szCs w:val="16"/>
              </w:rPr>
            </w:pPr>
            <w:r w:rsidRPr="004E3825">
              <w:rPr>
                <w:rFonts w:ascii="Soberana Sans" w:hAnsi="Soberana Sans"/>
                <w:sz w:val="16"/>
                <w:szCs w:val="16"/>
              </w:rPr>
              <w:t>Desarrollo General Desarrollo Curricular</w:t>
            </w:r>
          </w:p>
          <w:p w14:paraId="5DE640F4" w14:textId="77777777" w:rsidR="00F979EA" w:rsidRPr="004E3825" w:rsidRDefault="00F979EA" w:rsidP="00F979EA">
            <w:pPr>
              <w:pStyle w:val="Sinespaciado"/>
              <w:rPr>
                <w:rFonts w:ascii="Soberana Sans" w:hAnsi="Soberana Sans"/>
                <w:sz w:val="16"/>
                <w:szCs w:val="16"/>
              </w:rPr>
            </w:pPr>
            <w:r w:rsidRPr="004E3825">
              <w:rPr>
                <w:rFonts w:ascii="Soberana Sans" w:hAnsi="Soberana Sans"/>
                <w:sz w:val="16"/>
                <w:szCs w:val="16"/>
              </w:rPr>
              <w:t>Dirección General de Educación Indígena</w:t>
            </w:r>
          </w:p>
          <w:p w14:paraId="6556A84E" w14:textId="77777777" w:rsidR="00F979EA" w:rsidRPr="004E3825" w:rsidRDefault="00F979EA" w:rsidP="00F979EA">
            <w:pPr>
              <w:pStyle w:val="Sinespaciado"/>
              <w:rPr>
                <w:rFonts w:ascii="Soberana Sans" w:hAnsi="Soberana Sans"/>
                <w:sz w:val="16"/>
                <w:szCs w:val="16"/>
              </w:rPr>
            </w:pPr>
            <w:r w:rsidRPr="004E3825">
              <w:rPr>
                <w:rFonts w:ascii="Soberana Sans" w:hAnsi="Soberana Sans"/>
                <w:sz w:val="16"/>
                <w:szCs w:val="16"/>
              </w:rPr>
              <w:t xml:space="preserve">Dirección General de Formación Continua, Actualización y Desarrollo profesional de Maestros de Educación Básica </w:t>
            </w:r>
          </w:p>
          <w:p w14:paraId="4883A61B" w14:textId="77777777" w:rsidR="00F979EA" w:rsidRPr="004E3825" w:rsidRDefault="00F979EA" w:rsidP="00F979EA">
            <w:pPr>
              <w:pStyle w:val="Sinespaciado"/>
              <w:rPr>
                <w:rFonts w:ascii="Soberana Sans" w:hAnsi="Soberana Sans"/>
                <w:sz w:val="16"/>
                <w:szCs w:val="16"/>
              </w:rPr>
            </w:pPr>
            <w:r w:rsidRPr="004E3825">
              <w:rPr>
                <w:rFonts w:ascii="Soberana Sans" w:hAnsi="Soberana Sans"/>
                <w:sz w:val="16"/>
                <w:szCs w:val="16"/>
              </w:rPr>
              <w:t>Dirección General de Educación Superior Universitaria</w:t>
            </w:r>
          </w:p>
          <w:p w14:paraId="7D88379E" w14:textId="77777777" w:rsidR="00F979EA" w:rsidRPr="004E3825" w:rsidRDefault="00F979EA" w:rsidP="00F979EA">
            <w:pPr>
              <w:pStyle w:val="Sinespaciado"/>
              <w:rPr>
                <w:rFonts w:ascii="Soberana Sans" w:hAnsi="Soberana Sans"/>
                <w:sz w:val="16"/>
                <w:szCs w:val="16"/>
              </w:rPr>
            </w:pPr>
            <w:r w:rsidRPr="004E3825">
              <w:rPr>
                <w:rFonts w:ascii="Soberana Sans" w:hAnsi="Soberana Sans"/>
                <w:sz w:val="16"/>
                <w:szCs w:val="16"/>
              </w:rPr>
              <w:t>Coordinación General de Universidades Tecnológicas y Politécnicas.</w:t>
            </w:r>
            <w:r w:rsidR="006F4A52">
              <w:rPr>
                <w:rFonts w:ascii="Soberana Sans" w:hAnsi="Soberana Sans"/>
                <w:sz w:val="16"/>
                <w:szCs w:val="16"/>
              </w:rPr>
              <w:t xml:space="preserve"> </w:t>
            </w:r>
          </w:p>
          <w:p w14:paraId="6DCA921F" w14:textId="77777777" w:rsidR="00F979EA" w:rsidRPr="004E3825" w:rsidRDefault="00F979EA" w:rsidP="00F979EA">
            <w:pPr>
              <w:pStyle w:val="Sinespaciado"/>
              <w:rPr>
                <w:rFonts w:ascii="Soberana Sans" w:hAnsi="Soberana Sans"/>
                <w:sz w:val="16"/>
                <w:szCs w:val="16"/>
              </w:rPr>
            </w:pPr>
            <w:r w:rsidRPr="004E3825">
              <w:rPr>
                <w:rFonts w:ascii="Soberana Sans" w:hAnsi="Soberana Sans"/>
                <w:sz w:val="16"/>
                <w:szCs w:val="16"/>
              </w:rPr>
              <w:t>Dirección General de Educación Superior para profesionales de la Educación</w:t>
            </w:r>
          </w:p>
          <w:p w14:paraId="0F54947E" w14:textId="77777777" w:rsidR="00F979EA" w:rsidRPr="004E3825" w:rsidRDefault="00F979EA" w:rsidP="00F979EA">
            <w:pPr>
              <w:pStyle w:val="Sinespaciado"/>
              <w:rPr>
                <w:rFonts w:ascii="Soberana Sans" w:hAnsi="Soberana Sans"/>
                <w:sz w:val="16"/>
                <w:szCs w:val="16"/>
              </w:rPr>
            </w:pPr>
            <w:r w:rsidRPr="004E3825">
              <w:rPr>
                <w:rFonts w:ascii="Soberana Sans" w:hAnsi="Soberana Sans"/>
                <w:sz w:val="16"/>
                <w:szCs w:val="16"/>
              </w:rPr>
              <w:t xml:space="preserve">Dirección General de Educación Tecnológica Industrial </w:t>
            </w:r>
          </w:p>
          <w:p w14:paraId="3AD16889" w14:textId="77777777" w:rsidR="00F979EA" w:rsidRPr="004E3825" w:rsidRDefault="00F979EA" w:rsidP="00F979EA">
            <w:pPr>
              <w:pStyle w:val="Sinespaciado"/>
              <w:rPr>
                <w:rFonts w:ascii="Soberana Sans" w:hAnsi="Soberana Sans"/>
                <w:sz w:val="16"/>
                <w:szCs w:val="16"/>
              </w:rPr>
            </w:pPr>
            <w:r w:rsidRPr="004E3825">
              <w:rPr>
                <w:rFonts w:ascii="Soberana Sans" w:hAnsi="Soberana Sans"/>
                <w:sz w:val="16"/>
                <w:szCs w:val="16"/>
              </w:rPr>
              <w:t>Dirección General del Bachillerato</w:t>
            </w:r>
          </w:p>
          <w:p w14:paraId="0EA4238B" w14:textId="77777777" w:rsidR="00AC0C13" w:rsidRPr="00FC7306" w:rsidRDefault="00F979EA" w:rsidP="00F979EA">
            <w:pPr>
              <w:spacing w:after="0"/>
              <w:rPr>
                <w:rFonts w:eastAsia="Times New Roman"/>
                <w:sz w:val="16"/>
                <w:szCs w:val="16"/>
                <w:lang w:val="es-MX" w:eastAsia="en-US"/>
              </w:rPr>
            </w:pPr>
            <w:r w:rsidRPr="004E3825">
              <w:rPr>
                <w:rFonts w:eastAsia="Times New Roman"/>
                <w:sz w:val="16"/>
                <w:szCs w:val="16"/>
              </w:rPr>
              <w:t>Coordinación Nacional del Servicio Profesional Docente</w:t>
            </w:r>
          </w:p>
        </w:tc>
      </w:tr>
      <w:tr w:rsidR="00AC0C13" w:rsidRPr="00FC7306" w14:paraId="29B3E62C" w14:textId="77777777" w:rsidTr="00AC0C13">
        <w:tc>
          <w:tcPr>
            <w:tcW w:w="2778" w:type="dxa"/>
            <w:gridSpan w:val="3"/>
          </w:tcPr>
          <w:p w14:paraId="3A8DE337" w14:textId="77777777" w:rsidR="00AC0C13" w:rsidRPr="00FC7306" w:rsidRDefault="00AC0C13" w:rsidP="00AC0C13">
            <w:pPr>
              <w:spacing w:before="20"/>
              <w:rPr>
                <w:b/>
                <w:sz w:val="16"/>
                <w:lang w:val="es-ES"/>
              </w:rPr>
            </w:pPr>
            <w:r w:rsidRPr="00FC7306">
              <w:rPr>
                <w:b/>
                <w:sz w:val="16"/>
                <w:lang w:val="es-ES"/>
              </w:rPr>
              <w:t>Responsable</w:t>
            </w:r>
            <w:r w:rsidR="0076127F">
              <w:rPr>
                <w:b/>
                <w:sz w:val="16"/>
                <w:lang w:val="es-ES"/>
              </w:rPr>
              <w:t>s</w:t>
            </w:r>
            <w:r>
              <w:rPr>
                <w:b/>
                <w:sz w:val="16"/>
                <w:lang w:val="es-ES"/>
              </w:rPr>
              <w:t>:</w:t>
            </w:r>
          </w:p>
        </w:tc>
        <w:tc>
          <w:tcPr>
            <w:tcW w:w="7145" w:type="dxa"/>
            <w:gridSpan w:val="2"/>
          </w:tcPr>
          <w:p w14:paraId="70528B38" w14:textId="77777777" w:rsidR="00AC0C13" w:rsidRPr="00FC7306" w:rsidRDefault="00F979EA" w:rsidP="00F979EA">
            <w:pPr>
              <w:spacing w:after="0"/>
              <w:rPr>
                <w:sz w:val="16"/>
                <w:lang w:val="es-ES"/>
              </w:rPr>
            </w:pPr>
            <w:r w:rsidRPr="00162911">
              <w:rPr>
                <w:sz w:val="16"/>
                <w:szCs w:val="16"/>
              </w:rPr>
              <w:t>En el informe final de la evaluación n</w:t>
            </w:r>
            <w:r w:rsidRPr="00162911">
              <w:rPr>
                <w:rFonts w:eastAsia="Times New Roman"/>
                <w:sz w:val="16"/>
                <w:szCs w:val="16"/>
                <w:lang w:val="es-MX" w:eastAsia="en-US"/>
              </w:rPr>
              <w:t xml:space="preserve">o se </w:t>
            </w:r>
            <w:r>
              <w:rPr>
                <w:rFonts w:eastAsia="Times New Roman"/>
                <w:sz w:val="16"/>
                <w:szCs w:val="16"/>
                <w:lang w:val="es-MX" w:eastAsia="en-US"/>
              </w:rPr>
              <w:t>especifica la información de los titulares de las UR</w:t>
            </w:r>
          </w:p>
        </w:tc>
      </w:tr>
      <w:tr w:rsidR="00AC0C13" w:rsidRPr="00FC7306" w14:paraId="1CD5D85D" w14:textId="77777777" w:rsidTr="00AC0C13">
        <w:tc>
          <w:tcPr>
            <w:tcW w:w="2778" w:type="dxa"/>
            <w:gridSpan w:val="3"/>
            <w:tcBorders>
              <w:bottom w:val="single" w:sz="4" w:space="0" w:color="auto"/>
            </w:tcBorders>
            <w:shd w:val="clear" w:color="auto" w:fill="D9D9D9" w:themeFill="background1" w:themeFillShade="D9"/>
          </w:tcPr>
          <w:p w14:paraId="7591DF27" w14:textId="77777777" w:rsidR="00AC0C13" w:rsidRPr="00FC7306" w:rsidRDefault="00AC0C13" w:rsidP="00AC0C13">
            <w:pPr>
              <w:spacing w:before="20"/>
              <w:rPr>
                <w:b/>
                <w:sz w:val="16"/>
                <w:lang w:val="es-ES"/>
              </w:rPr>
            </w:pPr>
            <w:r w:rsidRPr="00FC7306">
              <w:rPr>
                <w:b/>
                <w:sz w:val="16"/>
                <w:lang w:val="es-ES"/>
              </w:rPr>
              <w:t>Tipo de Evaluación</w:t>
            </w:r>
            <w:r>
              <w:rPr>
                <w:b/>
                <w:sz w:val="16"/>
                <w:lang w:val="es-ES"/>
              </w:rPr>
              <w:t>:</w:t>
            </w:r>
          </w:p>
        </w:tc>
        <w:tc>
          <w:tcPr>
            <w:tcW w:w="7145" w:type="dxa"/>
            <w:gridSpan w:val="2"/>
            <w:tcBorders>
              <w:bottom w:val="single" w:sz="4" w:space="0" w:color="auto"/>
            </w:tcBorders>
            <w:shd w:val="clear" w:color="auto" w:fill="D9D9D9" w:themeFill="background1" w:themeFillShade="D9"/>
          </w:tcPr>
          <w:p w14:paraId="782ACBB5" w14:textId="77777777" w:rsidR="00AC0C13" w:rsidRPr="00FC7306" w:rsidRDefault="00AC0C13" w:rsidP="00AC0C13">
            <w:pPr>
              <w:spacing w:before="20"/>
              <w:rPr>
                <w:sz w:val="16"/>
                <w:lang w:val="es-ES"/>
              </w:rPr>
            </w:pPr>
            <w:r>
              <w:rPr>
                <w:sz w:val="16"/>
                <w:lang w:val="es-ES"/>
              </w:rPr>
              <w:t xml:space="preserve">En materia de </w:t>
            </w:r>
            <w:r w:rsidRPr="00FC7306">
              <w:rPr>
                <w:sz w:val="16"/>
                <w:lang w:val="es-ES"/>
              </w:rPr>
              <w:t>Diseño</w:t>
            </w:r>
            <w:r w:rsidR="00823092">
              <w:rPr>
                <w:sz w:val="16"/>
                <w:lang w:val="es-ES"/>
              </w:rPr>
              <w:t>, PAE 2017</w:t>
            </w:r>
          </w:p>
        </w:tc>
      </w:tr>
    </w:tbl>
    <w:p w14:paraId="52DA3A21" w14:textId="77777777" w:rsidR="00AC0C13" w:rsidRPr="00A615D2" w:rsidRDefault="00AC0C13" w:rsidP="00D103A6">
      <w:pPr>
        <w:spacing w:before="120"/>
        <w:contextualSpacing/>
      </w:pPr>
    </w:p>
    <w:p w14:paraId="18F4F5BB" w14:textId="77777777" w:rsidR="00D103A6" w:rsidRPr="00FC7306" w:rsidRDefault="00D103A6" w:rsidP="00D103A6">
      <w:pPr>
        <w:pStyle w:val="Cdetextonegrita"/>
        <w:spacing w:line="250" w:lineRule="exact"/>
      </w:pPr>
      <w:r w:rsidRPr="00FC7306">
        <w:t xml:space="preserve">Descripción del </w:t>
      </w:r>
      <w:proofErr w:type="spellStart"/>
      <w:r w:rsidRPr="00FC7306">
        <w:t>P</w:t>
      </w:r>
      <w:r>
        <w:t>p</w:t>
      </w:r>
      <w:proofErr w:type="spellEnd"/>
    </w:p>
    <w:p w14:paraId="0883D670" w14:textId="77777777" w:rsidR="00330C0D" w:rsidRDefault="004C77BC" w:rsidP="00330C0D">
      <w:pPr>
        <w:pStyle w:val="Cdetexto"/>
      </w:pPr>
      <w:r>
        <w:t xml:space="preserve">El </w:t>
      </w:r>
      <w:proofErr w:type="spellStart"/>
      <w:r>
        <w:t>Pp</w:t>
      </w:r>
      <w:proofErr w:type="spellEnd"/>
      <w:r>
        <w:t xml:space="preserve"> G001 fue creado en 2008</w:t>
      </w:r>
      <w:r w:rsidR="00330C0D">
        <w:t xml:space="preserve"> pero ha sufrido diversos cambios desde su creación, además de que se han incorporado diversas UR a su operación. La necesidad que atiende es </w:t>
      </w:r>
      <w:r w:rsidR="00330C0D">
        <w:rPr>
          <w:szCs w:val="22"/>
        </w:rPr>
        <w:t>“La deficiente regulación afecta la provisión de los servicios educativos que realizan autoridades educativas federales y locales”, sin embargo, dicha definición no está asentada de manera oficial en ningún documento.</w:t>
      </w:r>
    </w:p>
    <w:p w14:paraId="44C62F73" w14:textId="77777777" w:rsidR="00330C0D" w:rsidRPr="00083387" w:rsidRDefault="00330C0D" w:rsidP="00330C0D">
      <w:pPr>
        <w:pStyle w:val="Cdetexto"/>
        <w:rPr>
          <w:highlight w:val="yellow"/>
        </w:rPr>
      </w:pPr>
      <w:r>
        <w:t xml:space="preserve">El fin del </w:t>
      </w:r>
      <w:proofErr w:type="spellStart"/>
      <w:r>
        <w:t>Pp</w:t>
      </w:r>
      <w:proofErr w:type="spellEnd"/>
      <w:r>
        <w:t xml:space="preserve"> es el siguiente: </w:t>
      </w:r>
      <w:r>
        <w:rPr>
          <w:szCs w:val="22"/>
        </w:rPr>
        <w:t>“</w:t>
      </w:r>
      <w:r>
        <w:t>C</w:t>
      </w:r>
      <w:r w:rsidRPr="00083387">
        <w:t>ontribuir a asegurar mayor cobertura, inclusión y equidad educativa entre todos los grupos de la población para la construcción de una sociedad más justa mediante la emisión de la normatividad</w:t>
      </w:r>
      <w:r>
        <w:rPr>
          <w:i/>
          <w:iCs/>
          <w:szCs w:val="22"/>
        </w:rPr>
        <w:t xml:space="preserve"> </w:t>
      </w:r>
      <w:r w:rsidRPr="00083387">
        <w:rPr>
          <w:iCs/>
          <w:szCs w:val="22"/>
        </w:rPr>
        <w:t>que regule la operación de los servicios de educación básica, media superior y superior</w:t>
      </w:r>
      <w:r w:rsidRPr="00083387">
        <w:rPr>
          <w:szCs w:val="22"/>
        </w:rPr>
        <w:t>”</w:t>
      </w:r>
      <w:r w:rsidR="004C77BC">
        <w:rPr>
          <w:szCs w:val="22"/>
        </w:rPr>
        <w:t>.</w:t>
      </w:r>
    </w:p>
    <w:p w14:paraId="0217216D" w14:textId="77777777" w:rsidR="00330C0D" w:rsidRPr="006E3B9C" w:rsidRDefault="00330C0D" w:rsidP="00330C0D">
      <w:pPr>
        <w:pStyle w:val="Cdetexto"/>
      </w:pPr>
      <w:r w:rsidRPr="006E3B9C">
        <w:t xml:space="preserve">El propósito del </w:t>
      </w:r>
      <w:proofErr w:type="spellStart"/>
      <w:r w:rsidRPr="006E3B9C">
        <w:t>Pp</w:t>
      </w:r>
      <w:proofErr w:type="spellEnd"/>
      <w:r w:rsidRPr="006E3B9C">
        <w:t xml:space="preserve"> </w:t>
      </w:r>
      <w:r>
        <w:t>es “</w:t>
      </w:r>
      <w:r>
        <w:rPr>
          <w:szCs w:val="22"/>
        </w:rPr>
        <w:t>Los servicios educativos de tipo básico, media superior y superior se regulan a través de documentos normativos</w:t>
      </w:r>
      <w:r>
        <w:t>”.</w:t>
      </w:r>
    </w:p>
    <w:p w14:paraId="4C6A137C" w14:textId="77777777" w:rsidR="00330C0D" w:rsidRPr="00CC1800" w:rsidRDefault="00330C0D" w:rsidP="00330C0D">
      <w:pPr>
        <w:pStyle w:val="Cdetexto"/>
      </w:pPr>
      <w:r>
        <w:t xml:space="preserve">El </w:t>
      </w:r>
      <w:proofErr w:type="spellStart"/>
      <w:r>
        <w:t>AEPo</w:t>
      </w:r>
      <w:proofErr w:type="spellEnd"/>
      <w:r>
        <w:t xml:space="preserve"> y el AEO no están definidas propiamente en documentos oficiales, pero se consideran a las </w:t>
      </w:r>
      <w:r w:rsidRPr="006F7837">
        <w:t>Autoridades Educativas Federales y Locales</w:t>
      </w:r>
      <w:r>
        <w:t xml:space="preserve"> por ser las receptoras de los componentes del programa.</w:t>
      </w:r>
    </w:p>
    <w:p w14:paraId="1C7A616E" w14:textId="77777777" w:rsidR="00330C0D" w:rsidRPr="00F81318" w:rsidRDefault="00330C0D" w:rsidP="00330C0D">
      <w:pPr>
        <w:spacing w:line="250" w:lineRule="exact"/>
        <w:jc w:val="both"/>
        <w:rPr>
          <w:rFonts w:eastAsia="Times New Roman" w:cs="Arial"/>
          <w:szCs w:val="20"/>
          <w:lang w:val="es-ES"/>
        </w:rPr>
      </w:pPr>
      <w:r w:rsidRPr="00FA2CAE">
        <w:rPr>
          <w:rFonts w:eastAsia="Times New Roman" w:cs="Arial"/>
          <w:szCs w:val="20"/>
          <w:lang w:val="es-ES"/>
        </w:rPr>
        <w:lastRenderedPageBreak/>
        <w:t xml:space="preserve">El </w:t>
      </w:r>
      <w:proofErr w:type="spellStart"/>
      <w:r w:rsidRPr="00FA2CAE">
        <w:rPr>
          <w:rFonts w:eastAsia="Times New Roman" w:cs="Arial"/>
          <w:szCs w:val="20"/>
          <w:lang w:val="es-ES"/>
        </w:rPr>
        <w:t>Pp</w:t>
      </w:r>
      <w:proofErr w:type="spellEnd"/>
      <w:r w:rsidRPr="00FA2CAE">
        <w:rPr>
          <w:rFonts w:eastAsia="Times New Roman" w:cs="Arial"/>
          <w:szCs w:val="20"/>
          <w:lang w:val="es-ES"/>
        </w:rPr>
        <w:t xml:space="preserve"> está alineado a la Meta Nacional </w:t>
      </w:r>
      <w:r>
        <w:t>III.</w:t>
      </w:r>
      <w:r w:rsidRPr="00F81318">
        <w:t xml:space="preserve"> </w:t>
      </w:r>
      <w:r>
        <w:t>México con educación de calidad</w:t>
      </w:r>
      <w:r w:rsidR="004C77BC">
        <w:t>,</w:t>
      </w:r>
      <w:r>
        <w:t xml:space="preserve"> </w:t>
      </w:r>
      <w:r w:rsidRPr="00FA2CAE">
        <w:rPr>
          <w:rFonts w:eastAsia="Times New Roman" w:cs="Arial"/>
          <w:szCs w:val="20"/>
          <w:lang w:val="es-ES"/>
        </w:rPr>
        <w:t xml:space="preserve">del </w:t>
      </w:r>
      <w:r>
        <w:t>PND</w:t>
      </w:r>
      <w:r>
        <w:rPr>
          <w:rFonts w:eastAsia="Times New Roman" w:cs="Arial"/>
          <w:szCs w:val="20"/>
          <w:lang w:val="es-ES"/>
        </w:rPr>
        <w:t xml:space="preserve"> y</w:t>
      </w:r>
      <w:r w:rsidRPr="00FA2CAE">
        <w:rPr>
          <w:rFonts w:eastAsia="Times New Roman" w:cs="Arial"/>
          <w:szCs w:val="20"/>
          <w:lang w:val="es-ES"/>
        </w:rPr>
        <w:t xml:space="preserve"> al </w:t>
      </w:r>
      <w:r>
        <w:rPr>
          <w:rFonts w:eastAsia="Times New Roman" w:cs="Arial"/>
          <w:szCs w:val="20"/>
          <w:lang w:val="es-ES"/>
        </w:rPr>
        <w:t>Programa Sectorial de Educación</w:t>
      </w:r>
      <w:r w:rsidRPr="00F81318">
        <w:rPr>
          <w:rFonts w:eastAsia="Times New Roman" w:cs="Arial"/>
          <w:szCs w:val="20"/>
          <w:lang w:val="es-ES"/>
        </w:rPr>
        <w:t xml:space="preserve"> 2013</w:t>
      </w:r>
      <w:r>
        <w:rPr>
          <w:rFonts w:eastAsia="Times New Roman" w:cs="Arial"/>
          <w:szCs w:val="20"/>
          <w:lang w:val="es-ES"/>
        </w:rPr>
        <w:t>-</w:t>
      </w:r>
      <w:r w:rsidRPr="00F81318">
        <w:rPr>
          <w:rFonts w:eastAsia="Times New Roman" w:cs="Arial"/>
          <w:szCs w:val="20"/>
          <w:lang w:val="es-ES"/>
        </w:rPr>
        <w:t>2018</w:t>
      </w:r>
      <w:r>
        <w:rPr>
          <w:rFonts w:eastAsia="Times New Roman" w:cs="Arial"/>
          <w:szCs w:val="20"/>
          <w:lang w:val="es-ES"/>
        </w:rPr>
        <w:t xml:space="preserve"> (PSE) mediante el Objetivo 3. </w:t>
      </w:r>
      <w:r>
        <w:rPr>
          <w:szCs w:val="22"/>
        </w:rPr>
        <w:t>Asegurar mayor cobertura, inclusión y equidad educativa entre todos los grupos de la población para la construcción de una sociedad más justa.</w:t>
      </w:r>
    </w:p>
    <w:p w14:paraId="1DF87A3A" w14:textId="77777777" w:rsidR="00D103A6" w:rsidRPr="00D41939" w:rsidRDefault="00D103A6" w:rsidP="00D41939">
      <w:pPr>
        <w:pStyle w:val="Cdetexto"/>
        <w:rPr>
          <w:b/>
        </w:rPr>
      </w:pPr>
      <w:r w:rsidRPr="00D41939">
        <w:rPr>
          <w:b/>
        </w:rPr>
        <w:t>Principales Hallazgos</w:t>
      </w:r>
    </w:p>
    <w:p w14:paraId="6075BE90" w14:textId="77777777" w:rsidR="00696F3A" w:rsidRDefault="00696F3A" w:rsidP="00696F3A">
      <w:pPr>
        <w:pStyle w:val="Cdetexto"/>
        <w:rPr>
          <w:i/>
        </w:rPr>
      </w:pPr>
      <w:r w:rsidRPr="003E79AF">
        <w:rPr>
          <w:i/>
        </w:rPr>
        <w:t>Diseño</w:t>
      </w:r>
      <w:r w:rsidR="00330C0D">
        <w:rPr>
          <w:i/>
        </w:rPr>
        <w:t>:</w:t>
      </w:r>
    </w:p>
    <w:p w14:paraId="201C7CB2" w14:textId="77777777" w:rsidR="00696F3A" w:rsidRPr="000D37F3" w:rsidRDefault="004D3B5F" w:rsidP="00696F3A">
      <w:pPr>
        <w:pStyle w:val="Cdetexto"/>
      </w:pPr>
      <w:r>
        <w:t xml:space="preserve">La necesidad que atiende el </w:t>
      </w:r>
      <w:proofErr w:type="spellStart"/>
      <w:r>
        <w:t>Pp</w:t>
      </w:r>
      <w:proofErr w:type="spellEnd"/>
      <w:r>
        <w:t xml:space="preserve"> se encuentra definida pero no plasmada en documentos oficiales</w:t>
      </w:r>
      <w:r w:rsidR="004C77BC">
        <w:t>;</w:t>
      </w:r>
      <w:r>
        <w:t xml:space="preserve"> </w:t>
      </w:r>
      <w:r w:rsidR="004C77BC">
        <w:t>a</w:t>
      </w:r>
      <w:r>
        <w:t>simismo</w:t>
      </w:r>
      <w:r w:rsidR="004C77BC">
        <w:t>,</w:t>
      </w:r>
      <w:r>
        <w:t xml:space="preserve"> no se cuenta con un diagnóstico que identifique correctamente </w:t>
      </w:r>
      <w:r w:rsidR="004C77BC">
        <w:t>dicha</w:t>
      </w:r>
      <w:r>
        <w:t xml:space="preserve"> necesidad, sus causas, consecuencias y los posibles medios para su solución basados en experiencias nacionales e internacionales.</w:t>
      </w:r>
    </w:p>
    <w:p w14:paraId="7FE87F18" w14:textId="77777777" w:rsidR="00696F3A" w:rsidRPr="00CD4D0C" w:rsidRDefault="00696F3A" w:rsidP="00696F3A">
      <w:pPr>
        <w:pStyle w:val="Cdetexto"/>
        <w:rPr>
          <w:i/>
        </w:rPr>
      </w:pPr>
      <w:r w:rsidRPr="00CD4D0C">
        <w:rPr>
          <w:i/>
        </w:rPr>
        <w:t>Contribución a las</w:t>
      </w:r>
      <w:r>
        <w:rPr>
          <w:i/>
        </w:rPr>
        <w:t xml:space="preserve"> metas y estrategias nacionales</w:t>
      </w:r>
      <w:r w:rsidR="00330C0D">
        <w:rPr>
          <w:i/>
        </w:rPr>
        <w:t>:</w:t>
      </w:r>
    </w:p>
    <w:p w14:paraId="1560B209" w14:textId="77777777" w:rsidR="00696F3A" w:rsidRDefault="004D3B5F" w:rsidP="00696F3A">
      <w:pPr>
        <w:pStyle w:val="Cdetexto"/>
      </w:pPr>
      <w:r w:rsidRPr="0062398E">
        <w:t>Si bien</w:t>
      </w:r>
      <w:r>
        <w:t xml:space="preserve"> el </w:t>
      </w:r>
      <w:proofErr w:type="spellStart"/>
      <w:r>
        <w:t>Pp</w:t>
      </w:r>
      <w:proofErr w:type="spellEnd"/>
      <w:r>
        <w:t xml:space="preserve"> está alineado al Objetivo 3 del PSE, no se identifican elementos que sugieran una relación de causalidad entre éste y los objetivos a nivel fin y a nivel propósito.</w:t>
      </w:r>
    </w:p>
    <w:p w14:paraId="399AAF8E" w14:textId="77777777" w:rsidR="00696F3A" w:rsidRDefault="00696F3A" w:rsidP="00696F3A">
      <w:pPr>
        <w:spacing w:line="250" w:lineRule="exact"/>
        <w:jc w:val="both"/>
        <w:rPr>
          <w:i/>
          <w:lang w:val="es-ES"/>
        </w:rPr>
      </w:pPr>
      <w:proofErr w:type="spellStart"/>
      <w:r w:rsidRPr="009B11E8">
        <w:rPr>
          <w:i/>
          <w:lang w:val="es-ES"/>
        </w:rPr>
        <w:t>PPo</w:t>
      </w:r>
      <w:proofErr w:type="spellEnd"/>
      <w:r w:rsidRPr="009B11E8">
        <w:rPr>
          <w:i/>
          <w:lang w:val="es-ES"/>
        </w:rPr>
        <w:t>, PO y mecanismos de elegibilidad</w:t>
      </w:r>
      <w:r w:rsidR="00330C0D">
        <w:rPr>
          <w:i/>
          <w:lang w:val="es-ES"/>
        </w:rPr>
        <w:t>:</w:t>
      </w:r>
    </w:p>
    <w:p w14:paraId="7E4D9B78" w14:textId="77777777" w:rsidR="00696F3A" w:rsidRPr="0062398E" w:rsidRDefault="004D3B5F" w:rsidP="00696F3A">
      <w:pPr>
        <w:pStyle w:val="Cdetexto"/>
      </w:pPr>
      <w:r w:rsidRPr="0062398E">
        <w:t xml:space="preserve">El </w:t>
      </w:r>
      <w:proofErr w:type="spellStart"/>
      <w:r w:rsidRPr="0062398E">
        <w:t>AEPo</w:t>
      </w:r>
      <w:proofErr w:type="spellEnd"/>
      <w:r w:rsidRPr="0062398E">
        <w:t xml:space="preserve"> y el AEO no </w:t>
      </w:r>
      <w:r>
        <w:t xml:space="preserve">están explícitamente definidas en documentos oficiales, pero dado que los componentes del </w:t>
      </w:r>
      <w:proofErr w:type="spellStart"/>
      <w:r>
        <w:t>Pp</w:t>
      </w:r>
      <w:proofErr w:type="spellEnd"/>
      <w:r>
        <w:t xml:space="preserve"> se entregan a las </w:t>
      </w:r>
      <w:r w:rsidRPr="006F7837">
        <w:t>Autoridades Educativas Federales y Locales</w:t>
      </w:r>
      <w:r>
        <w:t>, se asume que éstas serían el AEO.</w:t>
      </w:r>
      <w:r w:rsidRPr="0062398E">
        <w:rPr>
          <w:lang w:eastAsia="es-MX"/>
        </w:rPr>
        <w:t xml:space="preserve"> </w:t>
      </w:r>
      <w:r w:rsidR="00187E08">
        <w:rPr>
          <w:lang w:eastAsia="es-MX"/>
        </w:rPr>
        <w:t>En razón de lo anterior, no existe</w:t>
      </w:r>
      <w:r>
        <w:rPr>
          <w:szCs w:val="22"/>
        </w:rPr>
        <w:t xml:space="preserve"> una estrategia de cobertura.</w:t>
      </w:r>
    </w:p>
    <w:p w14:paraId="02525657" w14:textId="77777777" w:rsidR="00696F3A" w:rsidRPr="00B749DB" w:rsidRDefault="00696F3A" w:rsidP="00696F3A">
      <w:pPr>
        <w:spacing w:line="250" w:lineRule="exact"/>
        <w:jc w:val="both"/>
        <w:rPr>
          <w:rFonts w:eastAsia="Times New Roman" w:cs="Arial"/>
          <w:szCs w:val="20"/>
          <w:lang w:val="es-ES"/>
        </w:rPr>
      </w:pPr>
      <w:r w:rsidRPr="00CD4D0C">
        <w:rPr>
          <w:i/>
          <w:lang w:val="es-ES"/>
        </w:rPr>
        <w:t>M</w:t>
      </w:r>
      <w:r>
        <w:rPr>
          <w:i/>
          <w:lang w:val="es-ES"/>
        </w:rPr>
        <w:t>IR</w:t>
      </w:r>
      <w:r w:rsidRPr="00CD4D0C">
        <w:rPr>
          <w:i/>
          <w:lang w:val="es-ES"/>
        </w:rPr>
        <w:t>:</w:t>
      </w:r>
    </w:p>
    <w:p w14:paraId="2BC6F1F1" w14:textId="77777777" w:rsidR="004D3B5F" w:rsidRDefault="00187E08" w:rsidP="004D3B5F">
      <w:pPr>
        <w:spacing w:line="250" w:lineRule="exact"/>
        <w:jc w:val="both"/>
        <w:rPr>
          <w:rFonts w:eastAsia="Times New Roman" w:cs="Arial"/>
          <w:szCs w:val="20"/>
          <w:lang w:val="es-ES"/>
        </w:rPr>
      </w:pPr>
      <w:r>
        <w:rPr>
          <w:rFonts w:eastAsia="Times New Roman" w:cs="Arial"/>
          <w:szCs w:val="20"/>
          <w:lang w:val="es-ES"/>
        </w:rPr>
        <w:t>El objetivo a nivel</w:t>
      </w:r>
      <w:r w:rsidR="004D3B5F">
        <w:rPr>
          <w:rFonts w:eastAsia="Times New Roman" w:cs="Arial"/>
          <w:szCs w:val="20"/>
          <w:lang w:val="es-ES"/>
        </w:rPr>
        <w:t xml:space="preserve"> propósito </w:t>
      </w:r>
      <w:r>
        <w:rPr>
          <w:rFonts w:eastAsia="Times New Roman" w:cs="Arial"/>
          <w:szCs w:val="20"/>
          <w:lang w:val="es-ES"/>
        </w:rPr>
        <w:t xml:space="preserve">no se encuentra </w:t>
      </w:r>
      <w:r w:rsidR="004D3B5F">
        <w:rPr>
          <w:rFonts w:eastAsia="Times New Roman" w:cs="Arial"/>
          <w:szCs w:val="20"/>
          <w:lang w:val="es-ES"/>
        </w:rPr>
        <w:t xml:space="preserve">correctamente </w:t>
      </w:r>
      <w:r>
        <w:rPr>
          <w:rFonts w:eastAsia="Times New Roman" w:cs="Arial"/>
          <w:szCs w:val="20"/>
          <w:lang w:val="es-ES"/>
        </w:rPr>
        <w:t xml:space="preserve">alineado </w:t>
      </w:r>
      <w:r w:rsidR="004D3B5F">
        <w:rPr>
          <w:rFonts w:eastAsia="Times New Roman" w:cs="Arial"/>
          <w:szCs w:val="20"/>
          <w:lang w:val="es-ES"/>
        </w:rPr>
        <w:t xml:space="preserve">al PND </w:t>
      </w:r>
      <w:r>
        <w:rPr>
          <w:rFonts w:eastAsia="Times New Roman" w:cs="Arial"/>
          <w:szCs w:val="20"/>
          <w:lang w:val="es-ES"/>
        </w:rPr>
        <w:t>ni</w:t>
      </w:r>
      <w:r w:rsidR="004D3B5F">
        <w:rPr>
          <w:rFonts w:eastAsia="Times New Roman" w:cs="Arial"/>
          <w:szCs w:val="20"/>
          <w:lang w:val="es-ES"/>
        </w:rPr>
        <w:t xml:space="preserve"> al PSE</w:t>
      </w:r>
      <w:r>
        <w:rPr>
          <w:rFonts w:eastAsia="Times New Roman" w:cs="Arial"/>
          <w:szCs w:val="20"/>
          <w:lang w:val="es-ES"/>
        </w:rPr>
        <w:t>;</w:t>
      </w:r>
      <w:r w:rsidR="004D3B5F">
        <w:rPr>
          <w:rFonts w:eastAsia="Times New Roman" w:cs="Arial"/>
          <w:szCs w:val="20"/>
          <w:lang w:val="es-ES"/>
        </w:rPr>
        <w:t xml:space="preserve"> la redacción de los componentes y actividades </w:t>
      </w:r>
      <w:r>
        <w:rPr>
          <w:rFonts w:eastAsia="Times New Roman" w:cs="Arial"/>
          <w:szCs w:val="20"/>
          <w:lang w:val="es-ES"/>
        </w:rPr>
        <w:t xml:space="preserve">no es </w:t>
      </w:r>
      <w:r w:rsidR="004D3B5F">
        <w:rPr>
          <w:rFonts w:eastAsia="Times New Roman" w:cs="Arial"/>
          <w:szCs w:val="20"/>
          <w:lang w:val="es-ES"/>
        </w:rPr>
        <w:t xml:space="preserve">clara </w:t>
      </w:r>
      <w:r>
        <w:rPr>
          <w:rFonts w:eastAsia="Times New Roman" w:cs="Arial"/>
          <w:szCs w:val="20"/>
          <w:lang w:val="es-ES"/>
        </w:rPr>
        <w:t>ni</w:t>
      </w:r>
      <w:r w:rsidR="004D3B5F">
        <w:rPr>
          <w:rFonts w:eastAsia="Times New Roman" w:cs="Arial"/>
          <w:szCs w:val="20"/>
          <w:lang w:val="es-ES"/>
        </w:rPr>
        <w:t xml:space="preserve"> concisa.</w:t>
      </w:r>
    </w:p>
    <w:p w14:paraId="0A3C7616" w14:textId="77777777" w:rsidR="00696F3A" w:rsidRDefault="004D3B5F" w:rsidP="004D3B5F">
      <w:pPr>
        <w:spacing w:line="250" w:lineRule="exact"/>
        <w:jc w:val="both"/>
        <w:rPr>
          <w:rFonts w:eastAsia="Times New Roman" w:cs="Arial"/>
          <w:szCs w:val="20"/>
          <w:lang w:val="es-ES"/>
        </w:rPr>
      </w:pPr>
      <w:r w:rsidRPr="00671F8C">
        <w:rPr>
          <w:rFonts w:eastAsia="Times New Roman" w:cs="Arial"/>
          <w:szCs w:val="20"/>
          <w:lang w:val="es-ES"/>
        </w:rPr>
        <w:t>Por otra parte</w:t>
      </w:r>
      <w:r w:rsidR="00187E08">
        <w:rPr>
          <w:rFonts w:eastAsia="Times New Roman" w:cs="Arial"/>
          <w:szCs w:val="20"/>
          <w:lang w:val="es-ES"/>
        </w:rPr>
        <w:t>,</w:t>
      </w:r>
      <w:r w:rsidRPr="00671F8C">
        <w:rPr>
          <w:rFonts w:eastAsia="Times New Roman" w:cs="Arial"/>
          <w:szCs w:val="20"/>
          <w:lang w:val="es-ES"/>
        </w:rPr>
        <w:t xml:space="preserve"> </w:t>
      </w:r>
      <w:r w:rsidR="00187E08">
        <w:rPr>
          <w:rFonts w:eastAsia="Times New Roman" w:cs="Arial"/>
          <w:szCs w:val="20"/>
          <w:lang w:val="es-ES"/>
        </w:rPr>
        <w:t xml:space="preserve">en su mayoría </w:t>
      </w:r>
      <w:r w:rsidRPr="00671F8C">
        <w:rPr>
          <w:rFonts w:eastAsia="Times New Roman" w:cs="Arial"/>
          <w:szCs w:val="20"/>
          <w:lang w:val="es-ES"/>
        </w:rPr>
        <w:t xml:space="preserve">los indicadores se consideran claros, económicos y </w:t>
      </w:r>
      <w:proofErr w:type="spellStart"/>
      <w:r>
        <w:rPr>
          <w:rFonts w:eastAsia="Times New Roman" w:cs="Arial"/>
          <w:szCs w:val="20"/>
          <w:lang w:val="es-ES"/>
        </w:rPr>
        <w:t>monitoreab</w:t>
      </w:r>
      <w:r w:rsidRPr="00671F8C">
        <w:rPr>
          <w:rFonts w:eastAsia="Times New Roman" w:cs="Arial"/>
          <w:szCs w:val="20"/>
          <w:lang w:val="es-ES"/>
        </w:rPr>
        <w:t>les</w:t>
      </w:r>
      <w:proofErr w:type="spellEnd"/>
      <w:r w:rsidRPr="00671F8C">
        <w:rPr>
          <w:rFonts w:eastAsia="Times New Roman" w:cs="Arial"/>
          <w:szCs w:val="20"/>
          <w:lang w:val="es-ES"/>
        </w:rPr>
        <w:t xml:space="preserve"> y los medios de verificación son los apropiados</w:t>
      </w:r>
      <w:r w:rsidRPr="00DA1375">
        <w:rPr>
          <w:rFonts w:eastAsia="Times New Roman" w:cs="Arial"/>
          <w:szCs w:val="20"/>
          <w:lang w:val="es-ES"/>
        </w:rPr>
        <w:t>.</w:t>
      </w:r>
    </w:p>
    <w:p w14:paraId="4C8AD1B4" w14:textId="77777777" w:rsidR="00D103A6" w:rsidRPr="007D1DD5" w:rsidRDefault="00D103A6" w:rsidP="00696F3A">
      <w:pPr>
        <w:spacing w:line="250" w:lineRule="exact"/>
        <w:jc w:val="both"/>
        <w:rPr>
          <w:rFonts w:eastAsia="Times New Roman" w:cs="Arial"/>
          <w:i/>
          <w:szCs w:val="20"/>
          <w:lang w:val="es-ES"/>
        </w:rPr>
      </w:pPr>
      <w:r w:rsidRPr="007D1DD5">
        <w:rPr>
          <w:rFonts w:eastAsia="Times New Roman" w:cs="Arial"/>
          <w:i/>
          <w:szCs w:val="20"/>
          <w:lang w:val="es-ES"/>
        </w:rPr>
        <w:t xml:space="preserve">Complementariedades y coincidencias con otros </w:t>
      </w:r>
      <w:proofErr w:type="spellStart"/>
      <w:r w:rsidRPr="007D1DD5">
        <w:rPr>
          <w:rFonts w:eastAsia="Times New Roman" w:cs="Arial"/>
          <w:i/>
          <w:szCs w:val="20"/>
          <w:lang w:val="es-ES"/>
        </w:rPr>
        <w:t>Pp</w:t>
      </w:r>
      <w:proofErr w:type="spellEnd"/>
      <w:r w:rsidRPr="007D1DD5">
        <w:rPr>
          <w:rFonts w:eastAsia="Times New Roman" w:cs="Arial"/>
          <w:i/>
          <w:szCs w:val="20"/>
          <w:lang w:val="es-ES"/>
        </w:rPr>
        <w:t>:</w:t>
      </w:r>
    </w:p>
    <w:p w14:paraId="049BCA93" w14:textId="77777777" w:rsidR="000D65C7" w:rsidRDefault="004D3B5F" w:rsidP="003D1896">
      <w:pPr>
        <w:pStyle w:val="Cdetexto"/>
      </w:pPr>
      <w:r w:rsidRPr="004D3B5F">
        <w:t xml:space="preserve">El </w:t>
      </w:r>
      <w:proofErr w:type="spellStart"/>
      <w:r w:rsidRPr="004D3B5F">
        <w:t>Pp</w:t>
      </w:r>
      <w:proofErr w:type="spellEnd"/>
      <w:r w:rsidRPr="004D3B5F">
        <w:t xml:space="preserve"> no es complementario ni coincidente con ningún otro </w:t>
      </w:r>
      <w:r w:rsidR="00B6230E">
        <w:t>Pp</w:t>
      </w:r>
      <w:r w:rsidRPr="004D3B5F">
        <w:t>.</w:t>
      </w:r>
    </w:p>
    <w:p w14:paraId="67B71742" w14:textId="77777777" w:rsidR="00D103A6" w:rsidRPr="00FC7306" w:rsidRDefault="00D103A6" w:rsidP="00D103A6">
      <w:pPr>
        <w:pStyle w:val="Cdetextonegrita"/>
        <w:spacing w:line="250" w:lineRule="exact"/>
      </w:pPr>
      <w:r w:rsidRPr="00FC7306">
        <w:t>Principales Recomendaciones</w:t>
      </w:r>
    </w:p>
    <w:p w14:paraId="76041F1B" w14:textId="77777777" w:rsidR="004D3B5F" w:rsidRDefault="004D3B5F" w:rsidP="004D3B5F">
      <w:pPr>
        <w:pStyle w:val="Bala"/>
        <w:numPr>
          <w:ilvl w:val="0"/>
          <w:numId w:val="16"/>
        </w:numPr>
        <w:ind w:left="357" w:hanging="357"/>
      </w:pPr>
      <w:r>
        <w:t xml:space="preserve">Elaborar un diagnóstico en el que se describa de manera específica y oportuna la necesidad que el </w:t>
      </w:r>
      <w:proofErr w:type="spellStart"/>
      <w:r>
        <w:t>Pp</w:t>
      </w:r>
      <w:proofErr w:type="spellEnd"/>
      <w:r>
        <w:t xml:space="preserve"> pretende atender, así como que proporcione evidencia nacional o internacional sobre la efectividad de los componentes propuestos.</w:t>
      </w:r>
    </w:p>
    <w:p w14:paraId="172A50BD" w14:textId="77777777" w:rsidR="004D3B5F" w:rsidRDefault="004D3B5F" w:rsidP="004D3B5F">
      <w:pPr>
        <w:pStyle w:val="Bala"/>
        <w:numPr>
          <w:ilvl w:val="0"/>
          <w:numId w:val="16"/>
        </w:numPr>
        <w:ind w:left="357" w:hanging="357"/>
      </w:pPr>
      <w:r>
        <w:t xml:space="preserve">Definir el </w:t>
      </w:r>
      <w:proofErr w:type="spellStart"/>
      <w:r>
        <w:t>AEPo</w:t>
      </w:r>
      <w:proofErr w:type="spellEnd"/>
      <w:r>
        <w:t xml:space="preserve"> y el AEO en documentos oficiales, así como sus metodologías de cálculo y generar listados de beneficiarios.</w:t>
      </w:r>
    </w:p>
    <w:p w14:paraId="4D6814F0" w14:textId="77777777" w:rsidR="004D3B5F" w:rsidRDefault="004D3B5F" w:rsidP="004D3B5F">
      <w:pPr>
        <w:pStyle w:val="Bala"/>
        <w:numPr>
          <w:ilvl w:val="0"/>
          <w:numId w:val="16"/>
        </w:numPr>
        <w:ind w:left="357" w:hanging="357"/>
      </w:pPr>
      <w:r>
        <w:t>Incluir indicadores directamente relacionados con el objetivo a nivel fin, así como eliminar aquellos que no tienen relación directa con el mismo.</w:t>
      </w:r>
    </w:p>
    <w:p w14:paraId="2CF81075" w14:textId="77777777" w:rsidR="00D103A6" w:rsidRPr="0076127F" w:rsidRDefault="004D3B5F" w:rsidP="004D3B5F">
      <w:pPr>
        <w:pStyle w:val="Bala"/>
        <w:numPr>
          <w:ilvl w:val="0"/>
          <w:numId w:val="16"/>
        </w:numPr>
        <w:ind w:left="357" w:hanging="357"/>
      </w:pPr>
      <w:r w:rsidRPr="00DA1375">
        <w:t>Definir las unidades de medida, líneas base</w:t>
      </w:r>
      <w:r>
        <w:t>, metas y comportamientos de aquellos</w:t>
      </w:r>
      <w:r w:rsidRPr="00DA1375">
        <w:t xml:space="preserve"> indicadores que no cuentan con estos elementos.</w:t>
      </w:r>
    </w:p>
    <w:p w14:paraId="439C271B" w14:textId="77777777" w:rsidR="00D103A6" w:rsidRPr="004D3B5F" w:rsidRDefault="00D103A6" w:rsidP="00D103A6">
      <w:pPr>
        <w:spacing w:before="120"/>
        <w:contextualSpacing/>
        <w:rPr>
          <w:lang w:val="es-MX"/>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
        <w:gridCol w:w="2220"/>
        <w:gridCol w:w="1803"/>
        <w:gridCol w:w="4455"/>
      </w:tblGrid>
      <w:tr w:rsidR="00D103A6" w:rsidRPr="00FC7306" w14:paraId="4DD3FC82" w14:textId="77777777" w:rsidTr="00932E6A">
        <w:trPr>
          <w:trHeight w:val="675"/>
        </w:trPr>
        <w:tc>
          <w:tcPr>
            <w:tcW w:w="749" w:type="pct"/>
            <w:vAlign w:val="center"/>
          </w:tcPr>
          <w:p w14:paraId="5894FF0A" w14:textId="77777777" w:rsidR="00D103A6" w:rsidRPr="00FC7306" w:rsidRDefault="00D103A6" w:rsidP="00932E6A">
            <w:pPr>
              <w:framePr w:hSpace="141" w:wrap="around" w:vAnchor="text" w:hAnchor="text" w:xAlign="center" w:y="1"/>
              <w:spacing w:before="20" w:after="0"/>
              <w:ind w:left="170"/>
              <w:suppressOverlap/>
              <w:rPr>
                <w:b/>
                <w:sz w:val="16"/>
                <w:lang w:val="es-ES"/>
              </w:rPr>
            </w:pPr>
            <w:r w:rsidRPr="00FC7306">
              <w:rPr>
                <w:b/>
                <w:sz w:val="16"/>
                <w:lang w:val="es-ES"/>
              </w:rPr>
              <w:lastRenderedPageBreak/>
              <w:t>Evaluador Externo</w:t>
            </w:r>
            <w:r>
              <w:rPr>
                <w:b/>
                <w:sz w:val="16"/>
                <w:lang w:val="es-ES"/>
              </w:rPr>
              <w:t>:</w:t>
            </w:r>
          </w:p>
        </w:tc>
        <w:tc>
          <w:tcPr>
            <w:tcW w:w="4251" w:type="pct"/>
            <w:gridSpan w:val="3"/>
            <w:vAlign w:val="center"/>
          </w:tcPr>
          <w:p w14:paraId="6709005E" w14:textId="77777777" w:rsidR="00D103A6" w:rsidRPr="001D5EDD" w:rsidRDefault="00D103A6" w:rsidP="00932E6A">
            <w:pPr>
              <w:framePr w:hSpace="141" w:wrap="around" w:vAnchor="text" w:hAnchor="text" w:xAlign="center" w:y="1"/>
              <w:spacing w:before="20" w:after="0"/>
              <w:ind w:left="113"/>
              <w:suppressOverlap/>
              <w:rPr>
                <w:rFonts w:eastAsia="Times New Roman"/>
                <w:sz w:val="16"/>
                <w:szCs w:val="16"/>
                <w:lang w:val="es-MX" w:eastAsia="en-US"/>
              </w:rPr>
            </w:pPr>
            <w:r w:rsidRPr="001D5EDD">
              <w:rPr>
                <w:sz w:val="16"/>
                <w:lang w:val="es-ES"/>
              </w:rPr>
              <w:t>1. Instancia Evaluadora:</w:t>
            </w:r>
            <w:r w:rsidR="00CC1800" w:rsidRPr="00CC1800">
              <w:rPr>
                <w:sz w:val="16"/>
                <w:lang w:val="es-ES"/>
              </w:rPr>
              <w:t xml:space="preserve"> </w:t>
            </w:r>
            <w:r w:rsidR="00AC7876" w:rsidRPr="00DA1375">
              <w:rPr>
                <w:sz w:val="16"/>
                <w:lang w:val="es-ES"/>
              </w:rPr>
              <w:t>Instituto de Investigaciones Dr. José María Luis Mora</w:t>
            </w:r>
          </w:p>
          <w:p w14:paraId="5F5FF8E7" w14:textId="77777777" w:rsidR="00D103A6" w:rsidRPr="00785282" w:rsidRDefault="00D103A6" w:rsidP="00932E6A">
            <w:pPr>
              <w:framePr w:hSpace="141" w:wrap="around" w:vAnchor="text" w:hAnchor="text" w:xAlign="center" w:y="1"/>
              <w:spacing w:before="20" w:after="0"/>
              <w:ind w:left="113"/>
              <w:suppressOverlap/>
              <w:rPr>
                <w:sz w:val="16"/>
                <w:lang w:val="es-ES"/>
              </w:rPr>
            </w:pPr>
            <w:r w:rsidRPr="00785282">
              <w:rPr>
                <w:sz w:val="16"/>
                <w:lang w:val="es-ES"/>
              </w:rPr>
              <w:t>2. Coordinador de la Evaluación</w:t>
            </w:r>
            <w:r w:rsidR="00CC1800" w:rsidRPr="00785282">
              <w:rPr>
                <w:sz w:val="16"/>
                <w:lang w:val="es-ES"/>
              </w:rPr>
              <w:t>:</w:t>
            </w:r>
            <w:r w:rsidR="006F4A52">
              <w:rPr>
                <w:sz w:val="16"/>
                <w:lang w:val="es-ES"/>
              </w:rPr>
              <w:t xml:space="preserve"> </w:t>
            </w:r>
            <w:r w:rsidR="00AC7876" w:rsidRPr="00DA1375">
              <w:rPr>
                <w:sz w:val="16"/>
                <w:lang w:val="es-ES"/>
              </w:rPr>
              <w:t xml:space="preserve">Simone </w:t>
            </w:r>
            <w:proofErr w:type="spellStart"/>
            <w:r w:rsidR="00AC7876" w:rsidRPr="00DA1375">
              <w:rPr>
                <w:sz w:val="16"/>
                <w:lang w:val="es-ES"/>
              </w:rPr>
              <w:t>Lucatello</w:t>
            </w:r>
            <w:proofErr w:type="spellEnd"/>
          </w:p>
          <w:p w14:paraId="7FDC9F30" w14:textId="77777777" w:rsidR="00D103A6" w:rsidRPr="001D5EDD" w:rsidRDefault="00D103A6" w:rsidP="00932E6A">
            <w:pPr>
              <w:framePr w:hSpace="141" w:wrap="around" w:vAnchor="text" w:hAnchor="text" w:xAlign="center" w:y="1"/>
              <w:spacing w:before="20" w:after="0"/>
              <w:ind w:left="113"/>
              <w:suppressOverlap/>
              <w:rPr>
                <w:sz w:val="16"/>
                <w:lang w:val="es-ES"/>
              </w:rPr>
            </w:pPr>
            <w:r w:rsidRPr="00785282">
              <w:rPr>
                <w:sz w:val="16"/>
                <w:lang w:val="es-ES"/>
              </w:rPr>
              <w:t>3. Forma de contratación:</w:t>
            </w:r>
            <w:r w:rsidR="009F6F76" w:rsidRPr="009F6F76">
              <w:rPr>
                <w:sz w:val="16"/>
                <w:lang w:val="es-ES"/>
              </w:rPr>
              <w:t xml:space="preserve"> Invitación a cuando menos tres personas</w:t>
            </w:r>
          </w:p>
        </w:tc>
      </w:tr>
      <w:tr w:rsidR="00EE239D" w:rsidRPr="00FC7306" w14:paraId="2FA75203" w14:textId="77777777" w:rsidTr="00EE239D">
        <w:trPr>
          <w:trHeight w:val="176"/>
        </w:trPr>
        <w:tc>
          <w:tcPr>
            <w:tcW w:w="749" w:type="pct"/>
            <w:vAlign w:val="center"/>
          </w:tcPr>
          <w:p w14:paraId="588ADBAB" w14:textId="77777777" w:rsidR="00EE239D" w:rsidRPr="00FC7306" w:rsidRDefault="00EE239D" w:rsidP="00932E6A">
            <w:pPr>
              <w:framePr w:hSpace="141" w:wrap="around" w:vAnchor="text" w:hAnchor="text" w:xAlign="center" w:y="1"/>
              <w:spacing w:before="20" w:after="0"/>
              <w:ind w:left="170"/>
              <w:suppressOverlap/>
              <w:rPr>
                <w:b/>
                <w:sz w:val="16"/>
                <w:lang w:val="es-ES"/>
              </w:rPr>
            </w:pPr>
          </w:p>
        </w:tc>
        <w:tc>
          <w:tcPr>
            <w:tcW w:w="1113" w:type="pct"/>
            <w:vAlign w:val="center"/>
          </w:tcPr>
          <w:p w14:paraId="621A2428" w14:textId="77777777" w:rsidR="00EE239D" w:rsidRDefault="00EE239D" w:rsidP="00873E46">
            <w:pPr>
              <w:framePr w:hSpace="141" w:wrap="around" w:vAnchor="text" w:hAnchor="text" w:xAlign="center" w:y="1"/>
              <w:spacing w:before="20" w:after="0"/>
              <w:ind w:left="113"/>
              <w:suppressOverlap/>
              <w:rPr>
                <w:sz w:val="16"/>
                <w:lang w:val="es-ES"/>
              </w:rPr>
            </w:pPr>
          </w:p>
        </w:tc>
        <w:tc>
          <w:tcPr>
            <w:tcW w:w="904" w:type="pct"/>
            <w:vAlign w:val="center"/>
          </w:tcPr>
          <w:p w14:paraId="1FEA0819" w14:textId="77777777" w:rsidR="00EE239D" w:rsidRPr="00FC7306" w:rsidRDefault="00EE239D" w:rsidP="00932E6A">
            <w:pPr>
              <w:framePr w:hSpace="141" w:wrap="around" w:vAnchor="text" w:hAnchor="text" w:xAlign="center" w:y="1"/>
              <w:spacing w:before="20" w:after="0"/>
              <w:ind w:left="170"/>
              <w:suppressOverlap/>
              <w:rPr>
                <w:b/>
                <w:sz w:val="16"/>
                <w:lang w:val="es-ES"/>
              </w:rPr>
            </w:pPr>
          </w:p>
        </w:tc>
        <w:tc>
          <w:tcPr>
            <w:tcW w:w="2234" w:type="pct"/>
            <w:vAlign w:val="center"/>
          </w:tcPr>
          <w:p w14:paraId="70455A55" w14:textId="77777777" w:rsidR="00EE239D" w:rsidRPr="00FC7306" w:rsidRDefault="00EE239D" w:rsidP="00932E6A">
            <w:pPr>
              <w:framePr w:hSpace="141" w:wrap="around" w:vAnchor="text" w:hAnchor="text" w:xAlign="center" w:y="1"/>
              <w:spacing w:before="20" w:after="0"/>
              <w:suppressOverlap/>
              <w:rPr>
                <w:sz w:val="16"/>
                <w:lang w:val="es-ES"/>
              </w:rPr>
            </w:pPr>
          </w:p>
        </w:tc>
      </w:tr>
      <w:tr w:rsidR="00D103A6" w:rsidRPr="00FC7306" w14:paraId="11DAA71F" w14:textId="77777777" w:rsidTr="00932E6A">
        <w:tc>
          <w:tcPr>
            <w:tcW w:w="749" w:type="pct"/>
            <w:vAlign w:val="center"/>
          </w:tcPr>
          <w:p w14:paraId="4101FC8E" w14:textId="77777777" w:rsidR="00D103A6" w:rsidRPr="00FC7306" w:rsidRDefault="00D103A6" w:rsidP="00932E6A">
            <w:pPr>
              <w:framePr w:hSpace="141" w:wrap="around" w:vAnchor="text" w:hAnchor="text" w:xAlign="center" w:y="1"/>
              <w:spacing w:before="20" w:after="0"/>
              <w:ind w:left="170"/>
              <w:suppressOverlap/>
              <w:rPr>
                <w:b/>
                <w:sz w:val="16"/>
                <w:lang w:val="es-ES"/>
              </w:rPr>
            </w:pPr>
            <w:r w:rsidRPr="00FC7306">
              <w:rPr>
                <w:b/>
                <w:sz w:val="16"/>
                <w:lang w:val="es-ES"/>
              </w:rPr>
              <w:t>Costo:</w:t>
            </w:r>
          </w:p>
        </w:tc>
        <w:tc>
          <w:tcPr>
            <w:tcW w:w="1113" w:type="pct"/>
            <w:vAlign w:val="center"/>
          </w:tcPr>
          <w:p w14:paraId="0442A7A9" w14:textId="77777777" w:rsidR="00D103A6" w:rsidRPr="00FC7306" w:rsidRDefault="00AC7876" w:rsidP="00AC7876">
            <w:pPr>
              <w:framePr w:hSpace="141" w:wrap="around" w:vAnchor="text" w:hAnchor="text" w:xAlign="center" w:y="1"/>
              <w:spacing w:before="20" w:after="0"/>
              <w:ind w:left="113"/>
              <w:suppressOverlap/>
              <w:rPr>
                <w:sz w:val="16"/>
                <w:lang w:val="es-ES"/>
              </w:rPr>
            </w:pPr>
            <w:r>
              <w:rPr>
                <w:sz w:val="16"/>
                <w:lang w:val="es-ES"/>
              </w:rPr>
              <w:t>$300</w:t>
            </w:r>
            <w:r w:rsidR="00CC1800">
              <w:rPr>
                <w:sz w:val="16"/>
                <w:lang w:val="es-ES"/>
              </w:rPr>
              <w:t>,</w:t>
            </w:r>
            <w:r>
              <w:rPr>
                <w:sz w:val="16"/>
                <w:lang w:val="es-ES"/>
              </w:rPr>
              <w:t>0</w:t>
            </w:r>
            <w:r w:rsidR="00CC1800">
              <w:rPr>
                <w:sz w:val="16"/>
                <w:lang w:val="es-ES"/>
              </w:rPr>
              <w:t>00.00 IVA incluido</w:t>
            </w:r>
          </w:p>
        </w:tc>
        <w:tc>
          <w:tcPr>
            <w:tcW w:w="904" w:type="pct"/>
            <w:vAlign w:val="center"/>
          </w:tcPr>
          <w:p w14:paraId="0C26AA3B" w14:textId="77777777" w:rsidR="00D103A6" w:rsidRPr="00FC7306" w:rsidRDefault="00D103A6" w:rsidP="00932E6A">
            <w:pPr>
              <w:framePr w:hSpace="141" w:wrap="around" w:vAnchor="text" w:hAnchor="text" w:xAlign="center" w:y="1"/>
              <w:spacing w:before="20" w:after="0"/>
              <w:ind w:left="170"/>
              <w:suppressOverlap/>
              <w:rPr>
                <w:b/>
                <w:sz w:val="16"/>
                <w:lang w:val="es-ES"/>
              </w:rPr>
            </w:pPr>
            <w:r>
              <w:rPr>
                <w:b/>
                <w:sz w:val="16"/>
                <w:lang w:val="es-ES"/>
              </w:rPr>
              <w:t>Fuente de Financiamiento:</w:t>
            </w:r>
            <w:r w:rsidRPr="00FC7306">
              <w:rPr>
                <w:b/>
                <w:sz w:val="16"/>
                <w:lang w:val="es-ES"/>
              </w:rPr>
              <w:t xml:space="preserve"> </w:t>
            </w:r>
          </w:p>
        </w:tc>
        <w:tc>
          <w:tcPr>
            <w:tcW w:w="2234" w:type="pct"/>
            <w:vAlign w:val="center"/>
          </w:tcPr>
          <w:p w14:paraId="425D56E0" w14:textId="77777777" w:rsidR="00D103A6" w:rsidRPr="00FC7306" w:rsidRDefault="00D103A6" w:rsidP="00932E6A">
            <w:pPr>
              <w:framePr w:hSpace="141" w:wrap="around" w:vAnchor="text" w:hAnchor="text" w:xAlign="center" w:y="1"/>
              <w:spacing w:before="20" w:after="0"/>
              <w:suppressOverlap/>
              <w:rPr>
                <w:sz w:val="16"/>
                <w:highlight w:val="yellow"/>
                <w:lang w:val="es-ES"/>
              </w:rPr>
            </w:pPr>
            <w:r w:rsidRPr="00FC7306">
              <w:rPr>
                <w:sz w:val="16"/>
                <w:lang w:val="es-ES"/>
              </w:rPr>
              <w:t>Recursos Fiscales</w:t>
            </w:r>
          </w:p>
        </w:tc>
      </w:tr>
      <w:tr w:rsidR="00D103A6" w:rsidRPr="00FC7306" w14:paraId="5AF83A4A" w14:textId="77777777" w:rsidTr="00932E6A">
        <w:tc>
          <w:tcPr>
            <w:tcW w:w="749" w:type="pct"/>
            <w:tcBorders>
              <w:bottom w:val="single" w:sz="4" w:space="0" w:color="auto"/>
            </w:tcBorders>
            <w:vAlign w:val="center"/>
          </w:tcPr>
          <w:p w14:paraId="0C49F847" w14:textId="77777777" w:rsidR="00D103A6" w:rsidRPr="00FC7306" w:rsidRDefault="00D103A6" w:rsidP="009F6F76">
            <w:pPr>
              <w:pStyle w:val="Textocuadroneg1"/>
              <w:framePr w:hSpace="141" w:wrap="around" w:vAnchor="text" w:hAnchor="text" w:xAlign="center" w:y="1"/>
              <w:suppressOverlap/>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14:paraId="0CC66F1F" w14:textId="77777777" w:rsidR="00D103A6" w:rsidRPr="00FC7306" w:rsidRDefault="009F6F76" w:rsidP="009F6F76">
            <w:pPr>
              <w:pStyle w:val="Cdetexto"/>
              <w:framePr w:hSpace="141" w:wrap="around" w:vAnchor="text" w:hAnchor="text" w:xAlign="center" w:y="1"/>
              <w:spacing w:after="0"/>
              <w:suppressOverlap/>
              <w:jc w:val="center"/>
              <w:rPr>
                <w:sz w:val="14"/>
                <w:szCs w:val="14"/>
              </w:rPr>
            </w:pPr>
            <w:r w:rsidRPr="00785282">
              <w:rPr>
                <w:sz w:val="16"/>
                <w:szCs w:val="14"/>
              </w:rPr>
              <w:t>SHCP</w:t>
            </w:r>
          </w:p>
        </w:tc>
        <w:tc>
          <w:tcPr>
            <w:tcW w:w="904" w:type="pct"/>
            <w:tcBorders>
              <w:bottom w:val="single" w:sz="4" w:space="0" w:color="auto"/>
            </w:tcBorders>
            <w:vAlign w:val="center"/>
          </w:tcPr>
          <w:p w14:paraId="33A1BBFF" w14:textId="77777777" w:rsidR="00D103A6" w:rsidRPr="00FC7306" w:rsidRDefault="00D103A6" w:rsidP="00932E6A">
            <w:pPr>
              <w:pStyle w:val="Textocuadroneg1"/>
              <w:framePr w:hSpace="141" w:wrap="around" w:vAnchor="text" w:hAnchor="text" w:xAlign="center" w:y="1"/>
              <w:suppressOverlap/>
              <w:rPr>
                <w:sz w:val="16"/>
                <w:szCs w:val="16"/>
              </w:rPr>
            </w:pPr>
            <w:r w:rsidRPr="00FC7306">
              <w:rPr>
                <w:sz w:val="16"/>
                <w:szCs w:val="16"/>
              </w:rPr>
              <w:t>Informe completo</w:t>
            </w:r>
            <w:r>
              <w:rPr>
                <w:sz w:val="16"/>
                <w:szCs w:val="16"/>
              </w:rPr>
              <w:t>:</w:t>
            </w:r>
          </w:p>
        </w:tc>
        <w:tc>
          <w:tcPr>
            <w:tcW w:w="2234" w:type="pct"/>
            <w:tcBorders>
              <w:bottom w:val="single" w:sz="4" w:space="0" w:color="auto"/>
            </w:tcBorders>
            <w:vAlign w:val="center"/>
          </w:tcPr>
          <w:p w14:paraId="5EB60744" w14:textId="77777777" w:rsidR="00D103A6" w:rsidRPr="00FC7306" w:rsidRDefault="00D103A6" w:rsidP="00932E6A">
            <w:pPr>
              <w:pStyle w:val="Textocuadro1"/>
              <w:framePr w:hSpace="141" w:wrap="around" w:vAnchor="text" w:hAnchor="text" w:xAlign="center" w:y="1"/>
              <w:suppressOverlap/>
              <w:rPr>
                <w:sz w:val="16"/>
                <w:szCs w:val="16"/>
              </w:rPr>
            </w:pPr>
            <w:r w:rsidRPr="00FC7306">
              <w:rPr>
                <w:sz w:val="16"/>
                <w:szCs w:val="16"/>
              </w:rPr>
              <w:t>Disponible en:</w:t>
            </w:r>
          </w:p>
          <w:p w14:paraId="0841AF8C" w14:textId="77777777" w:rsidR="00D103A6" w:rsidRPr="00FC7306" w:rsidRDefault="00D103A6" w:rsidP="009F6F76">
            <w:pPr>
              <w:pStyle w:val="Textocuadro1"/>
              <w:framePr w:hSpace="141" w:wrap="around" w:vAnchor="text" w:hAnchor="text" w:xAlign="center" w:y="1"/>
              <w:suppressOverlap/>
              <w:rPr>
                <w:sz w:val="16"/>
                <w:szCs w:val="16"/>
              </w:rPr>
            </w:pPr>
            <w:r w:rsidRPr="00FC7306">
              <w:rPr>
                <w:sz w:val="16"/>
                <w:szCs w:val="16"/>
              </w:rPr>
              <w:t>http://www.transparenciapresupuestaria.gob.mx/</w:t>
            </w:r>
          </w:p>
        </w:tc>
      </w:tr>
    </w:tbl>
    <w:p w14:paraId="7FE11E11" w14:textId="77777777" w:rsidR="00D103A6" w:rsidRPr="00A615D2" w:rsidRDefault="00D103A6" w:rsidP="00D103A6">
      <w:pPr>
        <w:spacing w:before="120"/>
        <w:contextualSpacing/>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C4673C" w:rsidRPr="0043350C" w14:paraId="3BEE3F4C" w14:textId="77777777" w:rsidTr="0014275D">
        <w:trPr>
          <w:trHeight w:val="392"/>
          <w:jc w:val="center"/>
        </w:trPr>
        <w:tc>
          <w:tcPr>
            <w:tcW w:w="10173" w:type="dxa"/>
            <w:gridSpan w:val="5"/>
            <w:shd w:val="clear" w:color="auto" w:fill="D6E3BC" w:themeFill="accent3" w:themeFillTint="66"/>
            <w:vAlign w:val="center"/>
          </w:tcPr>
          <w:p w14:paraId="7A4B75AC" w14:textId="77777777" w:rsidR="00C4673C" w:rsidRPr="00AE4D8D" w:rsidRDefault="00C4673C" w:rsidP="005E4D3A">
            <w:pPr>
              <w:pStyle w:val="CABEZA"/>
              <w:ind w:left="0"/>
              <w:rPr>
                <w:lang w:val="es-MX"/>
              </w:rPr>
            </w:pPr>
            <w:r w:rsidRPr="008873F7">
              <w:rPr>
                <w:lang w:val="es-MX"/>
              </w:rPr>
              <w:br w:type="page"/>
            </w:r>
            <w:r w:rsidRPr="00D37B5C">
              <w:rPr>
                <w:lang w:val="es-MX"/>
              </w:rPr>
              <w:t xml:space="preserve">Ramo </w:t>
            </w:r>
            <w:r>
              <w:rPr>
                <w:lang w:val="es-MX"/>
              </w:rPr>
              <w:t>18. Energía</w:t>
            </w:r>
          </w:p>
        </w:tc>
      </w:tr>
      <w:tr w:rsidR="00C4673C" w:rsidRPr="0043350C" w14:paraId="192004BD" w14:textId="77777777" w:rsidTr="0014275D">
        <w:trPr>
          <w:jc w:val="center"/>
        </w:trPr>
        <w:tc>
          <w:tcPr>
            <w:tcW w:w="1359" w:type="dxa"/>
            <w:shd w:val="clear" w:color="auto" w:fill="D9D9D9" w:themeFill="background1" w:themeFillShade="D9"/>
          </w:tcPr>
          <w:p w14:paraId="3DFF0B2B" w14:textId="77777777" w:rsidR="00C4673C" w:rsidRPr="0043350C" w:rsidRDefault="00C4673C" w:rsidP="0014275D">
            <w:pPr>
              <w:spacing w:before="20"/>
              <w:rPr>
                <w:b/>
                <w:sz w:val="16"/>
                <w:lang w:val="es-ES"/>
              </w:rPr>
            </w:pPr>
            <w:r w:rsidRPr="0043350C">
              <w:rPr>
                <w:b/>
                <w:sz w:val="16"/>
                <w:lang w:val="es-ES"/>
              </w:rPr>
              <w:t xml:space="preserve">Clave del </w:t>
            </w:r>
            <w:proofErr w:type="spellStart"/>
            <w:r w:rsidRPr="0043350C">
              <w:rPr>
                <w:b/>
                <w:sz w:val="16"/>
                <w:lang w:val="es-ES"/>
              </w:rPr>
              <w:t>Pp</w:t>
            </w:r>
            <w:proofErr w:type="spellEnd"/>
            <w:r w:rsidRPr="0043350C">
              <w:rPr>
                <w:b/>
                <w:sz w:val="16"/>
                <w:lang w:val="es-ES"/>
              </w:rPr>
              <w:t>:</w:t>
            </w:r>
          </w:p>
        </w:tc>
        <w:tc>
          <w:tcPr>
            <w:tcW w:w="734" w:type="dxa"/>
            <w:shd w:val="clear" w:color="auto" w:fill="D9D9D9" w:themeFill="background1" w:themeFillShade="D9"/>
          </w:tcPr>
          <w:p w14:paraId="7C5C522D" w14:textId="77777777" w:rsidR="00C4673C" w:rsidRPr="0043350C" w:rsidRDefault="00C4673C" w:rsidP="0014275D">
            <w:pPr>
              <w:contextualSpacing/>
              <w:rPr>
                <w:sz w:val="16"/>
                <w:szCs w:val="16"/>
                <w:lang w:val="es-ES" w:eastAsia="en-US"/>
              </w:rPr>
            </w:pPr>
            <w:r>
              <w:rPr>
                <w:sz w:val="16"/>
                <w:szCs w:val="16"/>
                <w:lang w:val="es-ES" w:eastAsia="en-US"/>
              </w:rPr>
              <w:t>P008</w:t>
            </w:r>
          </w:p>
        </w:tc>
        <w:tc>
          <w:tcPr>
            <w:tcW w:w="1701" w:type="dxa"/>
            <w:gridSpan w:val="2"/>
            <w:shd w:val="clear" w:color="auto" w:fill="D9D9D9" w:themeFill="background1" w:themeFillShade="D9"/>
          </w:tcPr>
          <w:p w14:paraId="7CC97537" w14:textId="77777777" w:rsidR="00C4673C" w:rsidRPr="0043350C" w:rsidRDefault="00C4673C" w:rsidP="0014275D">
            <w:pPr>
              <w:spacing w:before="20"/>
              <w:rPr>
                <w:b/>
                <w:sz w:val="16"/>
                <w:lang w:val="es-ES"/>
              </w:rPr>
            </w:pPr>
            <w:r w:rsidRPr="0043350C">
              <w:rPr>
                <w:b/>
                <w:sz w:val="16"/>
                <w:lang w:val="es-ES"/>
              </w:rPr>
              <w:t>Denominación:</w:t>
            </w:r>
          </w:p>
        </w:tc>
        <w:tc>
          <w:tcPr>
            <w:tcW w:w="6379" w:type="dxa"/>
            <w:shd w:val="clear" w:color="auto" w:fill="D9D9D9" w:themeFill="background1" w:themeFillShade="D9"/>
          </w:tcPr>
          <w:p w14:paraId="57A2BC56" w14:textId="77777777" w:rsidR="00C4673C" w:rsidRPr="0043350C" w:rsidRDefault="00C4673C" w:rsidP="0014275D">
            <w:pPr>
              <w:contextualSpacing/>
              <w:rPr>
                <w:sz w:val="16"/>
                <w:szCs w:val="16"/>
                <w:lang w:val="es-ES" w:eastAsia="en-US"/>
              </w:rPr>
            </w:pPr>
            <w:r w:rsidRPr="004E3825">
              <w:rPr>
                <w:sz w:val="16"/>
                <w:szCs w:val="16"/>
                <w:lang w:val="es-ES" w:eastAsia="en-US"/>
              </w:rPr>
              <w:t>Gestión, promoción, supervisión y evaluación del aprovechamiento sustentable de la energía</w:t>
            </w:r>
          </w:p>
        </w:tc>
      </w:tr>
      <w:tr w:rsidR="00C4673C" w:rsidRPr="0043350C" w14:paraId="13EAA554" w14:textId="77777777" w:rsidTr="0014275D">
        <w:trPr>
          <w:jc w:val="center"/>
        </w:trPr>
        <w:tc>
          <w:tcPr>
            <w:tcW w:w="2778" w:type="dxa"/>
            <w:gridSpan w:val="3"/>
          </w:tcPr>
          <w:p w14:paraId="7C6283CC" w14:textId="77777777" w:rsidR="00C4673C" w:rsidRPr="0043350C" w:rsidRDefault="00C4673C" w:rsidP="0014275D">
            <w:pPr>
              <w:spacing w:before="20"/>
              <w:rPr>
                <w:b/>
                <w:sz w:val="16"/>
                <w:lang w:val="es-ES"/>
              </w:rPr>
            </w:pPr>
            <w:r w:rsidRPr="0043350C">
              <w:rPr>
                <w:b/>
                <w:sz w:val="16"/>
                <w:lang w:val="es-ES"/>
              </w:rPr>
              <w:t>Unidad Administrativa:</w:t>
            </w:r>
          </w:p>
        </w:tc>
        <w:tc>
          <w:tcPr>
            <w:tcW w:w="7395" w:type="dxa"/>
            <w:gridSpan w:val="2"/>
          </w:tcPr>
          <w:p w14:paraId="6A6731B4" w14:textId="77777777" w:rsidR="00C4673C" w:rsidRPr="0043350C" w:rsidRDefault="004A3318" w:rsidP="004A3318">
            <w:pPr>
              <w:pStyle w:val="Sinespaciado"/>
              <w:rPr>
                <w:sz w:val="16"/>
                <w:szCs w:val="16"/>
                <w:lang w:eastAsia="en-US"/>
              </w:rPr>
            </w:pPr>
            <w:r w:rsidRPr="004A3318">
              <w:rPr>
                <w:rFonts w:ascii="Soberana Sans" w:hAnsi="Soberana Sans"/>
                <w:sz w:val="16"/>
                <w:szCs w:val="16"/>
              </w:rPr>
              <w:t>Comisión Nacional para el Uso Eficiente de la Energía</w:t>
            </w:r>
          </w:p>
        </w:tc>
      </w:tr>
      <w:tr w:rsidR="00C4673C" w:rsidRPr="0043350C" w14:paraId="3BD6C28B" w14:textId="77777777" w:rsidTr="0014275D">
        <w:trPr>
          <w:jc w:val="center"/>
        </w:trPr>
        <w:tc>
          <w:tcPr>
            <w:tcW w:w="2778" w:type="dxa"/>
            <w:gridSpan w:val="3"/>
          </w:tcPr>
          <w:p w14:paraId="2BD54050" w14:textId="77777777" w:rsidR="00C4673C" w:rsidRPr="0043350C" w:rsidRDefault="00C4673C" w:rsidP="0014275D">
            <w:pPr>
              <w:spacing w:before="20"/>
              <w:rPr>
                <w:b/>
                <w:sz w:val="16"/>
                <w:lang w:val="es-ES"/>
              </w:rPr>
            </w:pPr>
            <w:r w:rsidRPr="0043350C">
              <w:rPr>
                <w:b/>
                <w:sz w:val="16"/>
                <w:lang w:val="es-ES"/>
              </w:rPr>
              <w:t>Responsable:</w:t>
            </w:r>
          </w:p>
        </w:tc>
        <w:tc>
          <w:tcPr>
            <w:tcW w:w="7395" w:type="dxa"/>
            <w:gridSpan w:val="2"/>
          </w:tcPr>
          <w:p w14:paraId="2F110AC4" w14:textId="77777777" w:rsidR="00C4673C" w:rsidRPr="00C4673C" w:rsidRDefault="004A3318" w:rsidP="00C4673C">
            <w:pPr>
              <w:pStyle w:val="Sinespaciado"/>
              <w:rPr>
                <w:rFonts w:ascii="Soberana Sans" w:hAnsi="Soberana Sans"/>
                <w:sz w:val="16"/>
                <w:szCs w:val="16"/>
              </w:rPr>
            </w:pPr>
            <w:r w:rsidRPr="004A3318">
              <w:rPr>
                <w:rFonts w:ascii="Soberana Sans" w:hAnsi="Soberana Sans"/>
                <w:sz w:val="16"/>
                <w:szCs w:val="16"/>
              </w:rPr>
              <w:t>Odón de Buen Rodríguez</w:t>
            </w:r>
          </w:p>
        </w:tc>
      </w:tr>
      <w:tr w:rsidR="00C4673C" w:rsidRPr="0043350C" w14:paraId="3416A883" w14:textId="77777777" w:rsidTr="0014275D">
        <w:trPr>
          <w:jc w:val="center"/>
        </w:trPr>
        <w:tc>
          <w:tcPr>
            <w:tcW w:w="2778" w:type="dxa"/>
            <w:gridSpan w:val="3"/>
            <w:shd w:val="clear" w:color="auto" w:fill="D9D9D9" w:themeFill="background1" w:themeFillShade="D9"/>
          </w:tcPr>
          <w:p w14:paraId="38F210F5" w14:textId="77777777" w:rsidR="00C4673C" w:rsidRPr="0043350C" w:rsidRDefault="00C4673C" w:rsidP="0014275D">
            <w:pPr>
              <w:spacing w:before="20"/>
              <w:rPr>
                <w:b/>
                <w:sz w:val="16"/>
                <w:lang w:val="es-ES"/>
              </w:rPr>
            </w:pPr>
            <w:r w:rsidRPr="0043350C">
              <w:rPr>
                <w:b/>
                <w:sz w:val="16"/>
                <w:lang w:val="es-ES"/>
              </w:rPr>
              <w:t>Tipo de Evaluación:</w:t>
            </w:r>
          </w:p>
        </w:tc>
        <w:tc>
          <w:tcPr>
            <w:tcW w:w="7395" w:type="dxa"/>
            <w:gridSpan w:val="2"/>
            <w:shd w:val="clear" w:color="auto" w:fill="D9D9D9" w:themeFill="background1" w:themeFillShade="D9"/>
          </w:tcPr>
          <w:p w14:paraId="39816544" w14:textId="77777777" w:rsidR="00C4673C" w:rsidRPr="0043350C" w:rsidRDefault="00C4673C" w:rsidP="0014275D">
            <w:pPr>
              <w:spacing w:before="20"/>
              <w:rPr>
                <w:sz w:val="16"/>
                <w:lang w:val="es-ES"/>
              </w:rPr>
            </w:pPr>
            <w:r>
              <w:rPr>
                <w:sz w:val="16"/>
                <w:lang w:val="es-ES"/>
              </w:rPr>
              <w:t xml:space="preserve">En materia de </w:t>
            </w:r>
            <w:r w:rsidRPr="00FC7306">
              <w:rPr>
                <w:sz w:val="16"/>
                <w:lang w:val="es-ES"/>
              </w:rPr>
              <w:t>Diseño</w:t>
            </w:r>
            <w:r>
              <w:rPr>
                <w:sz w:val="16"/>
                <w:lang w:val="es-ES"/>
              </w:rPr>
              <w:t>, PAE 2017</w:t>
            </w:r>
          </w:p>
        </w:tc>
      </w:tr>
    </w:tbl>
    <w:p w14:paraId="644B7604" w14:textId="77777777" w:rsidR="00035158" w:rsidRPr="00C4673C" w:rsidRDefault="00035158" w:rsidP="00D103A6">
      <w:pPr>
        <w:spacing w:before="120"/>
        <w:contextualSpacing/>
      </w:pPr>
    </w:p>
    <w:p w14:paraId="3DFB5BC8" w14:textId="77777777" w:rsidR="00C4673C" w:rsidRPr="00FC7306" w:rsidRDefault="00C4673C" w:rsidP="00C4673C">
      <w:pPr>
        <w:pStyle w:val="Cdetextonegrita"/>
        <w:spacing w:line="250" w:lineRule="exact"/>
      </w:pPr>
      <w:r w:rsidRPr="00FC7306">
        <w:t xml:space="preserve">Descripción del </w:t>
      </w:r>
      <w:proofErr w:type="spellStart"/>
      <w:r w:rsidRPr="00FC7306">
        <w:t>P</w:t>
      </w:r>
      <w:r>
        <w:t>p</w:t>
      </w:r>
      <w:proofErr w:type="spellEnd"/>
    </w:p>
    <w:p w14:paraId="6EFCE9CF" w14:textId="77777777" w:rsidR="00C4673C" w:rsidRDefault="00C4673C" w:rsidP="00C4673C">
      <w:pPr>
        <w:pStyle w:val="Cdetexto"/>
      </w:pPr>
      <w:r>
        <w:t xml:space="preserve">El </w:t>
      </w:r>
      <w:proofErr w:type="spellStart"/>
      <w:r>
        <w:t>Pp</w:t>
      </w:r>
      <w:proofErr w:type="spellEnd"/>
      <w:r>
        <w:t xml:space="preserve"> P008 es el resultado de l</w:t>
      </w:r>
      <w:r w:rsidRPr="00894604">
        <w:t>a fu</w:t>
      </w:r>
      <w:r>
        <w:t xml:space="preserve">sión de cuatro </w:t>
      </w:r>
      <w:proofErr w:type="spellStart"/>
      <w:r w:rsidR="00B6230E">
        <w:t>Pp</w:t>
      </w:r>
      <w:proofErr w:type="spellEnd"/>
      <w:r>
        <w:t xml:space="preserve"> (E009 Gestión e implementación en aprovechamiento sustentable de la energía; F012 Promoción en materia de aprovechamiento sustentable de la energía; G007 Supervisar el aprovechamiento sustentable de la energía y P008 Seguimiento y evaluación de políticas públicas en aprovechamiento sustentable de la energía), </w:t>
      </w:r>
      <w:r w:rsidR="00B6230E">
        <w:t xml:space="preserve">resultado </w:t>
      </w:r>
      <w:r w:rsidRPr="00894604">
        <w:t xml:space="preserve">de la compactación de programas </w:t>
      </w:r>
      <w:r>
        <w:t xml:space="preserve">para el Presupuesto de Egresos de </w:t>
      </w:r>
      <w:r w:rsidR="00B6230E">
        <w:t xml:space="preserve">la Federación para el </w:t>
      </w:r>
      <w:r w:rsidR="005E4D3A">
        <w:t>E</w:t>
      </w:r>
      <w:r w:rsidR="00B6230E">
        <w:t xml:space="preserve">jercicio </w:t>
      </w:r>
      <w:r w:rsidR="005E4D3A">
        <w:t>F</w:t>
      </w:r>
      <w:r w:rsidR="00B6230E">
        <w:t xml:space="preserve">iscal </w:t>
      </w:r>
      <w:r>
        <w:t>2016</w:t>
      </w:r>
      <w:r w:rsidRPr="00894604">
        <w:t xml:space="preserve">, </w:t>
      </w:r>
      <w:r>
        <w:t>así como de la expedición</w:t>
      </w:r>
      <w:r w:rsidRPr="00894604">
        <w:t xml:space="preserve"> la Ley de Transición Energética (LTE) y su reglamento</w:t>
      </w:r>
      <w:r w:rsidR="00B6230E">
        <w:t>,</w:t>
      </w:r>
      <w:r w:rsidRPr="00894604">
        <w:t xml:space="preserve"> </w:t>
      </w:r>
      <w:r>
        <w:t xml:space="preserve">donde se </w:t>
      </w:r>
      <w:r w:rsidRPr="00894604">
        <w:t xml:space="preserve">establecen las atribuciones de la </w:t>
      </w:r>
      <w:r w:rsidR="00B6230E" w:rsidRPr="00B6230E">
        <w:t xml:space="preserve">Comisión Nacional para el Uso Eficiente de la Energía </w:t>
      </w:r>
      <w:r w:rsidR="00B6230E">
        <w:t>(</w:t>
      </w:r>
      <w:r w:rsidRPr="00894604">
        <w:t>CONUEE</w:t>
      </w:r>
      <w:r w:rsidR="00B6230E">
        <w:t>).</w:t>
      </w:r>
    </w:p>
    <w:p w14:paraId="77A2A873" w14:textId="77777777" w:rsidR="00C4673C" w:rsidRDefault="00C4673C" w:rsidP="00C4673C">
      <w:pPr>
        <w:pStyle w:val="Cdetexto"/>
      </w:pPr>
      <w:r>
        <w:t>El problema que atiende es “</w:t>
      </w:r>
      <w:r w:rsidR="005E4D3A">
        <w:rPr>
          <w:szCs w:val="22"/>
        </w:rPr>
        <w:t>E</w:t>
      </w:r>
      <w:r>
        <w:rPr>
          <w:szCs w:val="22"/>
        </w:rPr>
        <w:t>l uso ineficiente de la energía en el país con efectos negativos en términos de competitividad económica, seguridad energética, de protección al medio ambiente, que reduce la calidad</w:t>
      </w:r>
      <w:r w:rsidR="004A3318">
        <w:rPr>
          <w:szCs w:val="22"/>
        </w:rPr>
        <w:t xml:space="preserve"> de vida de los mexicanos”</w:t>
      </w:r>
      <w:r>
        <w:rPr>
          <w:szCs w:val="22"/>
        </w:rPr>
        <w:t>.</w:t>
      </w:r>
    </w:p>
    <w:p w14:paraId="36254687" w14:textId="77777777" w:rsidR="00C4673C" w:rsidRDefault="00C4673C" w:rsidP="00C4673C">
      <w:pPr>
        <w:pStyle w:val="Cdetexto"/>
        <w:rPr>
          <w:szCs w:val="22"/>
        </w:rPr>
      </w:pPr>
      <w:r>
        <w:t xml:space="preserve">El fin del </w:t>
      </w:r>
      <w:proofErr w:type="spellStart"/>
      <w:r>
        <w:t>Pp</w:t>
      </w:r>
      <w:proofErr w:type="spellEnd"/>
      <w:r>
        <w:t xml:space="preserve"> es el siguiente: </w:t>
      </w:r>
      <w:r w:rsidRPr="006A68AE">
        <w:rPr>
          <w:szCs w:val="22"/>
        </w:rPr>
        <w:t>“Contribuir a ampliar la utilización de fuentes de energía limpias y renovables, promoviendo la eficiencia energética y la responsabilidad social y ambiental mediante la gestión, promoción y difusión, normalización, así como el seguimiento y evaluación de las políticas y programas para el uso eficiente de la energía a los diversos sectores de la población”</w:t>
      </w:r>
      <w:r>
        <w:rPr>
          <w:szCs w:val="22"/>
        </w:rPr>
        <w:t>.</w:t>
      </w:r>
    </w:p>
    <w:p w14:paraId="4F0F8188" w14:textId="77777777" w:rsidR="00C4673C" w:rsidRPr="006E3B9C" w:rsidRDefault="00C4673C" w:rsidP="00C4673C">
      <w:pPr>
        <w:pStyle w:val="Cdetexto"/>
      </w:pPr>
      <w:r w:rsidRPr="006E3B9C">
        <w:t xml:space="preserve">El propósito del </w:t>
      </w:r>
      <w:proofErr w:type="spellStart"/>
      <w:r w:rsidRPr="006E3B9C">
        <w:t>Pp</w:t>
      </w:r>
      <w:proofErr w:type="spellEnd"/>
      <w:r w:rsidRPr="006E3B9C">
        <w:t xml:space="preserve"> </w:t>
      </w:r>
      <w:r>
        <w:t>es “</w:t>
      </w:r>
      <w:r w:rsidRPr="006A68AE">
        <w:rPr>
          <w:szCs w:val="22"/>
        </w:rPr>
        <w:t>Los sectores económicos de uso final de energía del país, cuentan con Normas Oficiales Mexicanas de eficiencia energética, programas de ahorro de energía, sistemas de gestión de la energía y estrategias de promoción para el aprovechamiento sustentable de la energía</w:t>
      </w:r>
      <w:r>
        <w:t>”.</w:t>
      </w:r>
    </w:p>
    <w:p w14:paraId="20E92C1A" w14:textId="77777777" w:rsidR="00C4673C" w:rsidRPr="00CC1800" w:rsidRDefault="00C4673C" w:rsidP="00C4673C">
      <w:pPr>
        <w:pStyle w:val="Cdetexto"/>
      </w:pPr>
      <w:r>
        <w:t xml:space="preserve">La </w:t>
      </w:r>
      <w:proofErr w:type="spellStart"/>
      <w:r>
        <w:t>PPo</w:t>
      </w:r>
      <w:proofErr w:type="spellEnd"/>
      <w:r>
        <w:t xml:space="preserve"> </w:t>
      </w:r>
      <w:r w:rsidR="00402061">
        <w:t xml:space="preserve">está conformada por </w:t>
      </w:r>
      <w:r>
        <w:t>“</w:t>
      </w:r>
      <w:r w:rsidR="005B6268">
        <w:t>L</w:t>
      </w:r>
      <w:r w:rsidRPr="00FD0C35">
        <w:t>os usuarios de energía eléctrica o térmica</w:t>
      </w:r>
      <w:r>
        <w:t>”, mientras que la PO son “</w:t>
      </w:r>
      <w:r w:rsidR="005B6268">
        <w:rPr>
          <w:szCs w:val="22"/>
        </w:rPr>
        <w:t>S</w:t>
      </w:r>
      <w:r>
        <w:rPr>
          <w:szCs w:val="22"/>
        </w:rPr>
        <w:t xml:space="preserve">ector residencial, pequeñas y medianas empresas, grandes usuarios de energía, empresas energéticas, estados y municipios y la APF (Administración Pública Federal)”. Por último la </w:t>
      </w:r>
      <w:r w:rsidR="00187E08">
        <w:rPr>
          <w:szCs w:val="22"/>
        </w:rPr>
        <w:t>Población Atendida</w:t>
      </w:r>
      <w:r>
        <w:rPr>
          <w:szCs w:val="22"/>
        </w:rPr>
        <w:t xml:space="preserve"> </w:t>
      </w:r>
      <w:r w:rsidRPr="00FD0C35">
        <w:rPr>
          <w:szCs w:val="22"/>
        </w:rPr>
        <w:t>“</w:t>
      </w:r>
      <w:r w:rsidR="005B6268">
        <w:rPr>
          <w:szCs w:val="22"/>
        </w:rPr>
        <w:t>S</w:t>
      </w:r>
      <w:r w:rsidRPr="00FD0C35">
        <w:rPr>
          <w:szCs w:val="22"/>
        </w:rPr>
        <w:t>erá el conjunto de usuarios de energía que reciban alguna acción de la Comisión, en cuanto a asistencia o revisión técnica, asesorías, información, usuarios de algún sistema que cuente con una NOM, lineamiento, o disposición de eficiencia energética”</w:t>
      </w:r>
      <w:r w:rsidR="00496FDD">
        <w:rPr>
          <w:szCs w:val="22"/>
        </w:rPr>
        <w:t>.</w:t>
      </w:r>
    </w:p>
    <w:p w14:paraId="2C4DB84A" w14:textId="77777777" w:rsidR="00C4673C" w:rsidRPr="00F81318" w:rsidRDefault="00C4673C" w:rsidP="00C4673C">
      <w:pPr>
        <w:spacing w:line="250" w:lineRule="exact"/>
        <w:jc w:val="both"/>
        <w:rPr>
          <w:rFonts w:eastAsia="Times New Roman" w:cs="Arial"/>
          <w:szCs w:val="20"/>
          <w:lang w:val="es-ES"/>
        </w:rPr>
      </w:pPr>
      <w:r w:rsidRPr="00FA2CAE">
        <w:rPr>
          <w:rFonts w:eastAsia="Times New Roman" w:cs="Arial"/>
          <w:szCs w:val="20"/>
          <w:lang w:val="es-ES"/>
        </w:rPr>
        <w:lastRenderedPageBreak/>
        <w:t xml:space="preserve">El </w:t>
      </w:r>
      <w:proofErr w:type="spellStart"/>
      <w:r w:rsidRPr="00FA2CAE">
        <w:rPr>
          <w:rFonts w:eastAsia="Times New Roman" w:cs="Arial"/>
          <w:szCs w:val="20"/>
          <w:lang w:val="es-ES"/>
        </w:rPr>
        <w:t>Pp</w:t>
      </w:r>
      <w:proofErr w:type="spellEnd"/>
      <w:r w:rsidRPr="00FA2CAE">
        <w:rPr>
          <w:rFonts w:eastAsia="Times New Roman" w:cs="Arial"/>
          <w:szCs w:val="20"/>
          <w:lang w:val="es-ES"/>
        </w:rPr>
        <w:t xml:space="preserve"> está alineado a la Meta Nacional </w:t>
      </w:r>
      <w:r>
        <w:t>IV.</w:t>
      </w:r>
      <w:r w:rsidRPr="00F81318">
        <w:t xml:space="preserve"> </w:t>
      </w:r>
      <w:r>
        <w:t xml:space="preserve">México Próspero </w:t>
      </w:r>
      <w:r w:rsidRPr="00FA2CAE">
        <w:rPr>
          <w:rFonts w:eastAsia="Times New Roman" w:cs="Arial"/>
          <w:szCs w:val="20"/>
          <w:lang w:val="es-ES"/>
        </w:rPr>
        <w:t>del P</w:t>
      </w:r>
      <w:r>
        <w:t>ND</w:t>
      </w:r>
      <w:r>
        <w:rPr>
          <w:rFonts w:eastAsia="Times New Roman" w:cs="Arial"/>
          <w:szCs w:val="20"/>
          <w:lang w:val="es-ES"/>
        </w:rPr>
        <w:t xml:space="preserve"> y</w:t>
      </w:r>
      <w:r w:rsidRPr="00FA2CAE">
        <w:rPr>
          <w:rFonts w:eastAsia="Times New Roman" w:cs="Arial"/>
          <w:szCs w:val="20"/>
          <w:lang w:val="es-ES"/>
        </w:rPr>
        <w:t xml:space="preserve"> al </w:t>
      </w:r>
      <w:r w:rsidRPr="00FD0C35">
        <w:rPr>
          <w:rFonts w:eastAsia="Times New Roman" w:cs="Arial"/>
          <w:szCs w:val="20"/>
          <w:lang w:val="es-ES"/>
        </w:rPr>
        <w:t>Programa Sectorial de Energía 2013-2018</w:t>
      </w:r>
      <w:r w:rsidR="006F4A52">
        <w:rPr>
          <w:rFonts w:eastAsia="Times New Roman" w:cs="Arial"/>
          <w:szCs w:val="20"/>
          <w:lang w:val="es-ES"/>
        </w:rPr>
        <w:t xml:space="preserve"> </w:t>
      </w:r>
      <w:r>
        <w:rPr>
          <w:rFonts w:eastAsia="Times New Roman" w:cs="Arial"/>
          <w:szCs w:val="20"/>
          <w:lang w:val="es-ES"/>
        </w:rPr>
        <w:t>mediante el Objetivo 5</w:t>
      </w:r>
      <w:r w:rsidRPr="00FD0C35">
        <w:rPr>
          <w:rFonts w:eastAsia="Times New Roman" w:cs="Arial"/>
          <w:szCs w:val="20"/>
          <w:lang w:val="es-ES"/>
        </w:rPr>
        <w:t>.</w:t>
      </w:r>
      <w:r w:rsidRPr="00FD0C35">
        <w:t xml:space="preserve"> </w:t>
      </w:r>
      <w:r>
        <w:rPr>
          <w:rFonts w:eastAsia="Times New Roman" w:cs="Arial"/>
          <w:szCs w:val="20"/>
          <w:lang w:val="es-ES"/>
        </w:rPr>
        <w:t>Promover</w:t>
      </w:r>
      <w:r w:rsidRPr="00FD0C35">
        <w:rPr>
          <w:rFonts w:eastAsia="Times New Roman" w:cs="Arial"/>
          <w:szCs w:val="20"/>
          <w:lang w:val="es-ES"/>
        </w:rPr>
        <w:t xml:space="preserve"> una mejor utilización de los recursos energéticos mediante el incremento de la eficiencia energética a lo largo de todos los procesos productivos y en el consumo final</w:t>
      </w:r>
      <w:r>
        <w:rPr>
          <w:rFonts w:eastAsia="Times New Roman" w:cs="Arial"/>
          <w:szCs w:val="20"/>
          <w:lang w:val="es-ES"/>
        </w:rPr>
        <w:t>.</w:t>
      </w:r>
    </w:p>
    <w:p w14:paraId="3CA3B65D" w14:textId="77777777" w:rsidR="00C4673C" w:rsidRPr="00D41939" w:rsidRDefault="00C4673C" w:rsidP="00C4673C">
      <w:pPr>
        <w:pStyle w:val="Cdetexto"/>
        <w:rPr>
          <w:b/>
        </w:rPr>
      </w:pPr>
      <w:r w:rsidRPr="00710556">
        <w:rPr>
          <w:b/>
        </w:rPr>
        <w:t>Principales Hallazgos</w:t>
      </w:r>
    </w:p>
    <w:p w14:paraId="6F97F290" w14:textId="77777777" w:rsidR="00C4673C" w:rsidRDefault="00C4673C" w:rsidP="00C4673C">
      <w:pPr>
        <w:pStyle w:val="Cdetexto"/>
        <w:rPr>
          <w:i/>
        </w:rPr>
      </w:pPr>
      <w:r w:rsidRPr="003E79AF">
        <w:rPr>
          <w:i/>
        </w:rPr>
        <w:t>Diseño</w:t>
      </w:r>
      <w:r>
        <w:rPr>
          <w:i/>
        </w:rPr>
        <w:t>:</w:t>
      </w:r>
    </w:p>
    <w:p w14:paraId="334163EB" w14:textId="77777777" w:rsidR="00C4673C" w:rsidRDefault="00C4673C" w:rsidP="00C4673C">
      <w:pPr>
        <w:pStyle w:val="Cdetexto"/>
      </w:pPr>
      <w:r>
        <w:t xml:space="preserve">El problema que atiende el </w:t>
      </w:r>
      <w:proofErr w:type="spellStart"/>
      <w:r>
        <w:t>Pp</w:t>
      </w:r>
      <w:proofErr w:type="spellEnd"/>
      <w:r>
        <w:t xml:space="preserve"> está definido y plasmado en los documentos oficiales, pero falta precisar detalles relativos a la magnitud del problema y la PO</w:t>
      </w:r>
      <w:r w:rsidR="00496FDD">
        <w:t>,</w:t>
      </w:r>
      <w:r>
        <w:t xml:space="preserve"> </w:t>
      </w:r>
      <w:r w:rsidR="00496FDD">
        <w:t xml:space="preserve">lo </w:t>
      </w:r>
      <w:r>
        <w:t>que requiere mayor esfuerzo y focalización.</w:t>
      </w:r>
    </w:p>
    <w:p w14:paraId="6EA2ED88" w14:textId="77777777" w:rsidR="00C4673C" w:rsidRDefault="00C4673C" w:rsidP="00C4673C">
      <w:pPr>
        <w:pStyle w:val="Cdetexto"/>
      </w:pPr>
      <w:r>
        <w:t xml:space="preserve">Por otra parte, en lo que se refiere al diagnóstico, éste </w:t>
      </w:r>
      <w:r w:rsidR="00187E08">
        <w:t>no está actualizado y no incluye</w:t>
      </w:r>
      <w:r>
        <w:t xml:space="preserve"> la nueva</w:t>
      </w:r>
      <w:r w:rsidRPr="0008216F">
        <w:t xml:space="preserve"> normativa en materia de energía</w:t>
      </w:r>
      <w:r>
        <w:t xml:space="preserve"> y las nuevas atribuciones de la CONUEE.</w:t>
      </w:r>
    </w:p>
    <w:p w14:paraId="7B7F7F53" w14:textId="77777777" w:rsidR="00C4673C" w:rsidRPr="00CD4D0C" w:rsidRDefault="00C4673C" w:rsidP="00C4673C">
      <w:pPr>
        <w:pStyle w:val="Cdetexto"/>
        <w:rPr>
          <w:i/>
        </w:rPr>
      </w:pPr>
      <w:r w:rsidRPr="00CD4D0C">
        <w:rPr>
          <w:i/>
        </w:rPr>
        <w:t>Contribución a las</w:t>
      </w:r>
      <w:r>
        <w:rPr>
          <w:i/>
        </w:rPr>
        <w:t xml:space="preserve"> metas y estrategias nacionales:</w:t>
      </w:r>
    </w:p>
    <w:p w14:paraId="65449C58" w14:textId="77777777" w:rsidR="00C4673C" w:rsidRPr="0062398E" w:rsidRDefault="00C4673C" w:rsidP="00C4673C">
      <w:pPr>
        <w:spacing w:line="250" w:lineRule="exact"/>
        <w:jc w:val="both"/>
        <w:rPr>
          <w:lang w:val="es-ES"/>
        </w:rPr>
      </w:pPr>
      <w:r>
        <w:rPr>
          <w:lang w:val="es-ES"/>
        </w:rPr>
        <w:t xml:space="preserve">Falta precisión sobre el impacto del </w:t>
      </w:r>
      <w:proofErr w:type="spellStart"/>
      <w:r>
        <w:rPr>
          <w:lang w:val="es-ES"/>
        </w:rPr>
        <w:t>Pp</w:t>
      </w:r>
      <w:proofErr w:type="spellEnd"/>
      <w:r>
        <w:rPr>
          <w:lang w:val="es-ES"/>
        </w:rPr>
        <w:t xml:space="preserve"> sobre la Meta Nacional y el Objetivo sectorial al que está vinculado. </w:t>
      </w:r>
    </w:p>
    <w:p w14:paraId="142ECC4A" w14:textId="77777777" w:rsidR="00C4673C" w:rsidRDefault="00C4673C" w:rsidP="00C4673C">
      <w:pPr>
        <w:spacing w:line="250" w:lineRule="exact"/>
        <w:jc w:val="both"/>
        <w:rPr>
          <w:i/>
          <w:lang w:val="es-ES"/>
        </w:rPr>
      </w:pPr>
      <w:proofErr w:type="spellStart"/>
      <w:r w:rsidRPr="009B11E8">
        <w:rPr>
          <w:i/>
          <w:lang w:val="es-ES"/>
        </w:rPr>
        <w:t>PPo</w:t>
      </w:r>
      <w:proofErr w:type="spellEnd"/>
      <w:r w:rsidRPr="009B11E8">
        <w:rPr>
          <w:i/>
          <w:lang w:val="es-ES"/>
        </w:rPr>
        <w:t>, PO y mecanismos de elegibilidad</w:t>
      </w:r>
      <w:r>
        <w:rPr>
          <w:i/>
          <w:lang w:val="es-ES"/>
        </w:rPr>
        <w:t>:</w:t>
      </w:r>
    </w:p>
    <w:p w14:paraId="625FF112" w14:textId="77777777" w:rsidR="00C4673C" w:rsidRPr="0062398E" w:rsidRDefault="00C4673C" w:rsidP="00C4673C">
      <w:pPr>
        <w:pStyle w:val="Cdetexto"/>
      </w:pPr>
      <w:r>
        <w:t xml:space="preserve">A pesar de que la </w:t>
      </w:r>
      <w:proofErr w:type="spellStart"/>
      <w:r>
        <w:t>PPo</w:t>
      </w:r>
      <w:proofErr w:type="spellEnd"/>
      <w:r>
        <w:t xml:space="preserve">, </w:t>
      </w:r>
      <w:r w:rsidR="00496FDD">
        <w:t xml:space="preserve">la </w:t>
      </w:r>
      <w:r>
        <w:t xml:space="preserve">PO y </w:t>
      </w:r>
      <w:r w:rsidR="00496FDD">
        <w:t>la Población Atendida</w:t>
      </w:r>
      <w:r>
        <w:t xml:space="preserve"> se encuentran definidas, hace falta establecer el mecanismo de cuantificación de las mismas, así como los criterios de selección de los beneficiarios y la estrategia de cobertura.</w:t>
      </w:r>
    </w:p>
    <w:p w14:paraId="15B0369A" w14:textId="77777777" w:rsidR="00C4673C" w:rsidRPr="00B749DB" w:rsidRDefault="00C4673C" w:rsidP="00C4673C">
      <w:pPr>
        <w:spacing w:line="250" w:lineRule="exact"/>
        <w:jc w:val="both"/>
        <w:rPr>
          <w:rFonts w:eastAsia="Times New Roman" w:cs="Arial"/>
          <w:szCs w:val="20"/>
          <w:lang w:val="es-ES"/>
        </w:rPr>
      </w:pPr>
      <w:r w:rsidRPr="00CD4D0C">
        <w:rPr>
          <w:i/>
          <w:lang w:val="es-ES"/>
        </w:rPr>
        <w:t>M</w:t>
      </w:r>
      <w:r>
        <w:rPr>
          <w:i/>
          <w:lang w:val="es-ES"/>
        </w:rPr>
        <w:t>IR</w:t>
      </w:r>
      <w:r w:rsidRPr="00CD4D0C">
        <w:rPr>
          <w:i/>
          <w:lang w:val="es-ES"/>
        </w:rPr>
        <w:t>:</w:t>
      </w:r>
    </w:p>
    <w:p w14:paraId="242B7D7A" w14:textId="77777777" w:rsidR="00C4673C" w:rsidRDefault="00C4673C" w:rsidP="00C4673C">
      <w:pPr>
        <w:spacing w:line="250" w:lineRule="exact"/>
        <w:jc w:val="both"/>
        <w:rPr>
          <w:rFonts w:eastAsia="Times New Roman" w:cs="Arial"/>
          <w:szCs w:val="20"/>
          <w:lang w:val="es-ES"/>
        </w:rPr>
      </w:pPr>
      <w:r>
        <w:rPr>
          <w:rFonts w:eastAsia="Times New Roman" w:cs="Arial"/>
          <w:szCs w:val="20"/>
          <w:lang w:val="es-ES"/>
        </w:rPr>
        <w:t>La MIR presenta tanto lógica vertical como horizontal y se detecta que los componentes contribuyen al logro del propósito</w:t>
      </w:r>
      <w:r w:rsidR="00187E08">
        <w:rPr>
          <w:rFonts w:eastAsia="Times New Roman" w:cs="Arial"/>
          <w:szCs w:val="20"/>
          <w:lang w:val="es-ES"/>
        </w:rPr>
        <w:t>;</w:t>
      </w:r>
      <w:r>
        <w:rPr>
          <w:rFonts w:eastAsia="Times New Roman" w:cs="Arial"/>
          <w:szCs w:val="20"/>
          <w:lang w:val="es-ES"/>
        </w:rPr>
        <w:t xml:space="preserve"> sin embargo</w:t>
      </w:r>
      <w:r w:rsidR="00187E08">
        <w:rPr>
          <w:rFonts w:eastAsia="Times New Roman" w:cs="Arial"/>
          <w:szCs w:val="20"/>
          <w:lang w:val="es-ES"/>
        </w:rPr>
        <w:t>,</w:t>
      </w:r>
      <w:r>
        <w:rPr>
          <w:rFonts w:eastAsia="Times New Roman" w:cs="Arial"/>
          <w:szCs w:val="20"/>
          <w:lang w:val="es-ES"/>
        </w:rPr>
        <w:t xml:space="preserve"> </w:t>
      </w:r>
      <w:r w:rsidR="00187E08">
        <w:rPr>
          <w:rFonts w:eastAsia="Times New Roman" w:cs="Arial"/>
          <w:szCs w:val="20"/>
          <w:lang w:val="es-ES"/>
        </w:rPr>
        <w:t xml:space="preserve">no se incluyen </w:t>
      </w:r>
      <w:r>
        <w:rPr>
          <w:rFonts w:eastAsia="Times New Roman" w:cs="Arial"/>
          <w:szCs w:val="20"/>
          <w:lang w:val="es-ES"/>
        </w:rPr>
        <w:t>componentes y actividades que contemplen las nuevas atribuciones de la CONUEE.</w:t>
      </w:r>
    </w:p>
    <w:p w14:paraId="33796865" w14:textId="77777777" w:rsidR="00C4673C" w:rsidRDefault="00C4673C" w:rsidP="00C4673C">
      <w:pPr>
        <w:spacing w:line="250" w:lineRule="exact"/>
        <w:jc w:val="both"/>
        <w:rPr>
          <w:rFonts w:eastAsia="Times New Roman" w:cs="Arial"/>
          <w:szCs w:val="20"/>
          <w:lang w:val="es-ES"/>
        </w:rPr>
      </w:pPr>
      <w:r>
        <w:rPr>
          <w:rFonts w:eastAsia="Times New Roman" w:cs="Arial"/>
          <w:szCs w:val="20"/>
          <w:lang w:val="es-ES"/>
        </w:rPr>
        <w:t xml:space="preserve">Se detectan indicadores incompletos: faltan metas </w:t>
      </w:r>
      <w:r w:rsidR="00647BAE">
        <w:rPr>
          <w:rFonts w:eastAsia="Times New Roman" w:cs="Arial"/>
          <w:szCs w:val="20"/>
          <w:lang w:val="es-ES"/>
        </w:rPr>
        <w:t>y</w:t>
      </w:r>
      <w:r>
        <w:rPr>
          <w:rFonts w:eastAsia="Times New Roman" w:cs="Arial"/>
          <w:szCs w:val="20"/>
          <w:lang w:val="es-ES"/>
        </w:rPr>
        <w:t xml:space="preserve"> medios de verificación. Asimismo, existen indicadores a nivel componente/actividad que deberían </w:t>
      </w:r>
      <w:r w:rsidR="00402061">
        <w:rPr>
          <w:rFonts w:eastAsia="Times New Roman" w:cs="Arial"/>
          <w:szCs w:val="20"/>
          <w:lang w:val="es-ES"/>
        </w:rPr>
        <w:t>sustituirse</w:t>
      </w:r>
      <w:r>
        <w:rPr>
          <w:rFonts w:eastAsia="Times New Roman" w:cs="Arial"/>
          <w:szCs w:val="20"/>
          <w:lang w:val="es-ES"/>
        </w:rPr>
        <w:t>.</w:t>
      </w:r>
    </w:p>
    <w:p w14:paraId="53A6B193" w14:textId="77777777" w:rsidR="00C4673C" w:rsidRPr="007D1DD5" w:rsidRDefault="00C4673C" w:rsidP="00C4673C">
      <w:pPr>
        <w:spacing w:line="250" w:lineRule="exact"/>
        <w:jc w:val="both"/>
        <w:rPr>
          <w:rFonts w:eastAsia="Times New Roman" w:cs="Arial"/>
          <w:i/>
          <w:szCs w:val="20"/>
          <w:lang w:val="es-ES"/>
        </w:rPr>
      </w:pPr>
      <w:r w:rsidRPr="007D1DD5">
        <w:rPr>
          <w:rFonts w:eastAsia="Times New Roman" w:cs="Arial"/>
          <w:i/>
          <w:szCs w:val="20"/>
          <w:lang w:val="es-ES"/>
        </w:rPr>
        <w:t xml:space="preserve">Complementariedades y coincidencias con otros </w:t>
      </w:r>
      <w:proofErr w:type="spellStart"/>
      <w:r w:rsidRPr="007D1DD5">
        <w:rPr>
          <w:rFonts w:eastAsia="Times New Roman" w:cs="Arial"/>
          <w:i/>
          <w:szCs w:val="20"/>
          <w:lang w:val="es-ES"/>
        </w:rPr>
        <w:t>Pp</w:t>
      </w:r>
      <w:proofErr w:type="spellEnd"/>
      <w:r w:rsidRPr="007D1DD5">
        <w:rPr>
          <w:rFonts w:eastAsia="Times New Roman" w:cs="Arial"/>
          <w:i/>
          <w:szCs w:val="20"/>
          <w:lang w:val="es-ES"/>
        </w:rPr>
        <w:t>:</w:t>
      </w:r>
    </w:p>
    <w:p w14:paraId="3CF727CC" w14:textId="77777777" w:rsidR="00C4673C" w:rsidRDefault="00C4673C" w:rsidP="00C4673C">
      <w:pPr>
        <w:pStyle w:val="Cdetextonegrita"/>
        <w:spacing w:line="250" w:lineRule="exact"/>
        <w:rPr>
          <w:b w:val="0"/>
        </w:rPr>
      </w:pPr>
      <w:r w:rsidRPr="00DA1375">
        <w:rPr>
          <w:b w:val="0"/>
        </w:rPr>
        <w:t xml:space="preserve">El </w:t>
      </w:r>
      <w:proofErr w:type="spellStart"/>
      <w:r w:rsidRPr="00DA1375">
        <w:rPr>
          <w:b w:val="0"/>
        </w:rPr>
        <w:t>Pp</w:t>
      </w:r>
      <w:proofErr w:type="spellEnd"/>
      <w:r w:rsidRPr="00DA1375">
        <w:rPr>
          <w:b w:val="0"/>
        </w:rPr>
        <w:t xml:space="preserve"> </w:t>
      </w:r>
      <w:r>
        <w:rPr>
          <w:b w:val="0"/>
        </w:rPr>
        <w:t xml:space="preserve">es complementario con el </w:t>
      </w:r>
      <w:proofErr w:type="spellStart"/>
      <w:r>
        <w:rPr>
          <w:b w:val="0"/>
        </w:rPr>
        <w:t>Pp</w:t>
      </w:r>
      <w:proofErr w:type="spellEnd"/>
      <w:r>
        <w:rPr>
          <w:b w:val="0"/>
        </w:rPr>
        <w:t xml:space="preserve"> </w:t>
      </w:r>
      <w:r w:rsidRPr="00CE6E21">
        <w:rPr>
          <w:b w:val="0"/>
        </w:rPr>
        <w:t>F571 Promoción de medidas para el ahorro y uso eficiente de la Energía Eléctrica</w:t>
      </w:r>
      <w:r w:rsidR="00B64837">
        <w:rPr>
          <w:b w:val="0"/>
        </w:rPr>
        <w:t>,</w:t>
      </w:r>
      <w:r w:rsidRPr="00CE6E21">
        <w:rPr>
          <w:b w:val="0"/>
        </w:rPr>
        <w:t xml:space="preserve"> que coordina la Comisión Federal de Electricidad</w:t>
      </w:r>
      <w:r>
        <w:rPr>
          <w:b w:val="0"/>
        </w:rPr>
        <w:t>,</w:t>
      </w:r>
      <w:r w:rsidRPr="00CE6E21">
        <w:rPr>
          <w:b w:val="0"/>
        </w:rPr>
        <w:t xml:space="preserve"> al contar con objetivos similares</w:t>
      </w:r>
      <w:r w:rsidR="00B64837">
        <w:rPr>
          <w:b w:val="0"/>
        </w:rPr>
        <w:t>.</w:t>
      </w:r>
    </w:p>
    <w:p w14:paraId="70BE9D51" w14:textId="77777777" w:rsidR="00C4673C" w:rsidRDefault="00C4673C" w:rsidP="00C4673C">
      <w:pPr>
        <w:pStyle w:val="Cdetextonegrita"/>
        <w:spacing w:line="250" w:lineRule="exact"/>
        <w:rPr>
          <w:b w:val="0"/>
        </w:rPr>
      </w:pPr>
      <w:r>
        <w:rPr>
          <w:b w:val="0"/>
        </w:rPr>
        <w:t xml:space="preserve">También presenta complementariedades con el </w:t>
      </w:r>
      <w:proofErr w:type="spellStart"/>
      <w:r>
        <w:rPr>
          <w:b w:val="0"/>
        </w:rPr>
        <w:t>Pp</w:t>
      </w:r>
      <w:proofErr w:type="spellEnd"/>
      <w:r>
        <w:rPr>
          <w:b w:val="0"/>
        </w:rPr>
        <w:t xml:space="preserve"> P001 </w:t>
      </w:r>
      <w:r w:rsidRPr="00CE6E21">
        <w:rPr>
          <w:b w:val="0"/>
        </w:rPr>
        <w:t>Condu</w:t>
      </w:r>
      <w:r w:rsidR="00B64837">
        <w:rPr>
          <w:b w:val="0"/>
        </w:rPr>
        <w:t>cción de la p</w:t>
      </w:r>
      <w:r>
        <w:rPr>
          <w:b w:val="0"/>
        </w:rPr>
        <w:t xml:space="preserve">olítica energética, ya que éste produce insumos que pueden ser de utilidad para los responsables del </w:t>
      </w:r>
      <w:proofErr w:type="spellStart"/>
      <w:r>
        <w:rPr>
          <w:b w:val="0"/>
        </w:rPr>
        <w:t>Pp</w:t>
      </w:r>
      <w:proofErr w:type="spellEnd"/>
      <w:r>
        <w:rPr>
          <w:b w:val="0"/>
        </w:rPr>
        <w:t xml:space="preserve"> P008. </w:t>
      </w:r>
    </w:p>
    <w:p w14:paraId="5BA60EF5" w14:textId="77777777" w:rsidR="00C4673C" w:rsidRDefault="00C4673C" w:rsidP="00C4673C">
      <w:pPr>
        <w:pStyle w:val="Cdetextonegrita"/>
        <w:spacing w:line="250" w:lineRule="exact"/>
        <w:rPr>
          <w:b w:val="0"/>
        </w:rPr>
      </w:pPr>
      <w:r>
        <w:rPr>
          <w:b w:val="0"/>
        </w:rPr>
        <w:t xml:space="preserve">Por otro lado, es complementario con el </w:t>
      </w:r>
      <w:proofErr w:type="spellStart"/>
      <w:r>
        <w:rPr>
          <w:b w:val="0"/>
        </w:rPr>
        <w:t>Pp</w:t>
      </w:r>
      <w:proofErr w:type="spellEnd"/>
      <w:r>
        <w:rPr>
          <w:b w:val="0"/>
        </w:rPr>
        <w:t xml:space="preserve"> </w:t>
      </w:r>
      <w:r w:rsidRPr="00CE6E21">
        <w:rPr>
          <w:b w:val="0"/>
        </w:rPr>
        <w:t>G0</w:t>
      </w:r>
      <w:r>
        <w:rPr>
          <w:b w:val="0"/>
        </w:rPr>
        <w:t xml:space="preserve">01 </w:t>
      </w:r>
      <w:r w:rsidRPr="00CE6E21">
        <w:rPr>
          <w:b w:val="0"/>
        </w:rPr>
        <w:t>Regula</w:t>
      </w:r>
      <w:r>
        <w:rPr>
          <w:b w:val="0"/>
        </w:rPr>
        <w:t>ción y permisos de electricidad, coordinado</w:t>
      </w:r>
      <w:r w:rsidRPr="00CE6E21">
        <w:rPr>
          <w:b w:val="0"/>
        </w:rPr>
        <w:t xml:space="preserve"> por la Comis</w:t>
      </w:r>
      <w:r>
        <w:rPr>
          <w:b w:val="0"/>
        </w:rPr>
        <w:t xml:space="preserve">ión Reguladora de Energía, en virtud del objetivo de éste de </w:t>
      </w:r>
      <w:r w:rsidRPr="00CE6E21">
        <w:rPr>
          <w:b w:val="0"/>
        </w:rPr>
        <w:t>contribuir a optimizar la operación y la expansión de la infraestructura eléctrica nacional, ampliar la cobertura de electricidad e</w:t>
      </w:r>
      <w:r>
        <w:rPr>
          <w:b w:val="0"/>
        </w:rPr>
        <w:t xml:space="preserve">n las distintas zonas del país e </w:t>
      </w:r>
      <w:r w:rsidRPr="00CE6E21">
        <w:rPr>
          <w:b w:val="0"/>
        </w:rPr>
        <w:t>incrementar la utilización de fuentes de energía limpias y renovables</w:t>
      </w:r>
      <w:r>
        <w:rPr>
          <w:b w:val="0"/>
        </w:rPr>
        <w:t>.</w:t>
      </w:r>
    </w:p>
    <w:p w14:paraId="0C98A174" w14:textId="77777777" w:rsidR="00C4673C" w:rsidRPr="00FC7306" w:rsidRDefault="00C4673C" w:rsidP="00C4673C">
      <w:pPr>
        <w:pStyle w:val="Cdetextonegrita"/>
        <w:spacing w:line="250" w:lineRule="exact"/>
      </w:pPr>
      <w:r w:rsidRPr="00FC7306">
        <w:t>Principales Recomendaciones</w:t>
      </w:r>
    </w:p>
    <w:p w14:paraId="56768773" w14:textId="77777777" w:rsidR="00C4673C" w:rsidRDefault="00C4673C" w:rsidP="00C4673C">
      <w:pPr>
        <w:pStyle w:val="Bala"/>
        <w:numPr>
          <w:ilvl w:val="0"/>
          <w:numId w:val="16"/>
        </w:numPr>
        <w:ind w:left="357" w:hanging="357"/>
      </w:pPr>
      <w:r>
        <w:t>Actualizar el diagnó</w:t>
      </w:r>
      <w:r w:rsidRPr="00C737B2">
        <w:t>stico</w:t>
      </w:r>
      <w:r>
        <w:t xml:space="preserve"> para que refleje las atribuciones de la CONUEE como </w:t>
      </w:r>
      <w:r w:rsidRPr="00C737B2">
        <w:t>órgano técnico que propone y aplica la política de eficiencia energética</w:t>
      </w:r>
      <w:r>
        <w:t xml:space="preserve"> de acuerdo con la LTE.</w:t>
      </w:r>
    </w:p>
    <w:p w14:paraId="1C373C58" w14:textId="77777777" w:rsidR="00C4673C" w:rsidRDefault="00C4673C" w:rsidP="00C4673C">
      <w:pPr>
        <w:pStyle w:val="Bala"/>
        <w:numPr>
          <w:ilvl w:val="0"/>
          <w:numId w:val="16"/>
        </w:numPr>
        <w:ind w:left="357" w:hanging="357"/>
      </w:pPr>
      <w:r w:rsidRPr="00C737B2">
        <w:t>Rede</w:t>
      </w:r>
      <w:r>
        <w:t xml:space="preserve">finir las poblaciones a atender. </w:t>
      </w:r>
      <w:r w:rsidRPr="00C737B2">
        <w:t>Cuantificar y hacer explícita la metodología para establecer las unidades de medida</w:t>
      </w:r>
      <w:r>
        <w:t>,</w:t>
      </w:r>
      <w:r w:rsidRPr="00C737B2">
        <w:t xml:space="preserve"> así como los criterios de elegibilidad para brindar los servicios y/o productos</w:t>
      </w:r>
      <w:r>
        <w:t>.</w:t>
      </w:r>
    </w:p>
    <w:p w14:paraId="0E12AF39" w14:textId="77777777" w:rsidR="00C4673C" w:rsidRDefault="00C4673C" w:rsidP="00C4673C">
      <w:pPr>
        <w:pStyle w:val="Bala"/>
        <w:numPr>
          <w:ilvl w:val="0"/>
          <w:numId w:val="16"/>
        </w:numPr>
        <w:ind w:left="357" w:hanging="357"/>
      </w:pPr>
      <w:r>
        <w:lastRenderedPageBreak/>
        <w:t xml:space="preserve">Elaborar </w:t>
      </w:r>
      <w:r w:rsidRPr="00C737B2">
        <w:t>un manual de procedimientos como herramienta de gestión interna</w:t>
      </w:r>
      <w:r>
        <w:t>.</w:t>
      </w:r>
    </w:p>
    <w:p w14:paraId="7DD8DA78" w14:textId="77777777" w:rsidR="00C4673C" w:rsidRPr="00C737B2" w:rsidRDefault="00C4673C" w:rsidP="00C4673C">
      <w:pPr>
        <w:pStyle w:val="Bala"/>
        <w:numPr>
          <w:ilvl w:val="0"/>
          <w:numId w:val="16"/>
        </w:numPr>
        <w:ind w:left="357" w:hanging="357"/>
      </w:pPr>
      <w:r w:rsidRPr="00C737B2">
        <w:t>Revisar los indicadores de la MIR 2017 y completar aquellos a los que falta información, especialmente en cuanto a metas y medios de verificación</w:t>
      </w:r>
      <w:r>
        <w:t>.</w:t>
      </w:r>
    </w:p>
    <w:p w14:paraId="034239B7" w14:textId="77777777" w:rsidR="00C4673C" w:rsidRPr="00C4673C" w:rsidRDefault="00C4673C" w:rsidP="00D103A6">
      <w:pPr>
        <w:spacing w:before="120"/>
        <w:contextualSpacing/>
        <w:rPr>
          <w:lang w:val="es-ES"/>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
        <w:gridCol w:w="2220"/>
        <w:gridCol w:w="1803"/>
        <w:gridCol w:w="4455"/>
      </w:tblGrid>
      <w:tr w:rsidR="00C4673C" w:rsidRPr="00FC7306" w14:paraId="2B206429" w14:textId="77777777" w:rsidTr="00C4673C">
        <w:trPr>
          <w:trHeight w:val="675"/>
        </w:trPr>
        <w:tc>
          <w:tcPr>
            <w:tcW w:w="749" w:type="pct"/>
            <w:vAlign w:val="center"/>
          </w:tcPr>
          <w:p w14:paraId="1EACC85F" w14:textId="77777777" w:rsidR="00C4673C" w:rsidRPr="00FC7306" w:rsidRDefault="00C4673C" w:rsidP="00C4673C">
            <w:pPr>
              <w:spacing w:before="20" w:after="0"/>
              <w:ind w:left="170"/>
              <w:rPr>
                <w:b/>
                <w:sz w:val="16"/>
                <w:lang w:val="es-ES"/>
              </w:rPr>
            </w:pPr>
            <w:r w:rsidRPr="00FC7306">
              <w:rPr>
                <w:b/>
                <w:sz w:val="16"/>
                <w:lang w:val="es-ES"/>
              </w:rPr>
              <w:t>Evaluador Externo</w:t>
            </w:r>
            <w:r>
              <w:rPr>
                <w:b/>
                <w:sz w:val="16"/>
                <w:lang w:val="es-ES"/>
              </w:rPr>
              <w:t>:</w:t>
            </w:r>
          </w:p>
        </w:tc>
        <w:tc>
          <w:tcPr>
            <w:tcW w:w="4251" w:type="pct"/>
            <w:gridSpan w:val="3"/>
            <w:vAlign w:val="center"/>
          </w:tcPr>
          <w:p w14:paraId="658FA267" w14:textId="77777777" w:rsidR="00C4673C" w:rsidRPr="001D5EDD" w:rsidRDefault="00C4673C" w:rsidP="00C4673C">
            <w:pPr>
              <w:spacing w:before="20" w:after="0"/>
              <w:ind w:left="113"/>
              <w:rPr>
                <w:rFonts w:eastAsia="Times New Roman"/>
                <w:sz w:val="16"/>
                <w:szCs w:val="16"/>
                <w:lang w:val="es-MX" w:eastAsia="en-US"/>
              </w:rPr>
            </w:pPr>
            <w:r w:rsidRPr="001D5EDD">
              <w:rPr>
                <w:sz w:val="16"/>
                <w:lang w:val="es-ES"/>
              </w:rPr>
              <w:t>1. Instancia Evaluadora:</w:t>
            </w:r>
            <w:r w:rsidRPr="00CC1800">
              <w:rPr>
                <w:sz w:val="16"/>
                <w:lang w:val="es-ES"/>
              </w:rPr>
              <w:t xml:space="preserve"> </w:t>
            </w:r>
            <w:r w:rsidRPr="00C737B2">
              <w:rPr>
                <w:sz w:val="16"/>
                <w:lang w:val="es-ES"/>
              </w:rPr>
              <w:t>El Colegio de México, A.C.</w:t>
            </w:r>
          </w:p>
          <w:p w14:paraId="52563B9C" w14:textId="77777777" w:rsidR="00C4673C" w:rsidRPr="00785282" w:rsidRDefault="00C4673C" w:rsidP="00C4673C">
            <w:pPr>
              <w:spacing w:before="20" w:after="0"/>
              <w:ind w:left="113"/>
              <w:rPr>
                <w:sz w:val="16"/>
                <w:lang w:val="es-ES"/>
              </w:rPr>
            </w:pPr>
            <w:r w:rsidRPr="00785282">
              <w:rPr>
                <w:sz w:val="16"/>
                <w:lang w:val="es-ES"/>
              </w:rPr>
              <w:t xml:space="preserve">2. Coordinador de la Evaluación: </w:t>
            </w:r>
            <w:r w:rsidRPr="00C737B2">
              <w:rPr>
                <w:sz w:val="16"/>
                <w:lang w:val="es-ES"/>
              </w:rPr>
              <w:t>Judith Domínguez Serrano</w:t>
            </w:r>
          </w:p>
          <w:p w14:paraId="5139A29E" w14:textId="77777777" w:rsidR="00C4673C" w:rsidRPr="001D5EDD" w:rsidRDefault="00C4673C" w:rsidP="00C4673C">
            <w:pPr>
              <w:spacing w:before="20" w:after="0"/>
              <w:ind w:left="113"/>
              <w:rPr>
                <w:sz w:val="16"/>
                <w:lang w:val="es-ES"/>
              </w:rPr>
            </w:pPr>
            <w:r w:rsidRPr="00785282">
              <w:rPr>
                <w:sz w:val="16"/>
                <w:lang w:val="es-ES"/>
              </w:rPr>
              <w:t>3. Forma de contratación:</w:t>
            </w:r>
            <w:r w:rsidRPr="009F6F76">
              <w:rPr>
                <w:sz w:val="16"/>
                <w:lang w:val="es-ES"/>
              </w:rPr>
              <w:t xml:space="preserve"> </w:t>
            </w:r>
            <w:r>
              <w:rPr>
                <w:sz w:val="16"/>
                <w:lang w:val="es-ES"/>
              </w:rPr>
              <w:t>Licitación pública y abierta</w:t>
            </w:r>
          </w:p>
        </w:tc>
      </w:tr>
      <w:tr w:rsidR="00C4673C" w:rsidRPr="00FC7306" w14:paraId="2DC8F7FB" w14:textId="77777777" w:rsidTr="00C4673C">
        <w:trPr>
          <w:trHeight w:val="176"/>
        </w:trPr>
        <w:tc>
          <w:tcPr>
            <w:tcW w:w="749" w:type="pct"/>
            <w:vAlign w:val="center"/>
          </w:tcPr>
          <w:p w14:paraId="14AF4DCB" w14:textId="77777777" w:rsidR="00C4673C" w:rsidRPr="00FC7306" w:rsidRDefault="00C4673C" w:rsidP="00C4673C">
            <w:pPr>
              <w:spacing w:before="20" w:after="0"/>
              <w:ind w:left="170"/>
              <w:rPr>
                <w:b/>
                <w:sz w:val="16"/>
                <w:lang w:val="es-ES"/>
              </w:rPr>
            </w:pPr>
          </w:p>
        </w:tc>
        <w:tc>
          <w:tcPr>
            <w:tcW w:w="1113" w:type="pct"/>
            <w:vAlign w:val="center"/>
          </w:tcPr>
          <w:p w14:paraId="24481082" w14:textId="77777777" w:rsidR="00C4673C" w:rsidRDefault="00C4673C" w:rsidP="00C4673C">
            <w:pPr>
              <w:spacing w:before="20" w:after="0"/>
              <w:ind w:left="113"/>
              <w:rPr>
                <w:sz w:val="16"/>
                <w:lang w:val="es-ES"/>
              </w:rPr>
            </w:pPr>
          </w:p>
        </w:tc>
        <w:tc>
          <w:tcPr>
            <w:tcW w:w="904" w:type="pct"/>
            <w:vAlign w:val="center"/>
          </w:tcPr>
          <w:p w14:paraId="7BAE01B2" w14:textId="77777777" w:rsidR="00C4673C" w:rsidRPr="00FC7306" w:rsidRDefault="00C4673C" w:rsidP="00C4673C">
            <w:pPr>
              <w:spacing w:before="20" w:after="0"/>
              <w:ind w:left="170"/>
              <w:rPr>
                <w:b/>
                <w:sz w:val="16"/>
                <w:lang w:val="es-ES"/>
              </w:rPr>
            </w:pPr>
          </w:p>
        </w:tc>
        <w:tc>
          <w:tcPr>
            <w:tcW w:w="2234" w:type="pct"/>
            <w:vAlign w:val="center"/>
          </w:tcPr>
          <w:p w14:paraId="5D840BE3" w14:textId="77777777" w:rsidR="00C4673C" w:rsidRPr="00FC7306" w:rsidRDefault="00C4673C" w:rsidP="00C4673C">
            <w:pPr>
              <w:spacing w:before="20" w:after="0"/>
              <w:rPr>
                <w:sz w:val="16"/>
                <w:lang w:val="es-ES"/>
              </w:rPr>
            </w:pPr>
          </w:p>
        </w:tc>
      </w:tr>
      <w:tr w:rsidR="00C4673C" w:rsidRPr="00FC7306" w14:paraId="2A0F28E9" w14:textId="77777777" w:rsidTr="00C4673C">
        <w:tc>
          <w:tcPr>
            <w:tcW w:w="749" w:type="pct"/>
            <w:vAlign w:val="center"/>
          </w:tcPr>
          <w:p w14:paraId="11DE1CF9" w14:textId="77777777" w:rsidR="00C4673C" w:rsidRPr="00FC7306" w:rsidRDefault="00C4673C" w:rsidP="00C4673C">
            <w:pPr>
              <w:spacing w:before="20" w:after="0"/>
              <w:ind w:left="170"/>
              <w:rPr>
                <w:b/>
                <w:sz w:val="16"/>
                <w:lang w:val="es-ES"/>
              </w:rPr>
            </w:pPr>
            <w:r w:rsidRPr="00FC7306">
              <w:rPr>
                <w:b/>
                <w:sz w:val="16"/>
                <w:lang w:val="es-ES"/>
              </w:rPr>
              <w:t>Costo:</w:t>
            </w:r>
          </w:p>
        </w:tc>
        <w:tc>
          <w:tcPr>
            <w:tcW w:w="1113" w:type="pct"/>
            <w:vAlign w:val="center"/>
          </w:tcPr>
          <w:p w14:paraId="110A2632" w14:textId="77777777" w:rsidR="00C4673C" w:rsidRPr="00FC7306" w:rsidRDefault="00C4673C" w:rsidP="00C4673C">
            <w:pPr>
              <w:spacing w:before="20" w:after="0"/>
              <w:ind w:left="113"/>
              <w:rPr>
                <w:sz w:val="16"/>
                <w:lang w:val="es-ES"/>
              </w:rPr>
            </w:pPr>
            <w:r>
              <w:rPr>
                <w:sz w:val="16"/>
                <w:lang w:val="es-ES"/>
              </w:rPr>
              <w:t>$266,800.00 IVA incluido</w:t>
            </w:r>
          </w:p>
        </w:tc>
        <w:tc>
          <w:tcPr>
            <w:tcW w:w="904" w:type="pct"/>
            <w:vAlign w:val="center"/>
          </w:tcPr>
          <w:p w14:paraId="4D68064F" w14:textId="77777777" w:rsidR="00C4673C" w:rsidRPr="00FC7306" w:rsidRDefault="00C4673C" w:rsidP="00C4673C">
            <w:pPr>
              <w:spacing w:before="20" w:after="0"/>
              <w:ind w:left="170"/>
              <w:rPr>
                <w:b/>
                <w:sz w:val="16"/>
                <w:lang w:val="es-ES"/>
              </w:rPr>
            </w:pPr>
            <w:r>
              <w:rPr>
                <w:b/>
                <w:sz w:val="16"/>
                <w:lang w:val="es-ES"/>
              </w:rPr>
              <w:t>Fuente de Financiamiento:</w:t>
            </w:r>
            <w:r w:rsidRPr="00FC7306">
              <w:rPr>
                <w:b/>
                <w:sz w:val="16"/>
                <w:lang w:val="es-ES"/>
              </w:rPr>
              <w:t xml:space="preserve"> </w:t>
            </w:r>
          </w:p>
        </w:tc>
        <w:tc>
          <w:tcPr>
            <w:tcW w:w="2234" w:type="pct"/>
            <w:vAlign w:val="center"/>
          </w:tcPr>
          <w:p w14:paraId="2AC6DCBE" w14:textId="77777777" w:rsidR="00C4673C" w:rsidRPr="00FC7306" w:rsidRDefault="00C4673C" w:rsidP="00C4673C">
            <w:pPr>
              <w:spacing w:before="20" w:after="0"/>
              <w:rPr>
                <w:sz w:val="16"/>
                <w:highlight w:val="yellow"/>
                <w:lang w:val="es-ES"/>
              </w:rPr>
            </w:pPr>
            <w:r w:rsidRPr="00FC7306">
              <w:rPr>
                <w:sz w:val="16"/>
                <w:lang w:val="es-ES"/>
              </w:rPr>
              <w:t>Recursos Fiscales</w:t>
            </w:r>
          </w:p>
        </w:tc>
      </w:tr>
      <w:tr w:rsidR="00C4673C" w:rsidRPr="00FC7306" w14:paraId="107A8E51" w14:textId="77777777" w:rsidTr="00C4673C">
        <w:tc>
          <w:tcPr>
            <w:tcW w:w="749" w:type="pct"/>
            <w:tcBorders>
              <w:bottom w:val="single" w:sz="4" w:space="0" w:color="auto"/>
            </w:tcBorders>
            <w:vAlign w:val="center"/>
          </w:tcPr>
          <w:p w14:paraId="22A13BDA" w14:textId="77777777" w:rsidR="00C4673C" w:rsidRPr="00FC7306" w:rsidRDefault="00C4673C" w:rsidP="00C4673C">
            <w:pPr>
              <w:pStyle w:val="Textocuadroneg1"/>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14:paraId="1E81DF6E" w14:textId="77777777" w:rsidR="00C4673C" w:rsidRPr="00FC7306" w:rsidRDefault="00C4673C" w:rsidP="00C4673C">
            <w:pPr>
              <w:pStyle w:val="Cdetexto"/>
              <w:spacing w:after="0"/>
              <w:jc w:val="center"/>
              <w:rPr>
                <w:sz w:val="14"/>
                <w:szCs w:val="14"/>
              </w:rPr>
            </w:pPr>
            <w:r w:rsidRPr="00785282">
              <w:rPr>
                <w:sz w:val="16"/>
                <w:szCs w:val="14"/>
              </w:rPr>
              <w:t>SHCP</w:t>
            </w:r>
          </w:p>
        </w:tc>
        <w:tc>
          <w:tcPr>
            <w:tcW w:w="904" w:type="pct"/>
            <w:tcBorders>
              <w:bottom w:val="single" w:sz="4" w:space="0" w:color="auto"/>
            </w:tcBorders>
            <w:vAlign w:val="center"/>
          </w:tcPr>
          <w:p w14:paraId="77655281" w14:textId="77777777" w:rsidR="00C4673C" w:rsidRPr="00FC7306" w:rsidRDefault="00C4673C" w:rsidP="00C4673C">
            <w:pPr>
              <w:pStyle w:val="Textocuadroneg1"/>
              <w:rPr>
                <w:sz w:val="16"/>
                <w:szCs w:val="16"/>
              </w:rPr>
            </w:pPr>
            <w:r w:rsidRPr="00FC7306">
              <w:rPr>
                <w:sz w:val="16"/>
                <w:szCs w:val="16"/>
              </w:rPr>
              <w:t>Informe completo</w:t>
            </w:r>
            <w:r>
              <w:rPr>
                <w:sz w:val="16"/>
                <w:szCs w:val="16"/>
              </w:rPr>
              <w:t>:</w:t>
            </w:r>
          </w:p>
        </w:tc>
        <w:tc>
          <w:tcPr>
            <w:tcW w:w="2234" w:type="pct"/>
            <w:tcBorders>
              <w:bottom w:val="single" w:sz="4" w:space="0" w:color="auto"/>
            </w:tcBorders>
            <w:vAlign w:val="center"/>
          </w:tcPr>
          <w:p w14:paraId="051B0D03" w14:textId="77777777" w:rsidR="00C4673C" w:rsidRPr="00FC7306" w:rsidRDefault="00C4673C" w:rsidP="00C4673C">
            <w:pPr>
              <w:pStyle w:val="Textocuadro1"/>
              <w:rPr>
                <w:sz w:val="16"/>
                <w:szCs w:val="16"/>
              </w:rPr>
            </w:pPr>
            <w:r w:rsidRPr="00FC7306">
              <w:rPr>
                <w:sz w:val="16"/>
                <w:szCs w:val="16"/>
              </w:rPr>
              <w:t>Disponible en:</w:t>
            </w:r>
          </w:p>
          <w:p w14:paraId="79CEE029" w14:textId="77777777" w:rsidR="00C4673C" w:rsidRPr="00FC7306" w:rsidRDefault="00C4673C" w:rsidP="00C4673C">
            <w:pPr>
              <w:pStyle w:val="Textocuadro1"/>
              <w:rPr>
                <w:sz w:val="16"/>
                <w:szCs w:val="16"/>
              </w:rPr>
            </w:pPr>
            <w:r w:rsidRPr="00FC7306">
              <w:rPr>
                <w:sz w:val="16"/>
                <w:szCs w:val="16"/>
              </w:rPr>
              <w:t>http://www.transparenciapresupuestaria.gob.mx/</w:t>
            </w:r>
          </w:p>
        </w:tc>
      </w:tr>
    </w:tbl>
    <w:p w14:paraId="48B271FF" w14:textId="77777777" w:rsidR="00AA6748" w:rsidRDefault="00AA6748">
      <w:pPr>
        <w:spacing w:after="0"/>
        <w:rPr>
          <w:rFonts w:eastAsiaTheme="majorEastAsia" w:cstheme="majorBidi"/>
          <w:b/>
          <w:bCs/>
          <w:sz w:val="18"/>
          <w:szCs w:val="22"/>
          <w:lang w:val="es-MX" w:eastAsia="en-US"/>
        </w:rPr>
      </w:pPr>
    </w:p>
    <w:p w14:paraId="00CC22CD" w14:textId="77777777" w:rsidR="00402061" w:rsidRDefault="00402061">
      <w:pPr>
        <w:spacing w:after="0"/>
        <w:rPr>
          <w:rFonts w:eastAsiaTheme="majorEastAsia" w:cstheme="majorBidi"/>
          <w:b/>
          <w:bCs/>
          <w:szCs w:val="22"/>
          <w:lang w:val="es-MX" w:eastAsia="en-US"/>
        </w:rPr>
      </w:pPr>
      <w:bookmarkStart w:id="11" w:name="_Toc480972642"/>
      <w:bookmarkStart w:id="12" w:name="_Toc488769244"/>
      <w:bookmarkStart w:id="13" w:name="_Toc512364668"/>
      <w:bookmarkStart w:id="14" w:name="_Toc480972643"/>
      <w:r>
        <w:rPr>
          <w:rFonts w:eastAsiaTheme="majorEastAsia" w:cstheme="majorBidi"/>
          <w:b/>
          <w:bCs/>
          <w:szCs w:val="22"/>
          <w:lang w:val="es-MX" w:eastAsia="en-US"/>
        </w:rPr>
        <w:br w:type="page"/>
      </w:r>
    </w:p>
    <w:p w14:paraId="325FB9D0" w14:textId="77777777" w:rsidR="00864466" w:rsidRPr="0043350C" w:rsidRDefault="00864466" w:rsidP="00864466">
      <w:pPr>
        <w:keepNext/>
        <w:keepLines/>
        <w:outlineLvl w:val="2"/>
        <w:rPr>
          <w:rFonts w:eastAsiaTheme="majorEastAsia" w:cstheme="majorBidi"/>
          <w:b/>
          <w:bCs/>
          <w:szCs w:val="22"/>
          <w:lang w:val="es-MX" w:eastAsia="en-US"/>
        </w:rPr>
      </w:pPr>
      <w:r w:rsidRPr="0043350C">
        <w:rPr>
          <w:rFonts w:eastAsiaTheme="majorEastAsia" w:cstheme="majorBidi"/>
          <w:b/>
          <w:bCs/>
          <w:szCs w:val="22"/>
          <w:lang w:val="es-MX" w:eastAsia="en-US"/>
        </w:rPr>
        <w:lastRenderedPageBreak/>
        <w:t>EVALUACIONES DE CONSISTENCIA Y RESULTADOS</w:t>
      </w:r>
      <w:bookmarkEnd w:id="11"/>
      <w:bookmarkEnd w:id="12"/>
      <w:bookmarkEnd w:id="13"/>
    </w:p>
    <w:p w14:paraId="1D6821E7" w14:textId="77777777" w:rsidR="00864466" w:rsidRPr="0043350C" w:rsidRDefault="00864466" w:rsidP="00864466">
      <w:pPr>
        <w:pStyle w:val="Cdetextonegrita"/>
      </w:pPr>
      <w:r w:rsidRPr="0043350C">
        <w:t>Introducción</w:t>
      </w:r>
    </w:p>
    <w:p w14:paraId="3EE968E2" w14:textId="77777777" w:rsidR="00864466" w:rsidRPr="0043350C" w:rsidRDefault="00864466" w:rsidP="00864466">
      <w:pPr>
        <w:pStyle w:val="Cdetexto"/>
      </w:pPr>
      <w:r w:rsidRPr="0043350C">
        <w:t xml:space="preserve">Los Lineamientos de Evaluación establecen en su numeral Décimo Sexto, que la Evaluación de Consistencia y Resultados (ECR) analiza sistemáticamente el diseño y desempeño global de los </w:t>
      </w:r>
      <w:proofErr w:type="spellStart"/>
      <w:r w:rsidRPr="0043350C">
        <w:t>Pp</w:t>
      </w:r>
      <w:proofErr w:type="spellEnd"/>
      <w:r w:rsidRPr="0043350C">
        <w:t xml:space="preserve">, para –entre otros elementos– mejorar su gestión y medir el logro de sus resultados con base en la </w:t>
      </w:r>
      <w:r w:rsidRPr="00FE1FF4">
        <w:t>MIR.</w:t>
      </w:r>
    </w:p>
    <w:p w14:paraId="1B696CA6" w14:textId="77777777" w:rsidR="00864466" w:rsidRPr="0043350C" w:rsidRDefault="00864466" w:rsidP="00864466">
      <w:pPr>
        <w:pStyle w:val="Cdetexto"/>
      </w:pPr>
      <w:r w:rsidRPr="0043350C">
        <w:t>Cabe señalar que para la realización de las ECR se utiliza 1) el Modelo de Términos de Referencia para la Evaluación de Consistencia y Resultados, aplicable a evaluaciones cuya Instancia de Coordinación es la SHCP, y 2) el Modelo de Términos de Referencia para la Evaluación de Consistencia y Resultados emitido por el CONEVAL</w:t>
      </w:r>
      <w:r w:rsidR="00402061">
        <w:t>,</w:t>
      </w:r>
      <w:r w:rsidRPr="0043350C">
        <w:t xml:space="preserve"> este último para evaluar </w:t>
      </w:r>
      <w:proofErr w:type="spellStart"/>
      <w:r w:rsidRPr="0043350C">
        <w:t>Pp</w:t>
      </w:r>
      <w:proofErr w:type="spellEnd"/>
      <w:r w:rsidRPr="0043350C">
        <w:t xml:space="preserve"> considerados por el CONEVAL como </w:t>
      </w:r>
      <w:r>
        <w:t xml:space="preserve">programas o acciones federales </w:t>
      </w:r>
      <w:r w:rsidRPr="0043350C">
        <w:t xml:space="preserve">de desarrollo social; de tal forma que para realizar una ECR a un </w:t>
      </w:r>
      <w:proofErr w:type="spellStart"/>
      <w:r w:rsidRPr="0043350C">
        <w:t>Pp</w:t>
      </w:r>
      <w:proofErr w:type="spellEnd"/>
      <w:r w:rsidRPr="0043350C">
        <w:t>, se utiliza el modelo de términos de referencia del ámbito de coordinación correspondiente.</w:t>
      </w:r>
    </w:p>
    <w:p w14:paraId="3679E37D" w14:textId="77777777" w:rsidR="00864466" w:rsidRPr="0043350C" w:rsidRDefault="00864466" w:rsidP="00864466">
      <w:pPr>
        <w:pStyle w:val="Cdetextonegrita"/>
      </w:pPr>
      <w:r w:rsidRPr="0043350C">
        <w:t>Objetivo General</w:t>
      </w:r>
    </w:p>
    <w:p w14:paraId="7D18FB50" w14:textId="77777777" w:rsidR="00864466" w:rsidRPr="0043350C" w:rsidRDefault="00864466" w:rsidP="00864466">
      <w:pPr>
        <w:pStyle w:val="Cdetexto"/>
      </w:pPr>
      <w:r w:rsidRPr="0043350C">
        <w:t xml:space="preserve">Evaluar la consistencia y orientación a resultados del </w:t>
      </w:r>
      <w:proofErr w:type="spellStart"/>
      <w:r w:rsidRPr="0043350C">
        <w:t>Pp</w:t>
      </w:r>
      <w:proofErr w:type="spellEnd"/>
      <w:r w:rsidRPr="0043350C">
        <w:t>, con la finalidad de proveer información que retroalimente su diseño, gestión y orientación a resultados.</w:t>
      </w:r>
    </w:p>
    <w:p w14:paraId="426E2226" w14:textId="77777777" w:rsidR="00864466" w:rsidRPr="0043350C" w:rsidRDefault="00864466" w:rsidP="00864466">
      <w:pPr>
        <w:jc w:val="both"/>
        <w:rPr>
          <w:rFonts w:eastAsia="Times New Roman" w:cs="Arial"/>
          <w:b/>
          <w:szCs w:val="20"/>
          <w:lang w:val="es-ES"/>
        </w:rPr>
      </w:pPr>
      <w:r w:rsidRPr="0043350C">
        <w:rPr>
          <w:rFonts w:eastAsia="Times New Roman" w:cs="Arial"/>
          <w:b/>
          <w:szCs w:val="20"/>
          <w:lang w:val="es-ES"/>
        </w:rPr>
        <w:t>Objetivos específicos</w:t>
      </w:r>
    </w:p>
    <w:p w14:paraId="1620EFD6" w14:textId="77777777" w:rsidR="00864466" w:rsidRPr="0043350C" w:rsidRDefault="00864466" w:rsidP="00864466">
      <w:pPr>
        <w:pStyle w:val="Bala"/>
        <w:numPr>
          <w:ilvl w:val="0"/>
          <w:numId w:val="1"/>
        </w:numPr>
        <w:ind w:left="357" w:hanging="357"/>
      </w:pPr>
      <w:r w:rsidRPr="0043350C">
        <w:t xml:space="preserve">Analizar la lógica y congruencia en el diseño del </w:t>
      </w:r>
      <w:proofErr w:type="spellStart"/>
      <w:r w:rsidRPr="0043350C">
        <w:t>Pp</w:t>
      </w:r>
      <w:proofErr w:type="spellEnd"/>
      <w:r w:rsidRPr="0043350C">
        <w:t>; su vinculación con la planeación sectorial y nacional; la consistencia entre el diseño y la normativa aplicable; así como las posibles complementariedades o coincidencias con otros Pp.</w:t>
      </w:r>
    </w:p>
    <w:p w14:paraId="089DAB07" w14:textId="77777777" w:rsidR="00864466" w:rsidRPr="0043350C" w:rsidRDefault="00864466" w:rsidP="00864466">
      <w:pPr>
        <w:pStyle w:val="Bala"/>
        <w:numPr>
          <w:ilvl w:val="0"/>
          <w:numId w:val="1"/>
        </w:numPr>
        <w:ind w:left="357" w:hanging="357"/>
      </w:pPr>
      <w:r w:rsidRPr="0043350C">
        <w:t xml:space="preserve">Identificar si el </w:t>
      </w:r>
      <w:proofErr w:type="spellStart"/>
      <w:r w:rsidRPr="0043350C">
        <w:t>Pp</w:t>
      </w:r>
      <w:proofErr w:type="spellEnd"/>
      <w:r w:rsidRPr="0043350C">
        <w:t xml:space="preserve"> cuenta con instrumentos de planeación y orientación a resultados.</w:t>
      </w:r>
    </w:p>
    <w:p w14:paraId="23B6ED8F" w14:textId="77777777" w:rsidR="00864466" w:rsidRPr="0043350C" w:rsidRDefault="00864466" w:rsidP="00864466">
      <w:pPr>
        <w:pStyle w:val="Bala"/>
        <w:numPr>
          <w:ilvl w:val="0"/>
          <w:numId w:val="1"/>
        </w:numPr>
        <w:ind w:left="357" w:hanging="357"/>
      </w:pPr>
      <w:r w:rsidRPr="0043350C">
        <w:t xml:space="preserve">Examinar si el </w:t>
      </w:r>
      <w:proofErr w:type="spellStart"/>
      <w:r w:rsidRPr="0043350C">
        <w:t>Pp</w:t>
      </w:r>
      <w:proofErr w:type="spellEnd"/>
      <w:r w:rsidRPr="0043350C">
        <w:t xml:space="preserve"> ha definido una estrategia de cobertura de mediano y de largo plazos, así como los avances presentados en el ejercicio fiscal evaluado.</w:t>
      </w:r>
    </w:p>
    <w:p w14:paraId="3BC43B66" w14:textId="77777777" w:rsidR="00864466" w:rsidRPr="0043350C" w:rsidRDefault="00864466" w:rsidP="00864466">
      <w:pPr>
        <w:pStyle w:val="Bala"/>
        <w:numPr>
          <w:ilvl w:val="0"/>
          <w:numId w:val="1"/>
        </w:numPr>
        <w:ind w:left="357" w:hanging="357"/>
      </w:pPr>
      <w:r w:rsidRPr="0043350C">
        <w:t xml:space="preserve">Analizar los principales procesos establecidos en la normativa aplicable al </w:t>
      </w:r>
      <w:proofErr w:type="spellStart"/>
      <w:r w:rsidRPr="0043350C">
        <w:t>Pp</w:t>
      </w:r>
      <w:proofErr w:type="spellEnd"/>
      <w:r w:rsidRPr="0043350C">
        <w:t>, así como los sistemas de información con los que cuenta y sus mecanismos de rendición de cuentas.</w:t>
      </w:r>
    </w:p>
    <w:p w14:paraId="72279796" w14:textId="77777777" w:rsidR="00864466" w:rsidRPr="0043350C" w:rsidRDefault="00864466" w:rsidP="00864466">
      <w:pPr>
        <w:pStyle w:val="Bala"/>
        <w:numPr>
          <w:ilvl w:val="0"/>
          <w:numId w:val="1"/>
        </w:numPr>
        <w:ind w:left="357" w:hanging="357"/>
      </w:pPr>
      <w:r w:rsidRPr="0043350C">
        <w:t xml:space="preserve">Identificar si el </w:t>
      </w:r>
      <w:proofErr w:type="spellStart"/>
      <w:r w:rsidRPr="0043350C">
        <w:t>Pp</w:t>
      </w:r>
      <w:proofErr w:type="spellEnd"/>
      <w:r w:rsidRPr="0043350C">
        <w:t xml:space="preserve"> cuenta con instrumentos que le permitan recabar información para medir el grado de satisfacción de sus beneficiarios o destinatarios.</w:t>
      </w:r>
    </w:p>
    <w:p w14:paraId="73EF4608" w14:textId="77777777" w:rsidR="00864466" w:rsidRPr="0043350C" w:rsidRDefault="00864466" w:rsidP="00864466">
      <w:pPr>
        <w:pStyle w:val="Bala"/>
        <w:numPr>
          <w:ilvl w:val="0"/>
          <w:numId w:val="1"/>
        </w:numPr>
        <w:ind w:left="357" w:hanging="357"/>
      </w:pPr>
      <w:r w:rsidRPr="0043350C">
        <w:t xml:space="preserve">Examinar los resultados del </w:t>
      </w:r>
      <w:proofErr w:type="spellStart"/>
      <w:r w:rsidRPr="0043350C">
        <w:t>Pp</w:t>
      </w:r>
      <w:proofErr w:type="spellEnd"/>
      <w:r w:rsidRPr="0043350C">
        <w:t xml:space="preserve"> respecto de la atención del problema o función de gobierno para el que fue creado.</w:t>
      </w:r>
    </w:p>
    <w:p w14:paraId="3D5E9A84" w14:textId="77777777" w:rsidR="00864466" w:rsidRPr="0043350C" w:rsidRDefault="00864466" w:rsidP="00864466">
      <w:pPr>
        <w:pStyle w:val="Cdetexto"/>
      </w:pPr>
      <w:r w:rsidRPr="00F77A7F">
        <w:t xml:space="preserve">Durante el </w:t>
      </w:r>
      <w:r w:rsidR="00A615D2">
        <w:t>primer trimestre de 2018</w:t>
      </w:r>
      <w:r w:rsidRPr="00F77A7F">
        <w:t xml:space="preserve">, la </w:t>
      </w:r>
      <w:r w:rsidRPr="00163151">
        <w:t xml:space="preserve">SHCP recibió </w:t>
      </w:r>
      <w:r w:rsidR="00163151" w:rsidRPr="00163151">
        <w:t>ocho</w:t>
      </w:r>
      <w:r w:rsidRPr="00163151">
        <w:t xml:space="preserve"> ECR realizadas a </w:t>
      </w:r>
      <w:r w:rsidR="00163151" w:rsidRPr="00163151">
        <w:t xml:space="preserve">cuatro </w:t>
      </w:r>
      <w:proofErr w:type="spellStart"/>
      <w:r w:rsidRPr="00163151">
        <w:t>Pp</w:t>
      </w:r>
      <w:proofErr w:type="spellEnd"/>
      <w:r w:rsidRPr="00163151">
        <w:t xml:space="preserve"> del Ramo </w:t>
      </w:r>
      <w:r w:rsidR="00351EE2" w:rsidRPr="00163151">
        <w:t>0</w:t>
      </w:r>
      <w:r w:rsidR="00163151" w:rsidRPr="00163151">
        <w:t>4</w:t>
      </w:r>
      <w:r w:rsidR="00351EE2" w:rsidRPr="00163151">
        <w:t xml:space="preserve"> </w:t>
      </w:r>
      <w:r w:rsidR="00163151" w:rsidRPr="00163151">
        <w:t>Gobernación</w:t>
      </w:r>
      <w:r w:rsidR="000A0E46" w:rsidRPr="00163151">
        <w:t xml:space="preserve">, a un </w:t>
      </w:r>
      <w:proofErr w:type="spellStart"/>
      <w:r w:rsidR="000A0E46" w:rsidRPr="00163151">
        <w:t>Pp</w:t>
      </w:r>
      <w:proofErr w:type="spellEnd"/>
      <w:r w:rsidR="000A0E46" w:rsidRPr="00163151">
        <w:t xml:space="preserve"> del Ramo 1</w:t>
      </w:r>
      <w:r w:rsidR="00163151" w:rsidRPr="00163151">
        <w:t>3</w:t>
      </w:r>
      <w:r w:rsidR="000A0E46" w:rsidRPr="00163151">
        <w:t xml:space="preserve"> </w:t>
      </w:r>
      <w:r w:rsidR="00163151" w:rsidRPr="00163151">
        <w:t>Marina</w:t>
      </w:r>
      <w:r w:rsidR="000A0E46" w:rsidRPr="00163151">
        <w:t>,</w:t>
      </w:r>
      <w:r w:rsidR="00351EE2" w:rsidRPr="00163151">
        <w:t xml:space="preserve"> </w:t>
      </w:r>
      <w:r w:rsidR="00F77A7F" w:rsidRPr="00163151">
        <w:t xml:space="preserve">a </w:t>
      </w:r>
      <w:r w:rsidR="00163151" w:rsidRPr="00163151">
        <w:t>dos</w:t>
      </w:r>
      <w:r w:rsidR="00F77A7F" w:rsidRPr="00163151">
        <w:t xml:space="preserve"> </w:t>
      </w:r>
      <w:proofErr w:type="spellStart"/>
      <w:r w:rsidR="00F77A7F" w:rsidRPr="00163151">
        <w:t>Pp</w:t>
      </w:r>
      <w:proofErr w:type="spellEnd"/>
      <w:r w:rsidR="00F77A7F" w:rsidRPr="00163151">
        <w:t xml:space="preserve"> del Ramo 16 Medi</w:t>
      </w:r>
      <w:r w:rsidR="00163151" w:rsidRPr="00163151">
        <w:t>o Ambiente y Recursos Naturales y</w:t>
      </w:r>
      <w:r w:rsidR="00F77A7F" w:rsidRPr="00163151">
        <w:t xml:space="preserve"> </w:t>
      </w:r>
      <w:r w:rsidR="00351EE2" w:rsidRPr="00163151">
        <w:t xml:space="preserve">a </w:t>
      </w:r>
      <w:r w:rsidR="00163151" w:rsidRPr="00163151">
        <w:t xml:space="preserve">un </w:t>
      </w:r>
      <w:proofErr w:type="spellStart"/>
      <w:r w:rsidR="00351EE2" w:rsidRPr="00163151">
        <w:t>Pp</w:t>
      </w:r>
      <w:proofErr w:type="spellEnd"/>
      <w:r w:rsidR="00351EE2" w:rsidRPr="00163151">
        <w:t xml:space="preserve"> del Ramo 2</w:t>
      </w:r>
      <w:r w:rsidRPr="00163151">
        <w:t xml:space="preserve">1 </w:t>
      </w:r>
      <w:r w:rsidR="00351EE2" w:rsidRPr="00163151">
        <w:t>Turismo</w:t>
      </w:r>
      <w:r w:rsidRPr="00163151">
        <w:t>. A co</w:t>
      </w:r>
      <w:r w:rsidRPr="0043350C">
        <w:t>ntinuación se presenta una síntesis de cada evaluación con sus principales hallazgos y recomendaciones.</w:t>
      </w:r>
    </w:p>
    <w:p w14:paraId="715A8C4C" w14:textId="77777777" w:rsidR="00864466" w:rsidRPr="0043350C" w:rsidRDefault="00864466" w:rsidP="00864466">
      <w:pPr>
        <w:jc w:val="both"/>
        <w:rPr>
          <w:rFonts w:eastAsia="Times New Roman" w:cs="Arial"/>
          <w:szCs w:val="20"/>
          <w:lang w:val="es-ES"/>
        </w:rPr>
      </w:pPr>
    </w:p>
    <w:p w14:paraId="39C5315A" w14:textId="77777777" w:rsidR="00864466" w:rsidRPr="0043350C" w:rsidRDefault="00864466" w:rsidP="00864466">
      <w:r w:rsidRPr="0043350C">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864466" w:rsidRPr="0043350C" w14:paraId="5AF02207" w14:textId="77777777" w:rsidTr="008A4C87">
        <w:trPr>
          <w:trHeight w:val="392"/>
          <w:jc w:val="center"/>
        </w:trPr>
        <w:tc>
          <w:tcPr>
            <w:tcW w:w="10173" w:type="dxa"/>
            <w:gridSpan w:val="5"/>
            <w:shd w:val="clear" w:color="auto" w:fill="D6E3BC" w:themeFill="accent3" w:themeFillTint="66"/>
            <w:vAlign w:val="center"/>
          </w:tcPr>
          <w:p w14:paraId="5D031958" w14:textId="77777777" w:rsidR="00864466" w:rsidRPr="00AE4D8D" w:rsidRDefault="00864466" w:rsidP="004555FB">
            <w:pPr>
              <w:pStyle w:val="CABEZA"/>
              <w:ind w:left="0"/>
              <w:rPr>
                <w:lang w:val="es-MX"/>
              </w:rPr>
            </w:pPr>
            <w:r w:rsidRPr="008873F7">
              <w:rPr>
                <w:lang w:val="es-MX"/>
              </w:rPr>
              <w:lastRenderedPageBreak/>
              <w:br w:type="page"/>
            </w:r>
            <w:r w:rsidRPr="00AE4D8D">
              <w:rPr>
                <w:lang w:val="es-MX"/>
              </w:rPr>
              <w:t xml:space="preserve">Ramo </w:t>
            </w:r>
            <w:r w:rsidR="00970611">
              <w:rPr>
                <w:lang w:val="es-MX"/>
              </w:rPr>
              <w:t>04</w:t>
            </w:r>
            <w:r w:rsidRPr="00AE4D8D">
              <w:rPr>
                <w:lang w:val="es-MX"/>
              </w:rPr>
              <w:t xml:space="preserve">. </w:t>
            </w:r>
            <w:r w:rsidR="00970611">
              <w:rPr>
                <w:lang w:val="es-MX"/>
              </w:rPr>
              <w:t>Gobernación</w:t>
            </w:r>
          </w:p>
        </w:tc>
      </w:tr>
      <w:tr w:rsidR="00864466" w:rsidRPr="0043350C" w14:paraId="0D27BB9F" w14:textId="77777777" w:rsidTr="008A4C87">
        <w:trPr>
          <w:jc w:val="center"/>
        </w:trPr>
        <w:tc>
          <w:tcPr>
            <w:tcW w:w="1359" w:type="dxa"/>
            <w:shd w:val="clear" w:color="auto" w:fill="D9D9D9" w:themeFill="background1" w:themeFillShade="D9"/>
          </w:tcPr>
          <w:p w14:paraId="4956574F" w14:textId="77777777" w:rsidR="00864466" w:rsidRPr="0043350C" w:rsidRDefault="00864466" w:rsidP="008A4C87">
            <w:pPr>
              <w:spacing w:before="20"/>
              <w:rPr>
                <w:b/>
                <w:sz w:val="16"/>
                <w:lang w:val="es-ES"/>
              </w:rPr>
            </w:pPr>
            <w:r w:rsidRPr="0043350C">
              <w:rPr>
                <w:b/>
                <w:sz w:val="16"/>
                <w:lang w:val="es-ES"/>
              </w:rPr>
              <w:t xml:space="preserve">Clave del </w:t>
            </w:r>
            <w:proofErr w:type="spellStart"/>
            <w:r w:rsidRPr="0043350C">
              <w:rPr>
                <w:b/>
                <w:sz w:val="16"/>
                <w:lang w:val="es-ES"/>
              </w:rPr>
              <w:t>Pp</w:t>
            </w:r>
            <w:proofErr w:type="spellEnd"/>
            <w:r w:rsidRPr="0043350C">
              <w:rPr>
                <w:b/>
                <w:sz w:val="16"/>
                <w:lang w:val="es-ES"/>
              </w:rPr>
              <w:t>:</w:t>
            </w:r>
          </w:p>
        </w:tc>
        <w:tc>
          <w:tcPr>
            <w:tcW w:w="734" w:type="dxa"/>
            <w:shd w:val="clear" w:color="auto" w:fill="D9D9D9" w:themeFill="background1" w:themeFillShade="D9"/>
          </w:tcPr>
          <w:p w14:paraId="106059B4" w14:textId="77777777" w:rsidR="00864466" w:rsidRPr="0043350C" w:rsidRDefault="00970611" w:rsidP="00AE4D8D">
            <w:pPr>
              <w:contextualSpacing/>
              <w:rPr>
                <w:sz w:val="16"/>
                <w:szCs w:val="16"/>
                <w:lang w:val="es-ES" w:eastAsia="en-US"/>
              </w:rPr>
            </w:pPr>
            <w:r>
              <w:rPr>
                <w:sz w:val="16"/>
                <w:szCs w:val="16"/>
                <w:lang w:val="es-ES" w:eastAsia="en-US"/>
              </w:rPr>
              <w:t>U</w:t>
            </w:r>
            <w:r w:rsidR="00864466" w:rsidRPr="0043350C">
              <w:rPr>
                <w:sz w:val="16"/>
                <w:szCs w:val="16"/>
                <w:lang w:val="es-ES" w:eastAsia="en-US"/>
              </w:rPr>
              <w:t>00</w:t>
            </w:r>
            <w:r>
              <w:rPr>
                <w:sz w:val="16"/>
                <w:szCs w:val="16"/>
                <w:lang w:val="es-ES" w:eastAsia="en-US"/>
              </w:rPr>
              <w:t>6</w:t>
            </w:r>
          </w:p>
        </w:tc>
        <w:tc>
          <w:tcPr>
            <w:tcW w:w="1701" w:type="dxa"/>
            <w:gridSpan w:val="2"/>
            <w:shd w:val="clear" w:color="auto" w:fill="D9D9D9" w:themeFill="background1" w:themeFillShade="D9"/>
          </w:tcPr>
          <w:p w14:paraId="5B5E065C" w14:textId="77777777" w:rsidR="00864466" w:rsidRPr="0043350C" w:rsidRDefault="00864466" w:rsidP="008A4C87">
            <w:pPr>
              <w:spacing w:before="20"/>
              <w:rPr>
                <w:b/>
                <w:sz w:val="16"/>
                <w:lang w:val="es-ES"/>
              </w:rPr>
            </w:pPr>
            <w:r w:rsidRPr="0043350C">
              <w:rPr>
                <w:b/>
                <w:sz w:val="16"/>
                <w:lang w:val="es-ES"/>
              </w:rPr>
              <w:t>Denominación:</w:t>
            </w:r>
          </w:p>
        </w:tc>
        <w:tc>
          <w:tcPr>
            <w:tcW w:w="6379" w:type="dxa"/>
            <w:shd w:val="clear" w:color="auto" w:fill="D9D9D9" w:themeFill="background1" w:themeFillShade="D9"/>
          </w:tcPr>
          <w:p w14:paraId="4126EB90" w14:textId="77777777" w:rsidR="00864466" w:rsidRPr="0043350C" w:rsidRDefault="00970611" w:rsidP="008A4C87">
            <w:pPr>
              <w:contextualSpacing/>
              <w:rPr>
                <w:sz w:val="16"/>
                <w:szCs w:val="16"/>
                <w:lang w:val="es-ES" w:eastAsia="en-US"/>
              </w:rPr>
            </w:pPr>
            <w:r w:rsidRPr="00970611">
              <w:rPr>
                <w:sz w:val="16"/>
                <w:szCs w:val="16"/>
                <w:lang w:val="es-ES" w:eastAsia="en-US"/>
              </w:rPr>
              <w:t>Programa Nacional de Prevención del Delito</w:t>
            </w:r>
          </w:p>
        </w:tc>
      </w:tr>
      <w:tr w:rsidR="00864466" w:rsidRPr="0043350C" w14:paraId="179E65EB" w14:textId="77777777" w:rsidTr="008A4C87">
        <w:trPr>
          <w:jc w:val="center"/>
        </w:trPr>
        <w:tc>
          <w:tcPr>
            <w:tcW w:w="2778" w:type="dxa"/>
            <w:gridSpan w:val="3"/>
          </w:tcPr>
          <w:p w14:paraId="4855811A" w14:textId="77777777" w:rsidR="00864466" w:rsidRPr="0043350C" w:rsidRDefault="00864466" w:rsidP="008A4C87">
            <w:pPr>
              <w:spacing w:before="20"/>
              <w:rPr>
                <w:b/>
                <w:sz w:val="16"/>
                <w:lang w:val="es-ES"/>
              </w:rPr>
            </w:pPr>
            <w:r w:rsidRPr="0043350C">
              <w:rPr>
                <w:b/>
                <w:sz w:val="16"/>
                <w:lang w:val="es-ES"/>
              </w:rPr>
              <w:t>Unidad Administrativa:</w:t>
            </w:r>
          </w:p>
        </w:tc>
        <w:tc>
          <w:tcPr>
            <w:tcW w:w="7395" w:type="dxa"/>
            <w:gridSpan w:val="2"/>
          </w:tcPr>
          <w:p w14:paraId="1346A115" w14:textId="77777777" w:rsidR="00864466" w:rsidRPr="0043350C" w:rsidRDefault="00970611" w:rsidP="00970611">
            <w:pPr>
              <w:spacing w:before="20"/>
              <w:rPr>
                <w:rFonts w:eastAsia="Times New Roman"/>
                <w:sz w:val="16"/>
                <w:szCs w:val="16"/>
                <w:lang w:val="es-MX" w:eastAsia="en-US"/>
              </w:rPr>
            </w:pPr>
            <w:r w:rsidRPr="00970611">
              <w:rPr>
                <w:rFonts w:eastAsia="Times New Roman"/>
                <w:sz w:val="16"/>
                <w:szCs w:val="16"/>
                <w:lang w:val="es-MX" w:eastAsia="en-US"/>
              </w:rPr>
              <w:t>Subsecretaría de Prevención y Participación Ciudadana</w:t>
            </w:r>
          </w:p>
        </w:tc>
      </w:tr>
      <w:tr w:rsidR="00864466" w:rsidRPr="0043350C" w14:paraId="73B11CE9" w14:textId="77777777" w:rsidTr="008A4C87">
        <w:trPr>
          <w:jc w:val="center"/>
        </w:trPr>
        <w:tc>
          <w:tcPr>
            <w:tcW w:w="2778" w:type="dxa"/>
            <w:gridSpan w:val="3"/>
          </w:tcPr>
          <w:p w14:paraId="32B8A032" w14:textId="77777777" w:rsidR="00864466" w:rsidRPr="0043350C" w:rsidRDefault="00864466" w:rsidP="008A4C87">
            <w:pPr>
              <w:spacing w:before="20"/>
              <w:rPr>
                <w:b/>
                <w:sz w:val="16"/>
                <w:lang w:val="es-ES"/>
              </w:rPr>
            </w:pPr>
            <w:r w:rsidRPr="0043350C">
              <w:rPr>
                <w:b/>
                <w:sz w:val="16"/>
                <w:lang w:val="es-ES"/>
              </w:rPr>
              <w:t>Responsable:</w:t>
            </w:r>
          </w:p>
        </w:tc>
        <w:tc>
          <w:tcPr>
            <w:tcW w:w="7395" w:type="dxa"/>
            <w:gridSpan w:val="2"/>
          </w:tcPr>
          <w:p w14:paraId="6FE65E00" w14:textId="77777777" w:rsidR="00864466" w:rsidRPr="0043350C" w:rsidRDefault="00970611" w:rsidP="008A4C87">
            <w:pPr>
              <w:spacing w:before="20"/>
              <w:rPr>
                <w:sz w:val="16"/>
                <w:lang w:val="es-ES"/>
              </w:rPr>
            </w:pPr>
            <w:r w:rsidRPr="00970611">
              <w:rPr>
                <w:sz w:val="16"/>
                <w:lang w:val="es-ES"/>
              </w:rPr>
              <w:t xml:space="preserve">Alberto </w:t>
            </w:r>
            <w:proofErr w:type="spellStart"/>
            <w:r w:rsidRPr="00970611">
              <w:rPr>
                <w:sz w:val="16"/>
                <w:lang w:val="es-ES"/>
              </w:rPr>
              <w:t>Begne</w:t>
            </w:r>
            <w:proofErr w:type="spellEnd"/>
            <w:r w:rsidRPr="00970611">
              <w:rPr>
                <w:sz w:val="16"/>
                <w:lang w:val="es-ES"/>
              </w:rPr>
              <w:t xml:space="preserve"> Guerra</w:t>
            </w:r>
          </w:p>
        </w:tc>
      </w:tr>
      <w:tr w:rsidR="00864466" w:rsidRPr="0043350C" w14:paraId="40AA0B4F" w14:textId="77777777" w:rsidTr="008A4C87">
        <w:trPr>
          <w:jc w:val="center"/>
        </w:trPr>
        <w:tc>
          <w:tcPr>
            <w:tcW w:w="2778" w:type="dxa"/>
            <w:gridSpan w:val="3"/>
            <w:shd w:val="clear" w:color="auto" w:fill="D9D9D9" w:themeFill="background1" w:themeFillShade="D9"/>
          </w:tcPr>
          <w:p w14:paraId="6CAEFAAC" w14:textId="77777777" w:rsidR="00864466" w:rsidRPr="0043350C" w:rsidRDefault="00864466" w:rsidP="008A4C87">
            <w:pPr>
              <w:spacing w:before="20"/>
              <w:rPr>
                <w:b/>
                <w:sz w:val="16"/>
                <w:lang w:val="es-ES"/>
              </w:rPr>
            </w:pPr>
            <w:r w:rsidRPr="0043350C">
              <w:rPr>
                <w:b/>
                <w:sz w:val="16"/>
                <w:lang w:val="es-ES"/>
              </w:rPr>
              <w:t>Tipo de Evaluación:</w:t>
            </w:r>
          </w:p>
        </w:tc>
        <w:tc>
          <w:tcPr>
            <w:tcW w:w="7395" w:type="dxa"/>
            <w:gridSpan w:val="2"/>
            <w:shd w:val="clear" w:color="auto" w:fill="D9D9D9" w:themeFill="background1" w:themeFillShade="D9"/>
          </w:tcPr>
          <w:p w14:paraId="0FD38535" w14:textId="77777777" w:rsidR="00864466" w:rsidRPr="0043350C" w:rsidRDefault="00864466" w:rsidP="00970611">
            <w:pPr>
              <w:spacing w:before="20"/>
              <w:rPr>
                <w:sz w:val="16"/>
                <w:lang w:val="es-ES"/>
              </w:rPr>
            </w:pPr>
            <w:r w:rsidRPr="0043350C">
              <w:rPr>
                <w:sz w:val="16"/>
                <w:lang w:val="es-ES"/>
              </w:rPr>
              <w:t>Consistencia y Result</w:t>
            </w:r>
            <w:r w:rsidR="00AC1962">
              <w:rPr>
                <w:sz w:val="16"/>
                <w:lang w:val="es-ES"/>
              </w:rPr>
              <w:t>ados, PAE 201</w:t>
            </w:r>
            <w:r w:rsidR="00970611">
              <w:rPr>
                <w:sz w:val="16"/>
                <w:lang w:val="es-ES"/>
              </w:rPr>
              <w:t>5</w:t>
            </w:r>
          </w:p>
        </w:tc>
      </w:tr>
    </w:tbl>
    <w:p w14:paraId="5680B35C" w14:textId="77777777" w:rsidR="00864466" w:rsidRPr="0043350C" w:rsidRDefault="00864466" w:rsidP="00864466">
      <w:pPr>
        <w:spacing w:line="250" w:lineRule="exact"/>
        <w:jc w:val="both"/>
        <w:rPr>
          <w:rFonts w:eastAsia="Times New Roman" w:cs="Arial"/>
          <w:b/>
          <w:szCs w:val="20"/>
          <w:lang w:val="es-ES"/>
        </w:rPr>
      </w:pPr>
    </w:p>
    <w:p w14:paraId="226DAC36" w14:textId="77777777" w:rsidR="00864466" w:rsidRPr="0043350C" w:rsidRDefault="00864466" w:rsidP="00864466">
      <w:pPr>
        <w:pStyle w:val="Cdetextonegrita"/>
      </w:pPr>
      <w:r w:rsidRPr="0043350C">
        <w:t xml:space="preserve">Descripción del </w:t>
      </w:r>
      <w:proofErr w:type="spellStart"/>
      <w:r w:rsidRPr="0043350C">
        <w:t>Pp</w:t>
      </w:r>
      <w:proofErr w:type="spellEnd"/>
    </w:p>
    <w:p w14:paraId="64745AA6" w14:textId="77777777" w:rsidR="00864466" w:rsidRPr="0043350C" w:rsidRDefault="005C61CE" w:rsidP="00864466">
      <w:pPr>
        <w:pStyle w:val="Cdetexto"/>
      </w:pPr>
      <w:r>
        <w:t xml:space="preserve">El </w:t>
      </w:r>
      <w:proofErr w:type="spellStart"/>
      <w:r>
        <w:t>Pp</w:t>
      </w:r>
      <w:proofErr w:type="spellEnd"/>
      <w:r>
        <w:t xml:space="preserve"> s</w:t>
      </w:r>
      <w:r w:rsidRPr="005C61CE">
        <w:t xml:space="preserve">e crea a partir del </w:t>
      </w:r>
      <w:r w:rsidR="00402061" w:rsidRPr="005C61CE">
        <w:t xml:space="preserve">Acuerdo </w:t>
      </w:r>
      <w:r w:rsidRPr="005C61CE">
        <w:t xml:space="preserve">02/II-SE/2012 adoptado por el Consejo Nacional de Seguridad Pública el 17 de diciembre de 2012, </w:t>
      </w:r>
      <w:r>
        <w:t xml:space="preserve">con el objetivo de </w:t>
      </w:r>
      <w:r w:rsidRPr="005C61CE">
        <w:t xml:space="preserve">orientar </w:t>
      </w:r>
      <w:proofErr w:type="gramStart"/>
      <w:r w:rsidR="00D63D0F" w:rsidRPr="005C61CE">
        <w:t>el esfuerzo de las diferentes instancias de</w:t>
      </w:r>
      <w:r w:rsidR="00D63D0F">
        <w:t xml:space="preserve"> los gobiernos federal, estatales </w:t>
      </w:r>
      <w:r w:rsidR="00D63D0F" w:rsidRPr="005C61CE">
        <w:t>y municipal</w:t>
      </w:r>
      <w:r w:rsidR="00D63D0F">
        <w:t>es</w:t>
      </w:r>
      <w:proofErr w:type="gramEnd"/>
      <w:r w:rsidRPr="005C61CE">
        <w:t xml:space="preserve"> en corregir las situaciones de entorno y de convivencia que provocan violencia social y delincuencia</w:t>
      </w:r>
      <w:r w:rsidR="00AC1962" w:rsidRPr="00AC1962">
        <w:t>.</w:t>
      </w:r>
    </w:p>
    <w:p w14:paraId="5EC673A3" w14:textId="77777777" w:rsidR="00DB1819" w:rsidRDefault="00DB1819" w:rsidP="00864466">
      <w:pPr>
        <w:pStyle w:val="Cdetexto"/>
      </w:pPr>
      <w:r>
        <w:t xml:space="preserve">El </w:t>
      </w:r>
      <w:r w:rsidRPr="00DB1819">
        <w:t xml:space="preserve">problema que </w:t>
      </w:r>
      <w:r>
        <w:t xml:space="preserve">atiende el </w:t>
      </w:r>
      <w:proofErr w:type="spellStart"/>
      <w:r>
        <w:t>Pp</w:t>
      </w:r>
      <w:proofErr w:type="spellEnd"/>
      <w:r>
        <w:t xml:space="preserve"> </w:t>
      </w:r>
      <w:r w:rsidR="009E6418">
        <w:t>se define como</w:t>
      </w:r>
      <w:r w:rsidR="00C45D03">
        <w:t>:</w:t>
      </w:r>
      <w:r w:rsidRPr="00DB1819">
        <w:t xml:space="preserve"> “</w:t>
      </w:r>
      <w:r w:rsidR="005C61CE" w:rsidRPr="005C61CE">
        <w:t>Las Entidades Federativas, municipios y delegaciones del Distrito Federal carecen de programas locales de prevención social de la violencia y la delincuencia con participación social</w:t>
      </w:r>
      <w:r w:rsidRPr="00DB1819">
        <w:t>”</w:t>
      </w:r>
      <w:r>
        <w:t>.</w:t>
      </w:r>
    </w:p>
    <w:p w14:paraId="7E4F0C2D" w14:textId="77777777" w:rsidR="00864466" w:rsidRPr="0043350C" w:rsidRDefault="00864466" w:rsidP="00864466">
      <w:pPr>
        <w:pStyle w:val="Cdetexto"/>
      </w:pPr>
      <w:r w:rsidRPr="0043350C">
        <w:t xml:space="preserve">El fin del </w:t>
      </w:r>
      <w:proofErr w:type="spellStart"/>
      <w:r w:rsidRPr="0043350C">
        <w:t>Pp</w:t>
      </w:r>
      <w:proofErr w:type="spellEnd"/>
      <w:r w:rsidRPr="0043350C">
        <w:t xml:space="preserve"> se definió como “</w:t>
      </w:r>
      <w:r w:rsidR="007B4814" w:rsidRPr="007B4814">
        <w:t>Contribuir a mejorar las condiciones de seguridad y justicia mediante la organización y participación de la ciudadanía</w:t>
      </w:r>
      <w:r w:rsidRPr="0043350C">
        <w:t>”.</w:t>
      </w:r>
    </w:p>
    <w:p w14:paraId="399323FE" w14:textId="77777777" w:rsidR="00864466" w:rsidRPr="0043350C" w:rsidRDefault="00864466" w:rsidP="00864466">
      <w:pPr>
        <w:pStyle w:val="Cdetexto"/>
      </w:pPr>
      <w:r w:rsidRPr="0043350C">
        <w:t xml:space="preserve">El propósito del </w:t>
      </w:r>
      <w:proofErr w:type="spellStart"/>
      <w:r w:rsidRPr="0043350C">
        <w:t>Pp</w:t>
      </w:r>
      <w:proofErr w:type="spellEnd"/>
      <w:r w:rsidRPr="0043350C">
        <w:t xml:space="preserve"> es “</w:t>
      </w:r>
      <w:r w:rsidR="007B4814" w:rsidRPr="007B4814">
        <w:t>Las entidades federativas, los municipios y las delegaciones del Distrito Federal, implementan programas locales integrales para la prevención social de la violencia y la delincuencia con participación ciudadana</w:t>
      </w:r>
      <w:r w:rsidR="008D6DFB">
        <w:t>”</w:t>
      </w:r>
      <w:r w:rsidRPr="0043350C">
        <w:t>.</w:t>
      </w:r>
    </w:p>
    <w:p w14:paraId="5CD894AC" w14:textId="77777777" w:rsidR="00864466" w:rsidRPr="0043350C" w:rsidRDefault="00DF1593" w:rsidP="00864466">
      <w:pPr>
        <w:pStyle w:val="Cdetexto"/>
      </w:pPr>
      <w:r>
        <w:t>E</w:t>
      </w:r>
      <w:r w:rsidRPr="00DF1593">
        <w:t xml:space="preserve">l </w:t>
      </w:r>
      <w:proofErr w:type="spellStart"/>
      <w:r w:rsidR="00FA3C6C">
        <w:t>Pp</w:t>
      </w:r>
      <w:proofErr w:type="spellEnd"/>
      <w:r w:rsidR="00FA3C6C">
        <w:t xml:space="preserve"> no tiene claramente definida a su PO o AEO</w:t>
      </w:r>
      <w:r>
        <w:t>.</w:t>
      </w:r>
    </w:p>
    <w:p w14:paraId="7BCC7CAC" w14:textId="77777777" w:rsidR="00864466" w:rsidRPr="0043350C" w:rsidRDefault="00DF1593" w:rsidP="00864466">
      <w:pPr>
        <w:pStyle w:val="Cdetexto"/>
      </w:pPr>
      <w:r w:rsidRPr="00DF1593">
        <w:t xml:space="preserve">El </w:t>
      </w:r>
      <w:proofErr w:type="spellStart"/>
      <w:r w:rsidRPr="00DF1593">
        <w:t>Pp</w:t>
      </w:r>
      <w:proofErr w:type="spellEnd"/>
      <w:r w:rsidRPr="00DF1593">
        <w:t xml:space="preserve"> </w:t>
      </w:r>
      <w:r w:rsidR="008679DE" w:rsidRPr="008679DE">
        <w:t>se encuentra vinculado a</w:t>
      </w:r>
      <w:r w:rsidR="00713E87">
        <w:t xml:space="preserve"> </w:t>
      </w:r>
      <w:r w:rsidR="008679DE" w:rsidRPr="008679DE">
        <w:t>l</w:t>
      </w:r>
      <w:r w:rsidR="00713E87">
        <w:t>a</w:t>
      </w:r>
      <w:r w:rsidR="008679DE" w:rsidRPr="008679DE">
        <w:t xml:space="preserve"> </w:t>
      </w:r>
      <w:r w:rsidR="00713E87" w:rsidRPr="008679DE">
        <w:t xml:space="preserve">Meta Nacional </w:t>
      </w:r>
      <w:r w:rsidR="00713E87">
        <w:t>I</w:t>
      </w:r>
      <w:r w:rsidR="00713E87" w:rsidRPr="008679DE">
        <w:t>. México en Paz</w:t>
      </w:r>
      <w:r w:rsidR="00713E87">
        <w:t xml:space="preserve"> del </w:t>
      </w:r>
      <w:r w:rsidR="008679DE">
        <w:t>PND</w:t>
      </w:r>
      <w:r w:rsidR="008679DE" w:rsidRPr="008679DE">
        <w:t xml:space="preserve">, </w:t>
      </w:r>
      <w:r w:rsidR="00713E87">
        <w:t>a través del o</w:t>
      </w:r>
      <w:r w:rsidR="008679DE" w:rsidRPr="008679DE">
        <w:t>bjetivo 1.3</w:t>
      </w:r>
      <w:r w:rsidR="00713E87">
        <w:t>.</w:t>
      </w:r>
      <w:r w:rsidR="008679DE" w:rsidRPr="008679DE">
        <w:t xml:space="preserve"> Mejorar las condiciones de seguridad pública</w:t>
      </w:r>
      <w:r w:rsidR="00A91F00">
        <w:t>,</w:t>
      </w:r>
      <w:r w:rsidR="008679DE" w:rsidRPr="008679DE">
        <w:t xml:space="preserve"> al </w:t>
      </w:r>
      <w:r w:rsidR="00C2258D">
        <w:t>PSG</w:t>
      </w:r>
      <w:r w:rsidR="008679DE" w:rsidRPr="008679DE">
        <w:t xml:space="preserve"> y al Programa Nacional de Prevención Social de la Violencia y la Delincuencia 2014-2018</w:t>
      </w:r>
      <w:r w:rsidRPr="00DF1593">
        <w:t>.</w:t>
      </w:r>
    </w:p>
    <w:p w14:paraId="6ED7CBCA" w14:textId="77777777" w:rsidR="00864466" w:rsidRPr="0043350C" w:rsidRDefault="00864466" w:rsidP="00864466">
      <w:pPr>
        <w:spacing w:line="250" w:lineRule="exact"/>
        <w:jc w:val="both"/>
        <w:rPr>
          <w:rFonts w:eastAsia="Times New Roman" w:cs="Arial"/>
          <w:b/>
          <w:szCs w:val="20"/>
          <w:lang w:val="es-ES"/>
        </w:rPr>
      </w:pPr>
      <w:r w:rsidRPr="0043350C">
        <w:rPr>
          <w:rFonts w:eastAsia="Times New Roman" w:cs="Arial"/>
          <w:b/>
          <w:szCs w:val="20"/>
          <w:lang w:val="es-ES"/>
        </w:rPr>
        <w:t>Principales Hallazgos</w:t>
      </w:r>
    </w:p>
    <w:p w14:paraId="67B20795" w14:textId="77777777" w:rsidR="00864466" w:rsidRPr="0043350C" w:rsidRDefault="00864466" w:rsidP="00864466">
      <w:pPr>
        <w:spacing w:line="250" w:lineRule="exact"/>
        <w:jc w:val="both"/>
        <w:rPr>
          <w:i/>
          <w:lang w:val="es-ES"/>
        </w:rPr>
      </w:pPr>
      <w:r w:rsidRPr="0043350C">
        <w:rPr>
          <w:i/>
          <w:lang w:val="es-ES"/>
        </w:rPr>
        <w:t>Diseño:</w:t>
      </w:r>
    </w:p>
    <w:p w14:paraId="33D9BB11" w14:textId="77777777" w:rsidR="005A4159" w:rsidRDefault="005A4159" w:rsidP="003B5C45">
      <w:pPr>
        <w:pStyle w:val="Cdetexto"/>
      </w:pPr>
      <w:r w:rsidRPr="005A4159">
        <w:t xml:space="preserve">La justificación de la creación y del diseño del </w:t>
      </w:r>
      <w:proofErr w:type="spellStart"/>
      <w:r w:rsidR="007F27D8">
        <w:t>Pp</w:t>
      </w:r>
      <w:proofErr w:type="spellEnd"/>
      <w:r w:rsidRPr="005A4159">
        <w:t xml:space="preserve"> presenta oportunidades de mejora, principalmente por la divergencia entre diversos documentos sobre la definición d</w:t>
      </w:r>
      <w:r w:rsidR="007F27D8">
        <w:t xml:space="preserve">el problema </w:t>
      </w:r>
      <w:r w:rsidR="00155538">
        <w:t xml:space="preserve">público </w:t>
      </w:r>
      <w:r w:rsidR="007F27D8">
        <w:t xml:space="preserve">que </w:t>
      </w:r>
      <w:r w:rsidR="00155538">
        <w:t>busca solucionar</w:t>
      </w:r>
      <w:r w:rsidR="007F27D8">
        <w:t xml:space="preserve"> y de</w:t>
      </w:r>
      <w:r w:rsidR="00155538">
        <w:t xml:space="preserve"> </w:t>
      </w:r>
      <w:r w:rsidR="007F27D8">
        <w:t>l</w:t>
      </w:r>
      <w:r w:rsidR="00155538">
        <w:t>a PO o</w:t>
      </w:r>
      <w:r w:rsidR="007F27D8">
        <w:t xml:space="preserve"> AEO </w:t>
      </w:r>
      <w:r w:rsidRPr="005A4159">
        <w:t>que lo sufre</w:t>
      </w:r>
      <w:r>
        <w:t>.</w:t>
      </w:r>
    </w:p>
    <w:p w14:paraId="42EA5025" w14:textId="77777777" w:rsidR="005A4159" w:rsidRDefault="007F27D8" w:rsidP="003B5C45">
      <w:pPr>
        <w:pStyle w:val="Cdetexto"/>
      </w:pPr>
      <w:r w:rsidRPr="007F27D8">
        <w:t>La MIR tiene op</w:t>
      </w:r>
      <w:r>
        <w:t>ortunidades de mejora, pues el f</w:t>
      </w:r>
      <w:r w:rsidRPr="007F27D8">
        <w:t xml:space="preserve">in no refleja </w:t>
      </w:r>
      <w:r>
        <w:t>una vinculación directa con el p</w:t>
      </w:r>
      <w:r w:rsidRPr="007F27D8">
        <w:t xml:space="preserve">ropósito; el </w:t>
      </w:r>
      <w:r>
        <w:t>p</w:t>
      </w:r>
      <w:r w:rsidRPr="007F27D8">
        <w:t>ropósito se encuentra mal redactado y la alineación vertical del tercer componente es incorrecta, ya que sus actividades no corresponden a tareas que deban ejecutarse pa</w:t>
      </w:r>
      <w:r>
        <w:t>ra cumplir con el objetivo del c</w:t>
      </w:r>
      <w:r w:rsidRPr="007F27D8">
        <w:t>omponente</w:t>
      </w:r>
      <w:r>
        <w:t>.</w:t>
      </w:r>
      <w:r w:rsidR="00025684">
        <w:t xml:space="preserve"> Asimismo, es necesario i</w:t>
      </w:r>
      <w:r w:rsidR="00025684" w:rsidRPr="00025684">
        <w:t>ncorporar la información faltante (línea base y comportamiento) en las fichas técnicas de los indicadores</w:t>
      </w:r>
      <w:r w:rsidR="00025684">
        <w:t>.</w:t>
      </w:r>
    </w:p>
    <w:p w14:paraId="32117488" w14:textId="77777777" w:rsidR="00864466" w:rsidRPr="0043350C" w:rsidRDefault="00864466" w:rsidP="00864466">
      <w:pPr>
        <w:pStyle w:val="Cdetexto"/>
        <w:rPr>
          <w:i/>
        </w:rPr>
      </w:pPr>
      <w:r w:rsidRPr="0043350C">
        <w:rPr>
          <w:i/>
        </w:rPr>
        <w:t>Planeación y Orientación a Resultados:</w:t>
      </w:r>
    </w:p>
    <w:p w14:paraId="62B05E1F" w14:textId="77777777" w:rsidR="00864466" w:rsidRPr="0043350C" w:rsidRDefault="00025684" w:rsidP="00025684">
      <w:pPr>
        <w:pStyle w:val="Cdetexto"/>
      </w:pPr>
      <w:r>
        <w:t xml:space="preserve">La UR no cuenta con un plan de trabajo anual directamente relacionado con el </w:t>
      </w:r>
      <w:proofErr w:type="spellStart"/>
      <w:r>
        <w:t>Pp</w:t>
      </w:r>
      <w:proofErr w:type="spellEnd"/>
      <w:r>
        <w:t xml:space="preserve">, únicamente considera los </w:t>
      </w:r>
      <w:r w:rsidR="00155538" w:rsidRPr="00155538">
        <w:t>Lineamientos para el otorgamiento de Apoyos a las Entidades Federativas en el Marco del Programa Nacional de Prevención del Delito</w:t>
      </w:r>
      <w:r w:rsidR="00155538">
        <w:t xml:space="preserve"> (Lineamientos).</w:t>
      </w:r>
    </w:p>
    <w:p w14:paraId="2317A780" w14:textId="77777777" w:rsidR="00155538" w:rsidRDefault="00155538" w:rsidP="00155538">
      <w:pPr>
        <w:pStyle w:val="Cdetexto"/>
      </w:pPr>
      <w:r>
        <w:lastRenderedPageBreak/>
        <w:t xml:space="preserve">Los instrumentos de planeación estratégica con que cuenta el </w:t>
      </w:r>
      <w:proofErr w:type="spellStart"/>
      <w:r>
        <w:t>Pp</w:t>
      </w:r>
      <w:proofErr w:type="spellEnd"/>
      <w:r>
        <w:t xml:space="preserve"> no incluyen información que se vincule directamente con su MIR.</w:t>
      </w:r>
      <w:r w:rsidRPr="00155538">
        <w:t xml:space="preserve"> </w:t>
      </w:r>
      <w:r>
        <w:t>Asimismo, e</w:t>
      </w:r>
      <w:r w:rsidRPr="007F27D8">
        <w:t xml:space="preserve">l </w:t>
      </w:r>
      <w:proofErr w:type="spellStart"/>
      <w:r>
        <w:t>Pp</w:t>
      </w:r>
      <w:proofErr w:type="spellEnd"/>
      <w:r w:rsidRPr="007F27D8">
        <w:t xml:space="preserve"> cuenta con indicadores para medir los avances en el logro de sus resultados, pero no son consistent</w:t>
      </w:r>
      <w:r>
        <w:t>es con lo establecido en su MIR.</w:t>
      </w:r>
    </w:p>
    <w:p w14:paraId="5D81A3FA" w14:textId="77777777" w:rsidR="00864466" w:rsidRPr="005F21F0" w:rsidRDefault="00864466" w:rsidP="00864466">
      <w:pPr>
        <w:pStyle w:val="Cdetexto"/>
        <w:rPr>
          <w:i/>
        </w:rPr>
      </w:pPr>
      <w:r w:rsidRPr="005F21F0">
        <w:rPr>
          <w:i/>
        </w:rPr>
        <w:t>Cobertura y Focalización:</w:t>
      </w:r>
    </w:p>
    <w:p w14:paraId="517C9CCA" w14:textId="77777777" w:rsidR="00864466" w:rsidRPr="0043350C" w:rsidRDefault="007A53AA" w:rsidP="007A53AA">
      <w:pPr>
        <w:pStyle w:val="Cdetexto"/>
      </w:pPr>
      <w:r>
        <w:t xml:space="preserve">Se sugiere definir claramente si </w:t>
      </w:r>
      <w:r w:rsidR="00025684">
        <w:t xml:space="preserve">el AEO </w:t>
      </w:r>
      <w:r>
        <w:t xml:space="preserve">del </w:t>
      </w:r>
      <w:proofErr w:type="spellStart"/>
      <w:r w:rsidR="00025684">
        <w:t>Pp</w:t>
      </w:r>
      <w:proofErr w:type="spellEnd"/>
      <w:r w:rsidR="00025684">
        <w:t xml:space="preserve"> </w:t>
      </w:r>
      <w:r>
        <w:t xml:space="preserve">se refiere a las entidades federativas, como lo establecen los </w:t>
      </w:r>
      <w:r w:rsidRPr="00155538">
        <w:t>Lineamientos</w:t>
      </w:r>
      <w:r w:rsidR="00425875">
        <w:t>;</w:t>
      </w:r>
      <w:r>
        <w:t xml:space="preserve"> a las entidades federativas, municipios y demarcaciones territoriales de la Ciudad de México, como lo establecen</w:t>
      </w:r>
      <w:r w:rsidR="00025684">
        <w:t xml:space="preserve"> los á</w:t>
      </w:r>
      <w:r>
        <w:t>rboles de</w:t>
      </w:r>
      <w:r w:rsidR="00025684">
        <w:t>l</w:t>
      </w:r>
      <w:r>
        <w:t xml:space="preserve"> </w:t>
      </w:r>
      <w:r w:rsidR="00025684">
        <w:t>p</w:t>
      </w:r>
      <w:r>
        <w:t xml:space="preserve">roblema y </w:t>
      </w:r>
      <w:r w:rsidR="00025684">
        <w:t>de o</w:t>
      </w:r>
      <w:r>
        <w:t>bjetivos</w:t>
      </w:r>
      <w:r w:rsidR="00425875">
        <w:t>;</w:t>
      </w:r>
      <w:r>
        <w:t xml:space="preserve"> o si también deben incorporarse a esta definición zonas urbanas y metropolitanas, como se menciona en la Estrategia de Cobertura.</w:t>
      </w:r>
    </w:p>
    <w:p w14:paraId="3497CB99" w14:textId="77777777" w:rsidR="00864466" w:rsidRPr="005F21F0" w:rsidRDefault="00864466" w:rsidP="00864466">
      <w:pPr>
        <w:pStyle w:val="Cdetexto"/>
        <w:rPr>
          <w:i/>
        </w:rPr>
      </w:pPr>
      <w:r w:rsidRPr="005F21F0">
        <w:rPr>
          <w:i/>
        </w:rPr>
        <w:t>Operación:</w:t>
      </w:r>
    </w:p>
    <w:p w14:paraId="3E6A7ABC" w14:textId="77777777" w:rsidR="007F27D8" w:rsidRDefault="00025684" w:rsidP="007F27D8">
      <w:pPr>
        <w:pStyle w:val="Cdetexto"/>
      </w:pPr>
      <w:r w:rsidRPr="00025684">
        <w:t xml:space="preserve">El </w:t>
      </w:r>
      <w:proofErr w:type="spellStart"/>
      <w:r w:rsidR="00155538">
        <w:t>Pp</w:t>
      </w:r>
      <w:proofErr w:type="spellEnd"/>
      <w:r w:rsidRPr="00025684">
        <w:t xml:space="preserve"> cuenta con procedimientos para la selección de beneficiarios, </w:t>
      </w:r>
      <w:r w:rsidRPr="007D0AB4">
        <w:t>usuarios, área de enfoque y/o proyectos y su verificación</w:t>
      </w:r>
      <w:r w:rsidR="00155538" w:rsidRPr="007D0AB4">
        <w:t xml:space="preserve">, así como </w:t>
      </w:r>
      <w:r w:rsidRPr="007D0AB4">
        <w:t xml:space="preserve">para </w:t>
      </w:r>
      <w:r w:rsidR="00155538" w:rsidRPr="007D0AB4">
        <w:t xml:space="preserve">el otorgamiento de </w:t>
      </w:r>
      <w:r w:rsidRPr="007D0AB4">
        <w:t>apoy</w:t>
      </w:r>
      <w:r w:rsidRPr="00025684">
        <w:t>os y para verifi</w:t>
      </w:r>
      <w:r>
        <w:t>car el procedimiento de entrega</w:t>
      </w:r>
      <w:r w:rsidR="00425875">
        <w:t>; n</w:t>
      </w:r>
      <w:r w:rsidR="009D22B9">
        <w:t>o obstante</w:t>
      </w:r>
      <w:r w:rsidR="00155538">
        <w:t>,</w:t>
      </w:r>
      <w:r w:rsidRPr="00025684">
        <w:t xml:space="preserve"> </w:t>
      </w:r>
      <w:r w:rsidR="00425875">
        <w:t xml:space="preserve">el </w:t>
      </w:r>
      <w:proofErr w:type="spellStart"/>
      <w:r w:rsidR="00425875">
        <w:t>Pp</w:t>
      </w:r>
      <w:proofErr w:type="spellEnd"/>
      <w:r w:rsidR="00425875">
        <w:t xml:space="preserve"> no cuenta con </w:t>
      </w:r>
      <w:r w:rsidR="00F1083B" w:rsidRPr="00F1083B">
        <w:t xml:space="preserve">documentos </w:t>
      </w:r>
      <w:r w:rsidR="00425875">
        <w:t xml:space="preserve">de </w:t>
      </w:r>
      <w:r w:rsidR="00F1083B" w:rsidRPr="00F1083B">
        <w:t>sustento como los manuales de organizaci</w:t>
      </w:r>
      <w:r w:rsidR="007F27D8">
        <w:t>ón y operación o procedimientos.</w:t>
      </w:r>
    </w:p>
    <w:p w14:paraId="15F34315" w14:textId="77777777" w:rsidR="00864466" w:rsidRPr="0043350C" w:rsidRDefault="00864466" w:rsidP="00864466">
      <w:pPr>
        <w:pStyle w:val="Cdetexto"/>
        <w:rPr>
          <w:i/>
        </w:rPr>
      </w:pPr>
      <w:r w:rsidRPr="0043350C">
        <w:rPr>
          <w:i/>
        </w:rPr>
        <w:t>Percepción de la Población Atendida:</w:t>
      </w:r>
    </w:p>
    <w:p w14:paraId="30614CBB" w14:textId="77777777" w:rsidR="00864466" w:rsidRPr="0043350C" w:rsidRDefault="00025684" w:rsidP="00864466">
      <w:pPr>
        <w:pStyle w:val="Cdetexto"/>
      </w:pPr>
      <w:r w:rsidRPr="00025684">
        <w:t xml:space="preserve">El </w:t>
      </w:r>
      <w:proofErr w:type="spellStart"/>
      <w:r w:rsidR="009D22B9">
        <w:t>Pp</w:t>
      </w:r>
      <w:proofErr w:type="spellEnd"/>
      <w:r w:rsidRPr="00025684">
        <w:t xml:space="preserve"> cuenta con instrumentos adecuados para medir el grado de satisfacción de su </w:t>
      </w:r>
      <w:r w:rsidR="009D22B9">
        <w:t xml:space="preserve">AEA, considerando ésta como las entidades federativas, a la que se aplicó la </w:t>
      </w:r>
      <w:r w:rsidR="009D22B9" w:rsidRPr="009D22B9">
        <w:t>Encuesta de satisfacción a entidades federativas beneficiarias del Programa Nacional de Prevención de Delito</w:t>
      </w:r>
      <w:r w:rsidR="00425875">
        <w:t>;</w:t>
      </w:r>
      <w:r>
        <w:t xml:space="preserve"> </w:t>
      </w:r>
      <w:r w:rsidR="00425875">
        <w:t xml:space="preserve">sin embargo, </w:t>
      </w:r>
      <w:r w:rsidRPr="00025684">
        <w:t>no se contó con infor</w:t>
      </w:r>
      <w:r w:rsidR="00425875">
        <w:t xml:space="preserve">mación sobre </w:t>
      </w:r>
      <w:r w:rsidR="00402061">
        <w:t xml:space="preserve">su </w:t>
      </w:r>
      <w:r w:rsidR="00425875">
        <w:t>frecuencia de levantamiento</w:t>
      </w:r>
      <w:r w:rsidRPr="00025684">
        <w:t>.</w:t>
      </w:r>
    </w:p>
    <w:p w14:paraId="1FC95C15" w14:textId="77777777" w:rsidR="00864466" w:rsidRPr="0043350C" w:rsidRDefault="00864466" w:rsidP="00864466">
      <w:pPr>
        <w:pStyle w:val="Cdetexto"/>
        <w:rPr>
          <w:i/>
          <w:szCs w:val="22"/>
        </w:rPr>
      </w:pPr>
      <w:r w:rsidRPr="0043350C">
        <w:rPr>
          <w:i/>
          <w:szCs w:val="22"/>
        </w:rPr>
        <w:t>Medición de Resultados:</w:t>
      </w:r>
    </w:p>
    <w:p w14:paraId="0ADE434F" w14:textId="77777777" w:rsidR="00A76E7F" w:rsidRDefault="009D22B9" w:rsidP="00E65F1B">
      <w:pPr>
        <w:pStyle w:val="Cdetexto"/>
      </w:pPr>
      <w:r>
        <w:t xml:space="preserve">El </w:t>
      </w:r>
      <w:proofErr w:type="spellStart"/>
      <w:r>
        <w:t>Pp</w:t>
      </w:r>
      <w:proofErr w:type="spellEnd"/>
      <w:r>
        <w:t xml:space="preserve"> </w:t>
      </w:r>
      <w:r w:rsidR="00025684" w:rsidRPr="00025684">
        <w:t xml:space="preserve">obtuvo </w:t>
      </w:r>
      <w:r>
        <w:t xml:space="preserve">resultados </w:t>
      </w:r>
      <w:r w:rsidR="00025684" w:rsidRPr="00025684">
        <w:t xml:space="preserve">satisfactorios a nivel de </w:t>
      </w:r>
      <w:r>
        <w:t>f</w:t>
      </w:r>
      <w:r w:rsidR="00025684" w:rsidRPr="00025684">
        <w:t xml:space="preserve">in y de </w:t>
      </w:r>
      <w:r>
        <w:t>p</w:t>
      </w:r>
      <w:r w:rsidR="00025684" w:rsidRPr="00025684">
        <w:t xml:space="preserve">ropósito, mismos que son suficientes para señalar que se cumplió con el </w:t>
      </w:r>
      <w:r>
        <w:t>p</w:t>
      </w:r>
      <w:r w:rsidR="00025684" w:rsidRPr="00025684">
        <w:t xml:space="preserve">ropósito y </w:t>
      </w:r>
      <w:r>
        <w:t xml:space="preserve">éste a su vez </w:t>
      </w:r>
      <w:r w:rsidR="00025684" w:rsidRPr="00025684">
        <w:t xml:space="preserve">contribuyó al </w:t>
      </w:r>
      <w:r>
        <w:t>f</w:t>
      </w:r>
      <w:r w:rsidR="00025684" w:rsidRPr="00025684">
        <w:t>in</w:t>
      </w:r>
      <w:r>
        <w:t xml:space="preserve"> del Pp</w:t>
      </w:r>
      <w:r w:rsidR="00E65F1B">
        <w:t>.</w:t>
      </w:r>
    </w:p>
    <w:p w14:paraId="0BC8F196" w14:textId="77777777" w:rsidR="00864466" w:rsidRPr="0043350C" w:rsidRDefault="00864466" w:rsidP="00864466">
      <w:pPr>
        <w:spacing w:line="250" w:lineRule="exact"/>
        <w:jc w:val="both"/>
        <w:rPr>
          <w:rFonts w:eastAsia="Times New Roman" w:cs="Arial"/>
          <w:b/>
          <w:szCs w:val="20"/>
          <w:lang w:val="es-ES"/>
        </w:rPr>
      </w:pPr>
      <w:r w:rsidRPr="0043350C">
        <w:rPr>
          <w:rFonts w:eastAsia="Times New Roman" w:cs="Arial"/>
          <w:b/>
          <w:szCs w:val="20"/>
          <w:lang w:val="es-ES"/>
        </w:rPr>
        <w:t>Principales Recomendaciones</w:t>
      </w:r>
    </w:p>
    <w:p w14:paraId="36E8D0B3" w14:textId="77777777" w:rsidR="00E228D6" w:rsidRDefault="00E228D6" w:rsidP="00E228D6">
      <w:pPr>
        <w:pStyle w:val="Bala"/>
        <w:numPr>
          <w:ilvl w:val="0"/>
          <w:numId w:val="1"/>
        </w:numPr>
        <w:ind w:left="357" w:hanging="357"/>
      </w:pPr>
      <w:r w:rsidRPr="00E228D6">
        <w:t xml:space="preserve">Definir claramente y cuantificar </w:t>
      </w:r>
      <w:r w:rsidR="00FA3C6C">
        <w:t>a</w:t>
      </w:r>
      <w:r w:rsidR="00CD4E3A">
        <w:t xml:space="preserve"> </w:t>
      </w:r>
      <w:r w:rsidR="00FA3C6C">
        <w:t>l</w:t>
      </w:r>
      <w:r w:rsidR="00CD4E3A">
        <w:t xml:space="preserve">a </w:t>
      </w:r>
      <w:proofErr w:type="spellStart"/>
      <w:r w:rsidR="00CD4E3A">
        <w:t>PPo</w:t>
      </w:r>
      <w:proofErr w:type="spellEnd"/>
      <w:r w:rsidR="00CD4E3A">
        <w:t>, PO y PA, o en su caso al</w:t>
      </w:r>
      <w:r w:rsidR="00FA3C6C">
        <w:t xml:space="preserve"> </w:t>
      </w:r>
      <w:proofErr w:type="spellStart"/>
      <w:r w:rsidR="00FA3C6C">
        <w:t>AEPo</w:t>
      </w:r>
      <w:proofErr w:type="spellEnd"/>
      <w:r w:rsidR="00FA3C6C">
        <w:t>, AEO y AEA</w:t>
      </w:r>
      <w:r w:rsidRPr="00E228D6">
        <w:t>.</w:t>
      </w:r>
    </w:p>
    <w:p w14:paraId="1C9B2843" w14:textId="77777777" w:rsidR="00E228D6" w:rsidRDefault="00E228D6" w:rsidP="00E228D6">
      <w:pPr>
        <w:pStyle w:val="Bala"/>
        <w:numPr>
          <w:ilvl w:val="0"/>
          <w:numId w:val="1"/>
        </w:numPr>
        <w:ind w:left="357" w:hanging="357"/>
      </w:pPr>
      <w:r w:rsidRPr="00E228D6">
        <w:t xml:space="preserve">Integrar un solo documento que incluya toda la información requerida para el análisis del problema y el diseño del </w:t>
      </w:r>
      <w:r w:rsidR="00FA3C6C">
        <w:t>Pp</w:t>
      </w:r>
      <w:r w:rsidRPr="00E228D6">
        <w:t>.</w:t>
      </w:r>
    </w:p>
    <w:p w14:paraId="076465E3" w14:textId="77777777" w:rsidR="00E228D6" w:rsidRDefault="00E228D6" w:rsidP="00E228D6">
      <w:pPr>
        <w:pStyle w:val="Bala"/>
        <w:numPr>
          <w:ilvl w:val="0"/>
          <w:numId w:val="1"/>
        </w:numPr>
        <w:ind w:left="357" w:hanging="357"/>
      </w:pPr>
      <w:r w:rsidRPr="00E228D6">
        <w:t>Adecuar la MIR y reportar el avance de todos sus indicadores de manera o</w:t>
      </w:r>
      <w:r>
        <w:t>portuna.</w:t>
      </w:r>
    </w:p>
    <w:p w14:paraId="31A57D3F" w14:textId="77777777" w:rsidR="00E228D6" w:rsidRDefault="00E228D6" w:rsidP="00E228D6">
      <w:pPr>
        <w:pStyle w:val="Bala"/>
        <w:numPr>
          <w:ilvl w:val="0"/>
          <w:numId w:val="1"/>
        </w:numPr>
        <w:ind w:left="357" w:hanging="357"/>
      </w:pPr>
      <w:r w:rsidRPr="00E228D6">
        <w:t>Fortalecer los documentos de planeación y la estrategia de cobertura.</w:t>
      </w:r>
    </w:p>
    <w:p w14:paraId="34C2B42D" w14:textId="77777777" w:rsidR="00864466" w:rsidRPr="0043350C" w:rsidRDefault="00E228D6" w:rsidP="00FA3C6C">
      <w:pPr>
        <w:pStyle w:val="Bala"/>
        <w:numPr>
          <w:ilvl w:val="0"/>
          <w:numId w:val="1"/>
        </w:numPr>
        <w:ind w:left="357" w:hanging="357"/>
      </w:pPr>
      <w:r w:rsidRPr="00E228D6">
        <w:t>Elaborar y formalizar los manuales de organización y operación</w:t>
      </w:r>
      <w:r w:rsidR="00FA3C6C">
        <w:t xml:space="preserve"> o </w:t>
      </w:r>
      <w:r w:rsidRPr="00E228D6">
        <w:t>procedimientos.</w:t>
      </w:r>
    </w:p>
    <w:p w14:paraId="2C86F778" w14:textId="77777777" w:rsidR="00864466" w:rsidRPr="0043350C" w:rsidRDefault="00864466" w:rsidP="00864466">
      <w:pPr>
        <w:autoSpaceDE w:val="0"/>
        <w:autoSpaceDN w:val="0"/>
        <w:adjustRightInd w:val="0"/>
        <w:spacing w:line="250" w:lineRule="exact"/>
        <w:ind w:left="66"/>
        <w:jc w:val="both"/>
        <w:rPr>
          <w:rFonts w:eastAsia="Calibri" w:cs="Arial"/>
          <w:szCs w:val="20"/>
          <w:lang w:val="es-ES"/>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864466" w:rsidRPr="0043350C" w14:paraId="7EFC3655" w14:textId="77777777" w:rsidTr="008A4C87">
        <w:tc>
          <w:tcPr>
            <w:tcW w:w="749" w:type="pct"/>
            <w:vAlign w:val="center"/>
          </w:tcPr>
          <w:p w14:paraId="50D07742" w14:textId="77777777" w:rsidR="00864466" w:rsidRPr="0043350C" w:rsidRDefault="00864466" w:rsidP="008A4C87">
            <w:pPr>
              <w:spacing w:before="20" w:after="0"/>
              <w:ind w:left="170"/>
              <w:rPr>
                <w:b/>
                <w:sz w:val="16"/>
                <w:lang w:val="es-ES"/>
              </w:rPr>
            </w:pPr>
            <w:r w:rsidRPr="0043350C">
              <w:rPr>
                <w:b/>
                <w:sz w:val="16"/>
                <w:lang w:val="es-ES"/>
              </w:rPr>
              <w:t>Evaluador Externo:</w:t>
            </w:r>
          </w:p>
        </w:tc>
        <w:tc>
          <w:tcPr>
            <w:tcW w:w="4251" w:type="pct"/>
            <w:gridSpan w:val="3"/>
          </w:tcPr>
          <w:p w14:paraId="687BEF73" w14:textId="77777777" w:rsidR="00864466" w:rsidRPr="0043350C" w:rsidRDefault="00864466" w:rsidP="008E47AE">
            <w:pPr>
              <w:spacing w:before="20" w:after="0"/>
              <w:ind w:left="113"/>
              <w:rPr>
                <w:sz w:val="16"/>
                <w:lang w:val="es-ES"/>
              </w:rPr>
            </w:pPr>
            <w:r w:rsidRPr="0043350C">
              <w:rPr>
                <w:sz w:val="16"/>
                <w:lang w:val="es-ES"/>
              </w:rPr>
              <w:t>1. Instancia Evaluadora:</w:t>
            </w:r>
            <w:r w:rsidR="008E47AE">
              <w:rPr>
                <w:sz w:val="16"/>
                <w:lang w:val="es-ES"/>
              </w:rPr>
              <w:t xml:space="preserve"> </w:t>
            </w:r>
            <w:r w:rsidR="008E47AE" w:rsidRPr="008E47AE">
              <w:rPr>
                <w:sz w:val="16"/>
                <w:lang w:val="es-ES"/>
              </w:rPr>
              <w:t xml:space="preserve">Facultad de Economía </w:t>
            </w:r>
            <w:r w:rsidR="008E47AE">
              <w:rPr>
                <w:sz w:val="16"/>
                <w:lang w:val="es-ES"/>
              </w:rPr>
              <w:t xml:space="preserve">de la </w:t>
            </w:r>
            <w:r w:rsidR="006F4AD5">
              <w:rPr>
                <w:sz w:val="16"/>
                <w:lang w:val="es-ES"/>
              </w:rPr>
              <w:t>UNAM</w:t>
            </w:r>
          </w:p>
          <w:p w14:paraId="759DEBC3" w14:textId="77777777" w:rsidR="00864466" w:rsidRPr="0043350C" w:rsidRDefault="00864466" w:rsidP="008E47AE">
            <w:pPr>
              <w:spacing w:before="20" w:after="0"/>
              <w:ind w:left="113"/>
              <w:rPr>
                <w:sz w:val="16"/>
                <w:lang w:val="es-ES"/>
              </w:rPr>
            </w:pPr>
            <w:r w:rsidRPr="0043350C">
              <w:rPr>
                <w:sz w:val="16"/>
                <w:lang w:val="es-ES"/>
              </w:rPr>
              <w:t xml:space="preserve">2. Coordinador de la Evaluación: </w:t>
            </w:r>
            <w:r w:rsidR="008E47AE" w:rsidRPr="008E47AE">
              <w:rPr>
                <w:sz w:val="16"/>
                <w:lang w:val="es-ES"/>
              </w:rPr>
              <w:t>M</w:t>
            </w:r>
            <w:r w:rsidR="008E47AE">
              <w:rPr>
                <w:sz w:val="16"/>
                <w:lang w:val="es-ES"/>
              </w:rPr>
              <w:t>iguel Ángel González Guadarrama</w:t>
            </w:r>
          </w:p>
          <w:p w14:paraId="466A81A3" w14:textId="77777777" w:rsidR="00864466" w:rsidRPr="0043350C" w:rsidRDefault="00864466" w:rsidP="006F4AD5">
            <w:pPr>
              <w:spacing w:before="20" w:after="0"/>
              <w:ind w:left="113"/>
              <w:rPr>
                <w:sz w:val="16"/>
                <w:lang w:val="es-ES"/>
              </w:rPr>
            </w:pPr>
            <w:r w:rsidRPr="0043350C">
              <w:rPr>
                <w:sz w:val="16"/>
                <w:lang w:val="es-ES"/>
              </w:rPr>
              <w:t xml:space="preserve">3. Forma de contratación: </w:t>
            </w:r>
            <w:r w:rsidR="0067196D">
              <w:rPr>
                <w:sz w:val="16"/>
                <w:lang w:val="es-ES"/>
              </w:rPr>
              <w:t xml:space="preserve">No </w:t>
            </w:r>
            <w:r w:rsidR="0067196D" w:rsidRPr="00107872">
              <w:rPr>
                <w:sz w:val="16"/>
                <w:szCs w:val="16"/>
                <w:lang w:val="es-ES"/>
              </w:rPr>
              <w:t>disponible</w:t>
            </w:r>
            <w:r w:rsidR="0067196D" w:rsidRPr="00107872">
              <w:rPr>
                <w:rStyle w:val="Refdenotaalpie"/>
                <w:sz w:val="16"/>
                <w:szCs w:val="16"/>
                <w:lang w:val="es-ES"/>
              </w:rPr>
              <w:footnoteReference w:id="6"/>
            </w:r>
            <w:r w:rsidR="00107872" w:rsidRPr="00107872">
              <w:rPr>
                <w:sz w:val="16"/>
                <w:szCs w:val="16"/>
                <w:vertAlign w:val="superscript"/>
              </w:rPr>
              <w:t>_/</w:t>
            </w:r>
          </w:p>
        </w:tc>
      </w:tr>
      <w:tr w:rsidR="00864466" w:rsidRPr="0043350C" w14:paraId="51911117" w14:textId="77777777" w:rsidTr="00993F6E">
        <w:trPr>
          <w:trHeight w:val="80"/>
        </w:trPr>
        <w:tc>
          <w:tcPr>
            <w:tcW w:w="749" w:type="pct"/>
            <w:vAlign w:val="center"/>
          </w:tcPr>
          <w:p w14:paraId="2CBD5F34" w14:textId="77777777" w:rsidR="00864466" w:rsidRPr="0043350C" w:rsidRDefault="00864466" w:rsidP="008A4C87">
            <w:pPr>
              <w:spacing w:before="20" w:after="0"/>
              <w:ind w:left="170"/>
              <w:rPr>
                <w:b/>
                <w:sz w:val="16"/>
                <w:lang w:val="es-ES"/>
              </w:rPr>
            </w:pPr>
          </w:p>
        </w:tc>
        <w:tc>
          <w:tcPr>
            <w:tcW w:w="4251" w:type="pct"/>
            <w:gridSpan w:val="3"/>
          </w:tcPr>
          <w:p w14:paraId="77FA1F56" w14:textId="77777777" w:rsidR="00864466" w:rsidRPr="0043350C" w:rsidRDefault="00864466" w:rsidP="008A4C87">
            <w:pPr>
              <w:spacing w:before="20" w:after="0"/>
              <w:ind w:left="113"/>
              <w:rPr>
                <w:sz w:val="16"/>
                <w:lang w:val="es-ES"/>
              </w:rPr>
            </w:pPr>
          </w:p>
        </w:tc>
      </w:tr>
      <w:tr w:rsidR="00864466" w:rsidRPr="0043350C" w14:paraId="7FDD76F1" w14:textId="77777777" w:rsidTr="00EE239D">
        <w:tc>
          <w:tcPr>
            <w:tcW w:w="749" w:type="pct"/>
            <w:vAlign w:val="center"/>
          </w:tcPr>
          <w:p w14:paraId="45497A18" w14:textId="77777777" w:rsidR="00864466" w:rsidRPr="0043350C" w:rsidRDefault="00864466" w:rsidP="00EE239D">
            <w:pPr>
              <w:spacing w:before="20" w:after="0"/>
              <w:ind w:left="170"/>
              <w:rPr>
                <w:b/>
                <w:sz w:val="16"/>
                <w:lang w:val="es-ES"/>
              </w:rPr>
            </w:pPr>
            <w:r w:rsidRPr="0043350C">
              <w:rPr>
                <w:b/>
                <w:sz w:val="16"/>
                <w:lang w:val="es-ES"/>
              </w:rPr>
              <w:t>Costo:</w:t>
            </w:r>
          </w:p>
        </w:tc>
        <w:tc>
          <w:tcPr>
            <w:tcW w:w="1113" w:type="pct"/>
            <w:vAlign w:val="center"/>
          </w:tcPr>
          <w:p w14:paraId="2EDDC349" w14:textId="77777777" w:rsidR="00864466" w:rsidRPr="00687B66" w:rsidRDefault="00864466" w:rsidP="008E47AE">
            <w:pPr>
              <w:spacing w:before="20" w:after="0"/>
              <w:ind w:left="113"/>
              <w:rPr>
                <w:sz w:val="16"/>
                <w:szCs w:val="16"/>
                <w:lang w:val="es-ES"/>
              </w:rPr>
            </w:pPr>
            <w:r w:rsidRPr="00687B66">
              <w:rPr>
                <w:sz w:val="16"/>
                <w:szCs w:val="16"/>
                <w:lang w:val="es-ES"/>
              </w:rPr>
              <w:t>$</w:t>
            </w:r>
            <w:r w:rsidR="008E47AE" w:rsidRPr="00687B66">
              <w:rPr>
                <w:rFonts w:eastAsia="Times New Roman"/>
                <w:color w:val="000000"/>
                <w:sz w:val="16"/>
                <w:szCs w:val="16"/>
              </w:rPr>
              <w:t>650</w:t>
            </w:r>
            <w:r w:rsidR="00AC1962" w:rsidRPr="00687B66">
              <w:rPr>
                <w:rFonts w:eastAsia="Times New Roman"/>
                <w:color w:val="000000"/>
                <w:sz w:val="16"/>
                <w:szCs w:val="16"/>
              </w:rPr>
              <w:t>,</w:t>
            </w:r>
            <w:r w:rsidR="008E47AE" w:rsidRPr="00687B66">
              <w:rPr>
                <w:rFonts w:eastAsia="Times New Roman"/>
                <w:color w:val="000000"/>
                <w:sz w:val="16"/>
                <w:szCs w:val="16"/>
              </w:rPr>
              <w:t>00</w:t>
            </w:r>
            <w:r w:rsidR="00AC1962" w:rsidRPr="00687B66">
              <w:rPr>
                <w:rFonts w:eastAsia="Times New Roman"/>
                <w:color w:val="000000"/>
                <w:sz w:val="16"/>
                <w:szCs w:val="16"/>
              </w:rPr>
              <w:t>0</w:t>
            </w:r>
            <w:r w:rsidR="00785282" w:rsidRPr="00687B66">
              <w:rPr>
                <w:rFonts w:eastAsia="Times New Roman"/>
                <w:color w:val="000000"/>
                <w:sz w:val="16"/>
                <w:szCs w:val="16"/>
              </w:rPr>
              <w:t>.00</w:t>
            </w:r>
            <w:r w:rsidRPr="00687B66">
              <w:rPr>
                <w:sz w:val="16"/>
                <w:szCs w:val="16"/>
                <w:lang w:val="es-ES"/>
              </w:rPr>
              <w:t xml:space="preserve"> </w:t>
            </w:r>
            <w:r w:rsidR="008E47AE" w:rsidRPr="00687B66">
              <w:rPr>
                <w:sz w:val="16"/>
                <w:szCs w:val="16"/>
                <w:lang w:val="es-ES"/>
              </w:rPr>
              <w:t xml:space="preserve">No especifica si incluye </w:t>
            </w:r>
            <w:r w:rsidRPr="00687B66">
              <w:rPr>
                <w:sz w:val="16"/>
                <w:szCs w:val="16"/>
                <w:lang w:val="es-ES"/>
              </w:rPr>
              <w:t>IVA</w:t>
            </w:r>
            <w:r w:rsidR="00AC1962" w:rsidRPr="00687B66">
              <w:rPr>
                <w:sz w:val="16"/>
                <w:szCs w:val="16"/>
                <w:lang w:val="es-ES"/>
              </w:rPr>
              <w:t xml:space="preserve"> </w:t>
            </w:r>
          </w:p>
        </w:tc>
        <w:tc>
          <w:tcPr>
            <w:tcW w:w="904" w:type="pct"/>
            <w:vAlign w:val="center"/>
          </w:tcPr>
          <w:p w14:paraId="0C9995D3" w14:textId="77777777" w:rsidR="00864466" w:rsidRPr="00687B66" w:rsidRDefault="00864466" w:rsidP="00EE239D">
            <w:pPr>
              <w:spacing w:before="20" w:after="0"/>
              <w:ind w:left="170"/>
              <w:rPr>
                <w:b/>
                <w:sz w:val="16"/>
                <w:lang w:val="es-ES"/>
              </w:rPr>
            </w:pPr>
            <w:r w:rsidRPr="00687B66">
              <w:rPr>
                <w:b/>
                <w:sz w:val="16"/>
                <w:lang w:val="es-ES"/>
              </w:rPr>
              <w:t>Fuente de Financiamiento:</w:t>
            </w:r>
          </w:p>
        </w:tc>
        <w:tc>
          <w:tcPr>
            <w:tcW w:w="2234" w:type="pct"/>
            <w:vAlign w:val="center"/>
          </w:tcPr>
          <w:p w14:paraId="7B156C02" w14:textId="77777777" w:rsidR="00864466" w:rsidRPr="00AC1962" w:rsidRDefault="00864466" w:rsidP="008A4C87">
            <w:pPr>
              <w:spacing w:before="20" w:after="0"/>
              <w:ind w:left="113"/>
              <w:rPr>
                <w:sz w:val="16"/>
                <w:lang w:val="es-ES"/>
              </w:rPr>
            </w:pPr>
            <w:r w:rsidRPr="00AC1962">
              <w:rPr>
                <w:sz w:val="16"/>
                <w:lang w:val="es-ES"/>
              </w:rPr>
              <w:t>Recursos Fiscales</w:t>
            </w:r>
          </w:p>
        </w:tc>
      </w:tr>
      <w:tr w:rsidR="00864466" w:rsidRPr="0043350C" w14:paraId="623C0CE5" w14:textId="77777777" w:rsidTr="00EE239D">
        <w:tc>
          <w:tcPr>
            <w:tcW w:w="749" w:type="pct"/>
            <w:tcBorders>
              <w:bottom w:val="single" w:sz="4" w:space="0" w:color="auto"/>
            </w:tcBorders>
            <w:vAlign w:val="bottom"/>
          </w:tcPr>
          <w:p w14:paraId="6E29033E" w14:textId="77777777" w:rsidR="00864466" w:rsidRPr="0043350C" w:rsidRDefault="00864466" w:rsidP="008A4C87">
            <w:pPr>
              <w:spacing w:before="20" w:after="0"/>
              <w:ind w:left="170"/>
              <w:rPr>
                <w:b/>
                <w:sz w:val="16"/>
                <w:szCs w:val="16"/>
                <w:lang w:val="es-ES" w:eastAsia="en-US"/>
              </w:rPr>
            </w:pPr>
            <w:r w:rsidRPr="0043350C">
              <w:rPr>
                <w:b/>
                <w:sz w:val="16"/>
                <w:szCs w:val="16"/>
                <w:lang w:val="es-ES" w:eastAsia="en-US"/>
              </w:rPr>
              <w:t>Coordinación de la Evaluación:</w:t>
            </w:r>
          </w:p>
        </w:tc>
        <w:tc>
          <w:tcPr>
            <w:tcW w:w="1113" w:type="pct"/>
            <w:tcBorders>
              <w:bottom w:val="single" w:sz="4" w:space="0" w:color="auto"/>
            </w:tcBorders>
            <w:vAlign w:val="center"/>
          </w:tcPr>
          <w:p w14:paraId="366E5FEE" w14:textId="77777777" w:rsidR="00864466" w:rsidRPr="0043350C" w:rsidRDefault="00864466" w:rsidP="008A4C87">
            <w:pPr>
              <w:spacing w:after="0"/>
              <w:jc w:val="center"/>
              <w:rPr>
                <w:rFonts w:eastAsia="Times New Roman" w:cs="Arial"/>
                <w:sz w:val="14"/>
                <w:szCs w:val="14"/>
                <w:lang w:val="es-ES"/>
              </w:rPr>
            </w:pPr>
            <w:r w:rsidRPr="00EE239D">
              <w:rPr>
                <w:rFonts w:eastAsia="Times New Roman" w:cs="Arial"/>
                <w:sz w:val="16"/>
                <w:szCs w:val="14"/>
                <w:lang w:val="es-ES"/>
              </w:rPr>
              <w:t>SHCP</w:t>
            </w:r>
          </w:p>
        </w:tc>
        <w:tc>
          <w:tcPr>
            <w:tcW w:w="904" w:type="pct"/>
            <w:tcBorders>
              <w:bottom w:val="single" w:sz="4" w:space="0" w:color="auto"/>
            </w:tcBorders>
            <w:vAlign w:val="center"/>
          </w:tcPr>
          <w:p w14:paraId="4362F16C" w14:textId="77777777" w:rsidR="00864466" w:rsidRPr="0043350C" w:rsidRDefault="00864466" w:rsidP="00EE239D">
            <w:pPr>
              <w:spacing w:before="20" w:after="0"/>
              <w:ind w:left="170"/>
              <w:rPr>
                <w:b/>
                <w:sz w:val="16"/>
                <w:szCs w:val="16"/>
                <w:lang w:val="es-ES" w:eastAsia="en-US"/>
              </w:rPr>
            </w:pPr>
            <w:r w:rsidRPr="0043350C">
              <w:rPr>
                <w:b/>
                <w:sz w:val="16"/>
                <w:szCs w:val="16"/>
                <w:lang w:val="es-ES" w:eastAsia="en-US"/>
              </w:rPr>
              <w:t>Informe completo:</w:t>
            </w:r>
          </w:p>
        </w:tc>
        <w:tc>
          <w:tcPr>
            <w:tcW w:w="2234" w:type="pct"/>
            <w:tcBorders>
              <w:bottom w:val="single" w:sz="4" w:space="0" w:color="auto"/>
            </w:tcBorders>
            <w:vAlign w:val="center"/>
          </w:tcPr>
          <w:p w14:paraId="45D48C68" w14:textId="77777777" w:rsidR="00864466" w:rsidRPr="0043350C" w:rsidRDefault="00864466" w:rsidP="00EE239D">
            <w:pPr>
              <w:spacing w:before="20" w:after="0"/>
              <w:ind w:left="113"/>
              <w:rPr>
                <w:rFonts w:eastAsia="Times New Roman"/>
                <w:sz w:val="16"/>
                <w:szCs w:val="16"/>
                <w:lang w:val="es-ES" w:eastAsia="en-US"/>
              </w:rPr>
            </w:pPr>
            <w:r w:rsidRPr="0043350C">
              <w:rPr>
                <w:rFonts w:eastAsia="Times New Roman"/>
                <w:sz w:val="16"/>
                <w:szCs w:val="16"/>
                <w:lang w:val="es-ES" w:eastAsia="en-US"/>
              </w:rPr>
              <w:t>Disponible en:</w:t>
            </w:r>
          </w:p>
          <w:p w14:paraId="061B5943" w14:textId="77777777" w:rsidR="00864466" w:rsidRPr="0043350C" w:rsidRDefault="00864466" w:rsidP="00EE239D">
            <w:pPr>
              <w:spacing w:before="20" w:after="0"/>
              <w:ind w:left="113"/>
              <w:rPr>
                <w:rFonts w:eastAsia="Times New Roman"/>
                <w:sz w:val="16"/>
                <w:szCs w:val="16"/>
                <w:lang w:val="es-ES" w:eastAsia="en-US"/>
              </w:rPr>
            </w:pPr>
            <w:r w:rsidRPr="0043350C">
              <w:rPr>
                <w:rFonts w:eastAsia="Times New Roman"/>
                <w:sz w:val="16"/>
                <w:szCs w:val="16"/>
                <w:lang w:val="es-ES" w:eastAsia="en-US"/>
              </w:rPr>
              <w:t>http://www.transparenciapresupuestaria.gob.mx/</w:t>
            </w:r>
          </w:p>
        </w:tc>
      </w:tr>
    </w:tbl>
    <w:p w14:paraId="34C797D1" w14:textId="77777777" w:rsidR="00864466" w:rsidRPr="0043350C" w:rsidRDefault="00864466" w:rsidP="00864466"/>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864466" w:rsidRPr="0043350C" w14:paraId="79C321A9" w14:textId="77777777" w:rsidTr="008A4C87">
        <w:trPr>
          <w:trHeight w:val="392"/>
          <w:jc w:val="center"/>
        </w:trPr>
        <w:tc>
          <w:tcPr>
            <w:tcW w:w="10173" w:type="dxa"/>
            <w:gridSpan w:val="5"/>
            <w:shd w:val="clear" w:color="auto" w:fill="D6E3BC" w:themeFill="accent3" w:themeFillTint="66"/>
            <w:vAlign w:val="center"/>
          </w:tcPr>
          <w:p w14:paraId="6817F29B" w14:textId="77777777" w:rsidR="00864466" w:rsidRPr="008873F7" w:rsidRDefault="00864466" w:rsidP="00D17A3D">
            <w:pPr>
              <w:pStyle w:val="CABEZA"/>
              <w:ind w:left="0"/>
              <w:rPr>
                <w:lang w:val="es-MX"/>
              </w:rPr>
            </w:pPr>
            <w:r w:rsidRPr="009F1073">
              <w:rPr>
                <w:lang w:val="es-MX"/>
              </w:rPr>
              <w:br w:type="page"/>
            </w:r>
            <w:r w:rsidRPr="008873F7">
              <w:rPr>
                <w:lang w:val="es-MX"/>
              </w:rPr>
              <w:br w:type="page"/>
              <w:t xml:space="preserve">Ramo </w:t>
            </w:r>
            <w:r w:rsidR="00E801E0">
              <w:rPr>
                <w:lang w:val="es-MX"/>
              </w:rPr>
              <w:t>04</w:t>
            </w:r>
            <w:r w:rsidRPr="008873F7">
              <w:rPr>
                <w:lang w:val="es-MX"/>
              </w:rPr>
              <w:t xml:space="preserve">. </w:t>
            </w:r>
            <w:r w:rsidR="00E801E0">
              <w:rPr>
                <w:lang w:val="es-MX"/>
              </w:rPr>
              <w:t>Gobernación</w:t>
            </w:r>
          </w:p>
        </w:tc>
      </w:tr>
      <w:tr w:rsidR="00864466" w:rsidRPr="0043350C" w14:paraId="3AB6C794" w14:textId="77777777" w:rsidTr="008A4C87">
        <w:trPr>
          <w:jc w:val="center"/>
        </w:trPr>
        <w:tc>
          <w:tcPr>
            <w:tcW w:w="1359" w:type="dxa"/>
            <w:shd w:val="clear" w:color="auto" w:fill="D9D9D9" w:themeFill="background1" w:themeFillShade="D9"/>
          </w:tcPr>
          <w:p w14:paraId="4DEF4C2D" w14:textId="77777777" w:rsidR="00864466" w:rsidRPr="0043350C" w:rsidRDefault="00864466" w:rsidP="008A4C87">
            <w:pPr>
              <w:spacing w:before="20"/>
              <w:rPr>
                <w:b/>
                <w:sz w:val="16"/>
                <w:lang w:val="es-ES"/>
              </w:rPr>
            </w:pPr>
            <w:r w:rsidRPr="0043350C">
              <w:rPr>
                <w:b/>
                <w:sz w:val="16"/>
                <w:lang w:val="es-ES"/>
              </w:rPr>
              <w:t xml:space="preserve">Clave del </w:t>
            </w:r>
            <w:proofErr w:type="spellStart"/>
            <w:r w:rsidRPr="0043350C">
              <w:rPr>
                <w:b/>
                <w:sz w:val="16"/>
                <w:lang w:val="es-ES"/>
              </w:rPr>
              <w:t>Pp</w:t>
            </w:r>
            <w:proofErr w:type="spellEnd"/>
            <w:r w:rsidRPr="0043350C">
              <w:rPr>
                <w:b/>
                <w:sz w:val="16"/>
                <w:lang w:val="es-ES"/>
              </w:rPr>
              <w:t>:</w:t>
            </w:r>
          </w:p>
        </w:tc>
        <w:tc>
          <w:tcPr>
            <w:tcW w:w="734" w:type="dxa"/>
            <w:shd w:val="clear" w:color="auto" w:fill="D9D9D9" w:themeFill="background1" w:themeFillShade="D9"/>
          </w:tcPr>
          <w:p w14:paraId="704A36E2" w14:textId="77777777" w:rsidR="00864466" w:rsidRPr="0043350C" w:rsidRDefault="00E801E0" w:rsidP="008A4C87">
            <w:pPr>
              <w:contextualSpacing/>
              <w:rPr>
                <w:sz w:val="16"/>
                <w:szCs w:val="16"/>
                <w:lang w:val="es-ES" w:eastAsia="en-US"/>
              </w:rPr>
            </w:pPr>
            <w:r>
              <w:rPr>
                <w:sz w:val="16"/>
                <w:szCs w:val="16"/>
                <w:lang w:val="es-ES" w:eastAsia="en-US"/>
              </w:rPr>
              <w:t>U0</w:t>
            </w:r>
            <w:r w:rsidR="00C01962">
              <w:rPr>
                <w:sz w:val="16"/>
                <w:szCs w:val="16"/>
                <w:lang w:val="es-ES" w:eastAsia="en-US"/>
              </w:rPr>
              <w:t>0</w:t>
            </w:r>
            <w:r>
              <w:rPr>
                <w:sz w:val="16"/>
                <w:szCs w:val="16"/>
                <w:lang w:val="es-ES" w:eastAsia="en-US"/>
              </w:rPr>
              <w:t>4</w:t>
            </w:r>
          </w:p>
        </w:tc>
        <w:tc>
          <w:tcPr>
            <w:tcW w:w="1701" w:type="dxa"/>
            <w:gridSpan w:val="2"/>
            <w:shd w:val="clear" w:color="auto" w:fill="D9D9D9" w:themeFill="background1" w:themeFillShade="D9"/>
          </w:tcPr>
          <w:p w14:paraId="6A286274" w14:textId="77777777" w:rsidR="00864466" w:rsidRPr="0043350C" w:rsidRDefault="00864466" w:rsidP="008A4C87">
            <w:pPr>
              <w:spacing w:before="20"/>
              <w:rPr>
                <w:b/>
                <w:sz w:val="16"/>
                <w:lang w:val="es-ES"/>
              </w:rPr>
            </w:pPr>
            <w:r w:rsidRPr="0043350C">
              <w:rPr>
                <w:b/>
                <w:sz w:val="16"/>
                <w:lang w:val="es-ES"/>
              </w:rPr>
              <w:t>Denominación:</w:t>
            </w:r>
          </w:p>
        </w:tc>
        <w:tc>
          <w:tcPr>
            <w:tcW w:w="6379" w:type="dxa"/>
            <w:shd w:val="clear" w:color="auto" w:fill="D9D9D9" w:themeFill="background1" w:themeFillShade="D9"/>
          </w:tcPr>
          <w:p w14:paraId="2A55DAC7" w14:textId="77777777" w:rsidR="00864466" w:rsidRPr="0043350C" w:rsidRDefault="00E801E0" w:rsidP="008A4C87">
            <w:pPr>
              <w:contextualSpacing/>
              <w:rPr>
                <w:sz w:val="16"/>
                <w:szCs w:val="16"/>
                <w:lang w:val="es-ES" w:eastAsia="en-US"/>
              </w:rPr>
            </w:pPr>
            <w:r w:rsidRPr="00E801E0">
              <w:rPr>
                <w:sz w:val="16"/>
                <w:szCs w:val="16"/>
                <w:lang w:val="es-ES" w:eastAsia="en-US"/>
              </w:rPr>
              <w:t>Otorgamiento de subsidios para la implementación de la reforma al sistema de justicia penal</w:t>
            </w:r>
          </w:p>
        </w:tc>
      </w:tr>
      <w:tr w:rsidR="00864466" w:rsidRPr="0043350C" w14:paraId="2695D53C" w14:textId="77777777" w:rsidTr="00D73E03">
        <w:trPr>
          <w:trHeight w:val="423"/>
          <w:jc w:val="center"/>
        </w:trPr>
        <w:tc>
          <w:tcPr>
            <w:tcW w:w="2778" w:type="dxa"/>
            <w:gridSpan w:val="3"/>
          </w:tcPr>
          <w:p w14:paraId="111356F4" w14:textId="77777777" w:rsidR="00864466" w:rsidRPr="0043350C" w:rsidRDefault="00864466" w:rsidP="008A4C87">
            <w:pPr>
              <w:spacing w:before="20"/>
              <w:rPr>
                <w:b/>
                <w:sz w:val="16"/>
                <w:lang w:val="es-ES"/>
              </w:rPr>
            </w:pPr>
            <w:r w:rsidRPr="0043350C">
              <w:rPr>
                <w:b/>
                <w:sz w:val="16"/>
                <w:lang w:val="es-ES"/>
              </w:rPr>
              <w:t>Unidad Administrativa:</w:t>
            </w:r>
          </w:p>
        </w:tc>
        <w:tc>
          <w:tcPr>
            <w:tcW w:w="7395" w:type="dxa"/>
            <w:gridSpan w:val="2"/>
          </w:tcPr>
          <w:p w14:paraId="2DFB8E7B" w14:textId="77777777" w:rsidR="00864466" w:rsidRPr="0043350C" w:rsidRDefault="00E801E0" w:rsidP="00D73E03">
            <w:pPr>
              <w:spacing w:before="20"/>
              <w:rPr>
                <w:rFonts w:eastAsia="Times New Roman"/>
                <w:sz w:val="16"/>
                <w:szCs w:val="16"/>
                <w:lang w:val="es-MX" w:eastAsia="en-US"/>
              </w:rPr>
            </w:pPr>
            <w:r w:rsidRPr="00E801E0">
              <w:rPr>
                <w:rFonts w:eastAsia="Times New Roman"/>
                <w:sz w:val="16"/>
                <w:szCs w:val="16"/>
                <w:lang w:val="es-MX" w:eastAsia="en-US"/>
              </w:rPr>
              <w:t>Secretaría Técnica</w:t>
            </w:r>
            <w:r w:rsidR="00D73E03">
              <w:rPr>
                <w:rFonts w:eastAsia="Times New Roman"/>
                <w:sz w:val="16"/>
                <w:szCs w:val="16"/>
                <w:lang w:val="es-MX" w:eastAsia="en-US"/>
              </w:rPr>
              <w:t xml:space="preserve"> del </w:t>
            </w:r>
            <w:r w:rsidR="00D73E03" w:rsidRPr="00D73E03">
              <w:rPr>
                <w:rFonts w:eastAsia="Times New Roman"/>
                <w:sz w:val="16"/>
                <w:szCs w:val="16"/>
                <w:lang w:val="es-MX" w:eastAsia="en-US"/>
              </w:rPr>
              <w:t>Consejo de Coordinación para la Implementación del Sistema de Justicia Penal</w:t>
            </w:r>
          </w:p>
        </w:tc>
      </w:tr>
      <w:tr w:rsidR="00864466" w:rsidRPr="0043350C" w14:paraId="446E6B13" w14:textId="77777777" w:rsidTr="008A4C87">
        <w:trPr>
          <w:jc w:val="center"/>
        </w:trPr>
        <w:tc>
          <w:tcPr>
            <w:tcW w:w="2778" w:type="dxa"/>
            <w:gridSpan w:val="3"/>
          </w:tcPr>
          <w:p w14:paraId="5D221C63" w14:textId="77777777" w:rsidR="00864466" w:rsidRPr="0043350C" w:rsidRDefault="00864466" w:rsidP="008A4C87">
            <w:pPr>
              <w:spacing w:before="20"/>
              <w:rPr>
                <w:b/>
                <w:sz w:val="16"/>
                <w:lang w:val="es-ES"/>
              </w:rPr>
            </w:pPr>
            <w:r w:rsidRPr="0043350C">
              <w:rPr>
                <w:b/>
                <w:sz w:val="16"/>
                <w:lang w:val="es-ES"/>
              </w:rPr>
              <w:t>Responsable:</w:t>
            </w:r>
          </w:p>
        </w:tc>
        <w:tc>
          <w:tcPr>
            <w:tcW w:w="7395" w:type="dxa"/>
            <w:gridSpan w:val="2"/>
          </w:tcPr>
          <w:p w14:paraId="00A7E7A6" w14:textId="77777777" w:rsidR="00864466" w:rsidRPr="0043350C" w:rsidRDefault="000B4F86" w:rsidP="00C01962">
            <w:pPr>
              <w:spacing w:before="20"/>
              <w:rPr>
                <w:sz w:val="16"/>
                <w:lang w:val="es-ES"/>
              </w:rPr>
            </w:pPr>
            <w:r w:rsidRPr="000B4F86">
              <w:rPr>
                <w:sz w:val="16"/>
                <w:lang w:val="es-ES"/>
              </w:rPr>
              <w:t xml:space="preserve">María de Los Ángeles </w:t>
            </w:r>
            <w:proofErr w:type="spellStart"/>
            <w:r w:rsidRPr="000B4F86">
              <w:rPr>
                <w:sz w:val="16"/>
                <w:lang w:val="es-ES"/>
              </w:rPr>
              <w:t>Fromow</w:t>
            </w:r>
            <w:proofErr w:type="spellEnd"/>
            <w:r w:rsidRPr="000B4F86">
              <w:rPr>
                <w:sz w:val="16"/>
                <w:lang w:val="es-ES"/>
              </w:rPr>
              <w:t xml:space="preserve"> Rangel</w:t>
            </w:r>
          </w:p>
        </w:tc>
      </w:tr>
      <w:tr w:rsidR="00864466" w:rsidRPr="0043350C" w14:paraId="7C8B5C63" w14:textId="77777777" w:rsidTr="008A4C87">
        <w:trPr>
          <w:jc w:val="center"/>
        </w:trPr>
        <w:tc>
          <w:tcPr>
            <w:tcW w:w="2778" w:type="dxa"/>
            <w:gridSpan w:val="3"/>
            <w:tcBorders>
              <w:bottom w:val="single" w:sz="4" w:space="0" w:color="auto"/>
            </w:tcBorders>
            <w:shd w:val="clear" w:color="auto" w:fill="D9D9D9" w:themeFill="background1" w:themeFillShade="D9"/>
          </w:tcPr>
          <w:p w14:paraId="5B0E9257" w14:textId="77777777" w:rsidR="00864466" w:rsidRPr="0043350C" w:rsidRDefault="00864466" w:rsidP="008A4C87">
            <w:pPr>
              <w:spacing w:before="20"/>
              <w:rPr>
                <w:b/>
                <w:sz w:val="16"/>
                <w:lang w:val="es-ES"/>
              </w:rPr>
            </w:pPr>
            <w:r w:rsidRPr="0043350C">
              <w:rPr>
                <w:b/>
                <w:sz w:val="16"/>
                <w:lang w:val="es-ES"/>
              </w:rPr>
              <w:t>Tipo de Evaluación:</w:t>
            </w:r>
          </w:p>
        </w:tc>
        <w:tc>
          <w:tcPr>
            <w:tcW w:w="7395" w:type="dxa"/>
            <w:gridSpan w:val="2"/>
            <w:tcBorders>
              <w:bottom w:val="single" w:sz="4" w:space="0" w:color="auto"/>
            </w:tcBorders>
            <w:shd w:val="clear" w:color="auto" w:fill="D9D9D9" w:themeFill="background1" w:themeFillShade="D9"/>
          </w:tcPr>
          <w:p w14:paraId="59110220" w14:textId="77777777" w:rsidR="00864466" w:rsidRPr="0043350C" w:rsidRDefault="00864466" w:rsidP="00E801E0">
            <w:pPr>
              <w:spacing w:before="20"/>
              <w:rPr>
                <w:sz w:val="16"/>
                <w:lang w:val="es-ES"/>
              </w:rPr>
            </w:pPr>
            <w:r w:rsidRPr="0043350C">
              <w:rPr>
                <w:sz w:val="16"/>
                <w:lang w:val="es-ES"/>
              </w:rPr>
              <w:t>Consistencia y Resultados, PAE 201</w:t>
            </w:r>
            <w:r w:rsidR="00E801E0">
              <w:rPr>
                <w:sz w:val="16"/>
                <w:lang w:val="es-ES"/>
              </w:rPr>
              <w:t>6</w:t>
            </w:r>
          </w:p>
        </w:tc>
      </w:tr>
    </w:tbl>
    <w:p w14:paraId="09644F35" w14:textId="77777777" w:rsidR="00864466" w:rsidRPr="0043350C" w:rsidRDefault="00864466" w:rsidP="00864466"/>
    <w:p w14:paraId="683F66DD" w14:textId="77777777" w:rsidR="00864466" w:rsidRPr="0043350C" w:rsidRDefault="00864466" w:rsidP="00864466">
      <w:pPr>
        <w:pStyle w:val="Cdetextonegrita"/>
      </w:pPr>
      <w:r w:rsidRPr="0043350C">
        <w:t xml:space="preserve">Descripción del </w:t>
      </w:r>
      <w:proofErr w:type="spellStart"/>
      <w:r w:rsidRPr="0043350C">
        <w:t>Pp</w:t>
      </w:r>
      <w:proofErr w:type="spellEnd"/>
    </w:p>
    <w:p w14:paraId="635A187B" w14:textId="77777777" w:rsidR="007C7790" w:rsidRDefault="007C7790" w:rsidP="007C7790">
      <w:pPr>
        <w:pStyle w:val="Cdetexto"/>
      </w:pPr>
      <w:r>
        <w:t>El 13 de octubre de 2008 se publicó en el DOF el Decreto por el que se creó el Consejo de Coordinación para la Implementación del Sistema de Justicia Penal, con la finalidad de implementar, en los tres órdenes de gobierno</w:t>
      </w:r>
      <w:r w:rsidRPr="006F4AD5">
        <w:t xml:space="preserve">, el </w:t>
      </w:r>
      <w:r w:rsidR="006720C3" w:rsidRPr="006F4AD5">
        <w:t xml:space="preserve">nuevo </w:t>
      </w:r>
      <w:r w:rsidRPr="006F4AD5">
        <w:t>Sistema</w:t>
      </w:r>
      <w:r>
        <w:t xml:space="preserve"> de Justicia Penal </w:t>
      </w:r>
      <w:r w:rsidR="006720C3">
        <w:t>(NSJP)</w:t>
      </w:r>
      <w:r w:rsidR="00321152">
        <w:t xml:space="preserve"> </w:t>
      </w:r>
      <w:r>
        <w:t>en los términos previstos en la Constitución Pol</w:t>
      </w:r>
      <w:r w:rsidR="00321152">
        <w:t>ítica de los Estados Unidos Mexicanos</w:t>
      </w:r>
      <w:r>
        <w:t>. Asimismo, se ordenó la creación de la Secretaría Técnica del Consejo de Coordinación para la Implementación del Sistema de Justicia Penal (SETEC) como un Órgano Administrativo Desconcentrado de la SEGOB, con el objetivo de operar y ejecutar los acuerdos y determinaciones del Consejo de Coordinación, así como de coadyuvar y brindar apoyo a las autoridades locales y Fe</w:t>
      </w:r>
      <w:r w:rsidR="006720C3">
        <w:t>derales en la implementación de</w:t>
      </w:r>
      <w:r>
        <w:t xml:space="preserve">l </w:t>
      </w:r>
      <w:r w:rsidR="006720C3">
        <w:t>NSJP</w:t>
      </w:r>
      <w:r>
        <w:t>.</w:t>
      </w:r>
    </w:p>
    <w:p w14:paraId="126A0B9D" w14:textId="77777777" w:rsidR="006720C3" w:rsidRDefault="007C7790" w:rsidP="007C7790">
      <w:pPr>
        <w:pStyle w:val="Cdetexto"/>
      </w:pPr>
      <w:r>
        <w:t xml:space="preserve">En el Presupuesto de Egresos </w:t>
      </w:r>
      <w:r w:rsidR="00D17A3D">
        <w:t>de la Federación (PEF) para el E</w:t>
      </w:r>
      <w:r>
        <w:t xml:space="preserve">jercicio </w:t>
      </w:r>
      <w:r w:rsidR="00D17A3D">
        <w:t>F</w:t>
      </w:r>
      <w:r>
        <w:t xml:space="preserve">iscal 2010, se incorporó el </w:t>
      </w:r>
      <w:proofErr w:type="spellStart"/>
      <w:r>
        <w:t>Pp</w:t>
      </w:r>
      <w:proofErr w:type="spellEnd"/>
      <w:r w:rsidR="00BC2BDF">
        <w:t xml:space="preserve"> P010 </w:t>
      </w:r>
      <w:r>
        <w:t>Implementación de la reforma al Sistema d</w:t>
      </w:r>
      <w:r w:rsidR="00BC2BDF">
        <w:t>e Justicia Penal</w:t>
      </w:r>
      <w:r w:rsidR="00E3257B">
        <w:t>, a cargo</w:t>
      </w:r>
      <w:r w:rsidR="006720C3">
        <w:t xml:space="preserve"> </w:t>
      </w:r>
      <w:r w:rsidR="004868C0">
        <w:t>de</w:t>
      </w:r>
      <w:r w:rsidR="006720C3">
        <w:t>l R</w:t>
      </w:r>
      <w:r>
        <w:t>amo 04 Gobernación</w:t>
      </w:r>
      <w:r w:rsidR="006720C3">
        <w:t>.</w:t>
      </w:r>
    </w:p>
    <w:p w14:paraId="094C5337" w14:textId="77777777" w:rsidR="007C7790" w:rsidRPr="008872F0" w:rsidRDefault="006720C3" w:rsidP="007C7790">
      <w:pPr>
        <w:pStyle w:val="Cdetexto"/>
      </w:pPr>
      <w:r w:rsidRPr="006720C3">
        <w:t xml:space="preserve">Para contribuir a la implementación del </w:t>
      </w:r>
      <w:r w:rsidR="002A5BC0">
        <w:t>NSJP</w:t>
      </w:r>
      <w:r w:rsidRPr="006720C3">
        <w:t xml:space="preserve"> en las entidades federativas</w:t>
      </w:r>
      <w:r w:rsidR="00BC2BDF">
        <w:t xml:space="preserve">, en 2012 se constituyó el </w:t>
      </w:r>
      <w:proofErr w:type="spellStart"/>
      <w:r w:rsidR="00BC2BDF">
        <w:t>Pp</w:t>
      </w:r>
      <w:proofErr w:type="spellEnd"/>
      <w:r w:rsidR="00BC2BDF">
        <w:t xml:space="preserve"> </w:t>
      </w:r>
      <w:r w:rsidRPr="006720C3">
        <w:t>U004 Otorgamiento de Subsidios para la implementación de la refor</w:t>
      </w:r>
      <w:r w:rsidR="00BC2BDF">
        <w:t>ma al Sistema de Justicia Penal</w:t>
      </w:r>
      <w:r w:rsidRPr="006720C3">
        <w:t xml:space="preserve"> y </w:t>
      </w:r>
      <w:r w:rsidRPr="008872F0">
        <w:t xml:space="preserve">se mantuvo el </w:t>
      </w:r>
      <w:proofErr w:type="spellStart"/>
      <w:r w:rsidR="006F4AD5">
        <w:t>Pp</w:t>
      </w:r>
      <w:proofErr w:type="spellEnd"/>
      <w:r w:rsidR="006F4AD5">
        <w:t xml:space="preserve"> </w:t>
      </w:r>
      <w:r w:rsidRPr="008872F0">
        <w:t xml:space="preserve">P010, el cual únicamente apoyaría a las entidades federativas para que contaran con la base técnica legislativa relativa a la implementación del </w:t>
      </w:r>
      <w:r w:rsidR="002A5BC0" w:rsidRPr="008872F0">
        <w:t>NSJP</w:t>
      </w:r>
      <w:r w:rsidRPr="008872F0">
        <w:t>.</w:t>
      </w:r>
    </w:p>
    <w:p w14:paraId="50211BE7" w14:textId="77777777" w:rsidR="00864466" w:rsidRPr="0043350C" w:rsidRDefault="00D1166B" w:rsidP="00864466">
      <w:pPr>
        <w:pStyle w:val="Cdetexto"/>
      </w:pPr>
      <w:r w:rsidRPr="008872F0">
        <w:t xml:space="preserve">El problema público que </w:t>
      </w:r>
      <w:r w:rsidR="00C66986">
        <w:t>atendió</w:t>
      </w:r>
      <w:r w:rsidR="00AE1365">
        <w:t xml:space="preserve"> </w:t>
      </w:r>
      <w:r w:rsidR="004868C0" w:rsidRPr="008872F0">
        <w:t xml:space="preserve">el </w:t>
      </w:r>
      <w:proofErr w:type="spellStart"/>
      <w:r w:rsidR="004868C0" w:rsidRPr="008872F0">
        <w:t>Pp</w:t>
      </w:r>
      <w:proofErr w:type="spellEnd"/>
      <w:r w:rsidR="004868C0" w:rsidRPr="008872F0">
        <w:t xml:space="preserve"> se bas</w:t>
      </w:r>
      <w:r w:rsidR="00F75082">
        <w:t>aba</w:t>
      </w:r>
      <w:r w:rsidR="004868C0" w:rsidRPr="008872F0">
        <w:t xml:space="preserve"> en </w:t>
      </w:r>
      <w:r w:rsidR="00AE1365">
        <w:t>lo siguiente:</w:t>
      </w:r>
      <w:r w:rsidR="004868C0" w:rsidRPr="008872F0">
        <w:t xml:space="preserve"> “México registra un rezago en la implementación del nuevo Sistema de Justicia Penal, debido a que, en su momento, se subordinó la asignación de</w:t>
      </w:r>
      <w:r w:rsidR="004868C0" w:rsidRPr="004868C0">
        <w:t xml:space="preserve"> recursos para la reforma de otros objetivos públicos</w:t>
      </w:r>
      <w:r w:rsidR="004868C0">
        <w:t>”</w:t>
      </w:r>
      <w:r>
        <w:t>.</w:t>
      </w:r>
    </w:p>
    <w:p w14:paraId="21384C3B" w14:textId="77777777" w:rsidR="00864466" w:rsidRPr="0043350C" w:rsidRDefault="00AE1365" w:rsidP="00864466">
      <w:pPr>
        <w:pStyle w:val="Cdetexto"/>
      </w:pPr>
      <w:r>
        <w:t xml:space="preserve">El fin del </w:t>
      </w:r>
      <w:proofErr w:type="spellStart"/>
      <w:r>
        <w:t>Pp</w:t>
      </w:r>
      <w:proofErr w:type="spellEnd"/>
      <w:r>
        <w:t xml:space="preserve"> </w:t>
      </w:r>
      <w:r w:rsidR="00C66986">
        <w:t>fue</w:t>
      </w:r>
      <w:r w:rsidR="00864466" w:rsidRPr="0043350C">
        <w:t xml:space="preserve"> “</w:t>
      </w:r>
      <w:r w:rsidR="00A166CE" w:rsidRPr="00A166CE">
        <w:t>Contribuir a mejorar las condiciones de seguridad y justicia mediante el impulso a la Implementación del Sistema Penal Acusatorio y la firma de convenios con las entidades federativas</w:t>
      </w:r>
      <w:r w:rsidR="00864466" w:rsidRPr="0043350C">
        <w:t>”.</w:t>
      </w:r>
    </w:p>
    <w:p w14:paraId="07D128B6" w14:textId="77777777" w:rsidR="003D5E78" w:rsidRDefault="00864466" w:rsidP="00D1166B">
      <w:pPr>
        <w:pStyle w:val="Cdetexto"/>
      </w:pPr>
      <w:r w:rsidRPr="0043350C">
        <w:t xml:space="preserve">El propósito del </w:t>
      </w:r>
      <w:proofErr w:type="spellStart"/>
      <w:r w:rsidRPr="0043350C">
        <w:t>Pp</w:t>
      </w:r>
      <w:proofErr w:type="spellEnd"/>
      <w:r w:rsidRPr="0043350C">
        <w:t xml:space="preserve"> </w:t>
      </w:r>
      <w:r w:rsidR="00F75082">
        <w:t>est</w:t>
      </w:r>
      <w:r w:rsidR="00C66986">
        <w:t>uvo</w:t>
      </w:r>
      <w:r w:rsidRPr="0043350C">
        <w:t xml:space="preserve"> definido como “</w:t>
      </w:r>
      <w:r w:rsidR="008872F0" w:rsidRPr="008872F0">
        <w:t>Apoyar a las entidades federativas para que cuenten con los recursos financieros a fin de coadyuvar a la implementación del Sistema de Justicia Penal</w:t>
      </w:r>
      <w:r w:rsidRPr="0043350C">
        <w:t>”</w:t>
      </w:r>
      <w:r w:rsidR="00425875">
        <w:t>;</w:t>
      </w:r>
      <w:r w:rsidR="008872F0">
        <w:t xml:space="preserve"> </w:t>
      </w:r>
      <w:r w:rsidR="00425875">
        <w:t xml:space="preserve">el </w:t>
      </w:r>
      <w:r w:rsidR="008872F0">
        <w:t xml:space="preserve">componente </w:t>
      </w:r>
      <w:r w:rsidR="00AE1365">
        <w:t xml:space="preserve">se </w:t>
      </w:r>
      <w:r w:rsidR="00F75082">
        <w:t>encontraba definido</w:t>
      </w:r>
      <w:r w:rsidR="00425875">
        <w:t xml:space="preserve"> </w:t>
      </w:r>
      <w:r w:rsidR="008872F0">
        <w:t>como “</w:t>
      </w:r>
      <w:r w:rsidR="008872F0" w:rsidRPr="008872F0">
        <w:t>Otorgar recursos económicos para el financiamiento de proyectos viables tendientes a la implementación de la reforma del Sistema de Justicia Penal en las distintas entidades federativas del país</w:t>
      </w:r>
      <w:r w:rsidR="008872F0">
        <w:t>”</w:t>
      </w:r>
      <w:r w:rsidR="008872F0" w:rsidRPr="008872F0">
        <w:t>.</w:t>
      </w:r>
    </w:p>
    <w:p w14:paraId="7E138736" w14:textId="77777777" w:rsidR="00D1166B" w:rsidRPr="004D0325" w:rsidRDefault="003D5E78" w:rsidP="00D1166B">
      <w:pPr>
        <w:pStyle w:val="Cdetexto"/>
      </w:pPr>
      <w:r w:rsidRPr="003D5E78">
        <w:t xml:space="preserve">El </w:t>
      </w:r>
      <w:proofErr w:type="spellStart"/>
      <w:r w:rsidRPr="003D5E78">
        <w:t>AEP</w:t>
      </w:r>
      <w:r w:rsidR="000A2419">
        <w:t>o</w:t>
      </w:r>
      <w:proofErr w:type="spellEnd"/>
      <w:r w:rsidR="008872F0">
        <w:t>, AEO y AEA</w:t>
      </w:r>
      <w:r w:rsidR="00D1166B" w:rsidRPr="003D5E78">
        <w:t xml:space="preserve"> del </w:t>
      </w:r>
      <w:proofErr w:type="spellStart"/>
      <w:r w:rsidR="00D1166B" w:rsidRPr="003D5E78">
        <w:t>Pp</w:t>
      </w:r>
      <w:proofErr w:type="spellEnd"/>
      <w:r w:rsidR="00D1166B" w:rsidRPr="003D5E78">
        <w:t xml:space="preserve"> </w:t>
      </w:r>
      <w:r w:rsidR="00AE1365">
        <w:t>la representa</w:t>
      </w:r>
      <w:r w:rsidR="00C66986">
        <w:t>ron</w:t>
      </w:r>
      <w:r w:rsidR="00D1166B" w:rsidRPr="003D5E78">
        <w:t xml:space="preserve"> </w:t>
      </w:r>
      <w:r w:rsidR="008872F0" w:rsidRPr="008872F0">
        <w:t>los 32 Órganos Implementadores del Sistema de Justicia Penal que exist</w:t>
      </w:r>
      <w:r w:rsidR="00F75082">
        <w:t>ía</w:t>
      </w:r>
      <w:r w:rsidR="008872F0" w:rsidRPr="008872F0">
        <w:t>n en el país</w:t>
      </w:r>
      <w:r w:rsidR="00D1166B" w:rsidRPr="004D0325">
        <w:t>.</w:t>
      </w:r>
    </w:p>
    <w:p w14:paraId="4E370C31" w14:textId="77777777" w:rsidR="00864466" w:rsidRDefault="008872F0" w:rsidP="00864466">
      <w:pPr>
        <w:pStyle w:val="Cdetexto"/>
      </w:pPr>
      <w:r>
        <w:t>Finalmente</w:t>
      </w:r>
      <w:r w:rsidR="00864466" w:rsidRPr="004D0325">
        <w:t xml:space="preserve">, el </w:t>
      </w:r>
      <w:proofErr w:type="spellStart"/>
      <w:r w:rsidR="00864466" w:rsidRPr="004D0325">
        <w:t>Pp</w:t>
      </w:r>
      <w:proofErr w:type="spellEnd"/>
      <w:r w:rsidR="00864466" w:rsidRPr="004D0325">
        <w:t xml:space="preserve"> </w:t>
      </w:r>
      <w:r w:rsidR="00D1166B" w:rsidRPr="004D0325">
        <w:t>se vincula</w:t>
      </w:r>
      <w:r w:rsidR="00F75082">
        <w:t>ba</w:t>
      </w:r>
      <w:r w:rsidR="00D1166B" w:rsidRPr="004D0325">
        <w:t xml:space="preserve"> </w:t>
      </w:r>
      <w:r w:rsidR="00864466" w:rsidRPr="004D0325">
        <w:t xml:space="preserve">con el PND a través de </w:t>
      </w:r>
      <w:r w:rsidR="00864466" w:rsidRPr="00807A92">
        <w:t xml:space="preserve">la Meta Nacional </w:t>
      </w:r>
      <w:r w:rsidR="004D0325" w:rsidRPr="00807A92">
        <w:t>I.</w:t>
      </w:r>
      <w:r w:rsidR="00D1166B" w:rsidRPr="00807A92">
        <w:t xml:space="preserve"> México</w:t>
      </w:r>
      <w:r w:rsidR="00D1166B" w:rsidRPr="004D0325">
        <w:t xml:space="preserve"> </w:t>
      </w:r>
      <w:r>
        <w:t>en Paz</w:t>
      </w:r>
      <w:r w:rsidR="00864466" w:rsidRPr="0043350C">
        <w:t xml:space="preserve">, Objetivo </w:t>
      </w:r>
      <w:r>
        <w:t xml:space="preserve">1.4. </w:t>
      </w:r>
      <w:r w:rsidRPr="008872F0">
        <w:t>Garantizar un Sistema de Justicia Penal eficaz, expedito, imparcial y transparente</w:t>
      </w:r>
      <w:r w:rsidR="00864466" w:rsidRPr="0043350C">
        <w:t xml:space="preserve">. </w:t>
      </w:r>
      <w:r w:rsidR="008D6EC3">
        <w:t>También</w:t>
      </w:r>
      <w:r w:rsidR="00864466" w:rsidRPr="0043350C">
        <w:t xml:space="preserve"> </w:t>
      </w:r>
      <w:r w:rsidR="00C66986">
        <w:lastRenderedPageBreak/>
        <w:t>se alineó</w:t>
      </w:r>
      <w:r w:rsidR="00864466" w:rsidRPr="0043350C">
        <w:t xml:space="preserve"> con el </w:t>
      </w:r>
      <w:r w:rsidR="006F4AD5">
        <w:t xml:space="preserve">PSG </w:t>
      </w:r>
      <w:r w:rsidRPr="008872F0">
        <w:t>a través del Objetivo 2</w:t>
      </w:r>
      <w:r>
        <w:t>.</w:t>
      </w:r>
      <w:r w:rsidRPr="008872F0">
        <w:t xml:space="preserve"> Mejorar las condiciones de seguridad y justicia</w:t>
      </w:r>
      <w:r>
        <w:t>,</w:t>
      </w:r>
      <w:r w:rsidRPr="008872F0">
        <w:t xml:space="preserve"> y </w:t>
      </w:r>
      <w:r>
        <w:t xml:space="preserve">con su Estrategia 2.6. </w:t>
      </w:r>
      <w:r w:rsidRPr="008872F0">
        <w:t>Impulsar la implementaci</w:t>
      </w:r>
      <w:r>
        <w:t>ón del Sistema Penal Acusatorio</w:t>
      </w:r>
      <w:r w:rsidR="00D1166B" w:rsidRPr="00D1166B">
        <w:t>.</w:t>
      </w:r>
    </w:p>
    <w:p w14:paraId="30DB8B18" w14:textId="77777777" w:rsidR="00AE1365" w:rsidRPr="00AE1365" w:rsidRDefault="00AE1365" w:rsidP="00864466">
      <w:pPr>
        <w:pStyle w:val="Cdetexto"/>
        <w:rPr>
          <w:lang w:val="es-ES_tradnl"/>
        </w:rPr>
      </w:pPr>
      <w:r>
        <w:t xml:space="preserve">El </w:t>
      </w:r>
      <w:proofErr w:type="spellStart"/>
      <w:r>
        <w:t>Pp</w:t>
      </w:r>
      <w:proofErr w:type="spellEnd"/>
      <w:r>
        <w:t xml:space="preserve"> dejó de operar a partir del </w:t>
      </w:r>
      <w:r w:rsidR="00C40686">
        <w:t>E</w:t>
      </w:r>
      <w:r>
        <w:t xml:space="preserve">jercicio </w:t>
      </w:r>
      <w:r w:rsidR="00C40686">
        <w:t>F</w:t>
      </w:r>
      <w:r>
        <w:t>iscal 2017, al cumplirse el plazo establecido en el “Decreto por el que se creó el Consejo de Coordinación para la Implementación del Sistema de Justicia Penal” para la implementación del NSJP</w:t>
      </w:r>
      <w:r w:rsidR="00C40686">
        <w:t>.</w:t>
      </w:r>
    </w:p>
    <w:p w14:paraId="7173E2A5" w14:textId="77777777" w:rsidR="00864466" w:rsidRPr="0043350C" w:rsidRDefault="00864466" w:rsidP="00864466">
      <w:pPr>
        <w:spacing w:line="250" w:lineRule="exact"/>
        <w:jc w:val="both"/>
        <w:rPr>
          <w:rFonts w:eastAsia="Times New Roman" w:cs="Arial"/>
          <w:b/>
          <w:szCs w:val="20"/>
          <w:lang w:val="es-ES"/>
        </w:rPr>
      </w:pPr>
      <w:r w:rsidRPr="0043350C">
        <w:rPr>
          <w:rFonts w:eastAsia="Times New Roman" w:cs="Arial"/>
          <w:b/>
          <w:szCs w:val="20"/>
          <w:lang w:val="es-ES"/>
        </w:rPr>
        <w:t>Principales Hallazgos</w:t>
      </w:r>
    </w:p>
    <w:p w14:paraId="05CAC65C" w14:textId="77777777" w:rsidR="00864466" w:rsidRPr="0043350C" w:rsidRDefault="00864466" w:rsidP="00864466">
      <w:pPr>
        <w:spacing w:line="250" w:lineRule="exact"/>
        <w:jc w:val="both"/>
        <w:rPr>
          <w:i/>
          <w:lang w:val="es-ES"/>
        </w:rPr>
      </w:pPr>
      <w:r w:rsidRPr="0043350C">
        <w:rPr>
          <w:i/>
          <w:lang w:val="es-ES"/>
        </w:rPr>
        <w:t>Diseño:</w:t>
      </w:r>
    </w:p>
    <w:p w14:paraId="4F2878FC" w14:textId="77777777" w:rsidR="00864466" w:rsidRPr="0043350C" w:rsidRDefault="007A5826" w:rsidP="00864466">
      <w:pPr>
        <w:pStyle w:val="Cdetexto"/>
      </w:pPr>
      <w:r>
        <w:t>Lo</w:t>
      </w:r>
      <w:r w:rsidRPr="007A5826">
        <w:t>s r</w:t>
      </w:r>
      <w:r w:rsidR="00C66986">
        <w:t>etos más relevantes que enfrentó</w:t>
      </w:r>
      <w:r w:rsidRPr="007A5826">
        <w:t xml:space="preserve"> </w:t>
      </w:r>
      <w:r w:rsidR="005202DE">
        <w:t xml:space="preserve">el </w:t>
      </w:r>
      <w:proofErr w:type="spellStart"/>
      <w:r w:rsidR="005202DE">
        <w:t>Pp</w:t>
      </w:r>
      <w:proofErr w:type="spellEnd"/>
      <w:r w:rsidR="005202DE">
        <w:t xml:space="preserve"> </w:t>
      </w:r>
      <w:r w:rsidRPr="007A5826">
        <w:t xml:space="preserve">en esta dimensión </w:t>
      </w:r>
      <w:r w:rsidR="008D6EC3">
        <w:t xml:space="preserve">se referían </w:t>
      </w:r>
      <w:r w:rsidRPr="007A5826">
        <w:t>al hecho de que las metas de sus indicadores no permit</w:t>
      </w:r>
      <w:r w:rsidR="008D6EC3">
        <w:t>ía</w:t>
      </w:r>
      <w:r w:rsidRPr="007A5826">
        <w:t>n ver la tendencia histórica de cumplimiento</w:t>
      </w:r>
      <w:r w:rsidR="007737C5" w:rsidRPr="007737C5">
        <w:t>.</w:t>
      </w:r>
    </w:p>
    <w:p w14:paraId="5EB632E9" w14:textId="77777777" w:rsidR="00864466" w:rsidRPr="0043350C" w:rsidRDefault="00864466" w:rsidP="00864466">
      <w:pPr>
        <w:pStyle w:val="Cdetexto"/>
        <w:rPr>
          <w:i/>
        </w:rPr>
      </w:pPr>
      <w:r w:rsidRPr="0043350C">
        <w:rPr>
          <w:i/>
        </w:rPr>
        <w:t>Planeación y Orientación a Resultados:</w:t>
      </w:r>
    </w:p>
    <w:p w14:paraId="0ECC0CE8" w14:textId="77777777" w:rsidR="00864466" w:rsidRPr="002D4831" w:rsidRDefault="005202DE" w:rsidP="005202DE">
      <w:pPr>
        <w:pStyle w:val="Cdetexto"/>
      </w:pPr>
      <w:r>
        <w:t xml:space="preserve">Si bien el </w:t>
      </w:r>
      <w:proofErr w:type="spellStart"/>
      <w:r>
        <w:t>Pp</w:t>
      </w:r>
      <w:proofErr w:type="spellEnd"/>
      <w:r>
        <w:t xml:space="preserve"> desarroll</w:t>
      </w:r>
      <w:r w:rsidR="00E3257B">
        <w:t>ó</w:t>
      </w:r>
      <w:r>
        <w:t xml:space="preserve"> un proceso de Planeación Estratégica y un Plan Anual de Trabajo, </w:t>
      </w:r>
      <w:r w:rsidR="00AE1365">
        <w:t>estos</w:t>
      </w:r>
      <w:r>
        <w:t xml:space="preserve"> </w:t>
      </w:r>
      <w:r w:rsidRPr="002D4831">
        <w:t xml:space="preserve">documentos </w:t>
      </w:r>
      <w:r w:rsidR="00AE1365" w:rsidRPr="002D4831">
        <w:t xml:space="preserve">no </w:t>
      </w:r>
      <w:r w:rsidRPr="002D4831">
        <w:t>profundiza</w:t>
      </w:r>
      <w:r w:rsidR="008D6EC3" w:rsidRPr="002D4831">
        <w:t>ba</w:t>
      </w:r>
      <w:r w:rsidR="00AE1365" w:rsidRPr="002D4831">
        <w:t>n</w:t>
      </w:r>
      <w:r w:rsidRPr="002D4831">
        <w:t xml:space="preserve"> en el desarrollo, uso y aplicación de indicadores de desempeño para medir sus resultados.</w:t>
      </w:r>
    </w:p>
    <w:p w14:paraId="4517E836" w14:textId="77777777" w:rsidR="00864466" w:rsidRPr="002D4831" w:rsidRDefault="00864466" w:rsidP="00864466">
      <w:pPr>
        <w:spacing w:before="240" w:line="250" w:lineRule="exact"/>
        <w:jc w:val="both"/>
        <w:rPr>
          <w:i/>
          <w:lang w:val="es-ES"/>
        </w:rPr>
      </w:pPr>
      <w:r w:rsidRPr="002D4831">
        <w:rPr>
          <w:i/>
          <w:szCs w:val="22"/>
        </w:rPr>
        <w:t>Cobertura y Focalización:</w:t>
      </w:r>
    </w:p>
    <w:p w14:paraId="413447D8" w14:textId="77777777" w:rsidR="00A76E7F" w:rsidRDefault="008D6EC3" w:rsidP="00864466">
      <w:pPr>
        <w:pStyle w:val="Cdetexto"/>
      </w:pPr>
      <w:r w:rsidRPr="002D4831">
        <w:t>L</w:t>
      </w:r>
      <w:r w:rsidR="005202DE" w:rsidRPr="002D4831">
        <w:t>a aplicación de la “Nueva Metodología para Clasificación y Estratificación de Entidades Federativas”</w:t>
      </w:r>
      <w:r w:rsidR="00C66986">
        <w:t>,</w:t>
      </w:r>
      <w:r w:rsidR="005202DE" w:rsidRPr="002D4831">
        <w:t xml:space="preserve"> emitida por la SETEC en el año 2014 y modificada en 2016, </w:t>
      </w:r>
      <w:r w:rsidRPr="002D4831">
        <w:t>hizo</w:t>
      </w:r>
      <w:r w:rsidR="005202DE" w:rsidRPr="002D4831">
        <w:t xml:space="preserve"> posible focalizar mejor los servicios ofrecidos a cada uno de los Órganos Estatales operadores del nuevo Sistema de Justicia Penal</w:t>
      </w:r>
      <w:r w:rsidR="00B32B8D" w:rsidRPr="002D4831">
        <w:t>.</w:t>
      </w:r>
    </w:p>
    <w:p w14:paraId="0DB4F659" w14:textId="77777777" w:rsidR="00864466" w:rsidRPr="0043350C" w:rsidRDefault="00864466" w:rsidP="00864466">
      <w:pPr>
        <w:pStyle w:val="Cdetexto"/>
        <w:rPr>
          <w:i/>
        </w:rPr>
      </w:pPr>
      <w:r w:rsidRPr="0043350C">
        <w:rPr>
          <w:i/>
        </w:rPr>
        <w:t>Operación:</w:t>
      </w:r>
    </w:p>
    <w:p w14:paraId="725B75BE" w14:textId="77777777" w:rsidR="00864466" w:rsidRPr="0043350C" w:rsidRDefault="005202DE" w:rsidP="00B32B8D">
      <w:pPr>
        <w:pStyle w:val="Cdetexto"/>
      </w:pPr>
      <w:r>
        <w:t>E</w:t>
      </w:r>
      <w:r w:rsidRPr="005202DE">
        <w:t xml:space="preserve">l </w:t>
      </w:r>
      <w:proofErr w:type="spellStart"/>
      <w:r>
        <w:t>Pp</w:t>
      </w:r>
      <w:proofErr w:type="spellEnd"/>
      <w:r>
        <w:t xml:space="preserve"> </w:t>
      </w:r>
      <w:r w:rsidR="008D6EC3">
        <w:t>co</w:t>
      </w:r>
      <w:r w:rsidR="00C66986">
        <w:t>ntó</w:t>
      </w:r>
      <w:r w:rsidRPr="005202DE">
        <w:t xml:space="preserve"> con procesos bien estructurados</w:t>
      </w:r>
      <w:r w:rsidR="00C66986">
        <w:t>, así como</w:t>
      </w:r>
      <w:r w:rsidRPr="005202DE">
        <w:t xml:space="preserve"> </w:t>
      </w:r>
      <w:r w:rsidR="00C66986">
        <w:t>con</w:t>
      </w:r>
      <w:r w:rsidRPr="005202DE">
        <w:t xml:space="preserve"> mecanismos y procedimientos</w:t>
      </w:r>
      <w:r w:rsidR="00C66986">
        <w:t>; además, contó</w:t>
      </w:r>
      <w:r w:rsidRPr="005202DE">
        <w:t xml:space="preserve"> </w:t>
      </w:r>
      <w:r w:rsidR="00C66986">
        <w:t>con</w:t>
      </w:r>
      <w:r w:rsidRPr="005202DE">
        <w:t xml:space="preserve"> la documentación requerida </w:t>
      </w:r>
      <w:r w:rsidR="00C66986">
        <w:t>que sustentó la</w:t>
      </w:r>
      <w:r w:rsidRPr="005202DE">
        <w:t xml:space="preserve"> verifica</w:t>
      </w:r>
      <w:r w:rsidR="00C66986">
        <w:t>ción</w:t>
      </w:r>
      <w:r w:rsidRPr="005202DE">
        <w:t xml:space="preserve"> </w:t>
      </w:r>
      <w:r w:rsidR="00C66986">
        <w:t>d</w:t>
      </w:r>
      <w:r w:rsidRPr="005202DE">
        <w:t xml:space="preserve">el procedimiento para recibir, registrar y dar trámite a las solicitudes de apoyo. La debilidad más importante </w:t>
      </w:r>
      <w:r w:rsidR="00C66986">
        <w:t>identificada sobre</w:t>
      </w:r>
      <w:r w:rsidRPr="005202DE">
        <w:t xml:space="preserve"> este tema </w:t>
      </w:r>
      <w:r w:rsidR="00C66986">
        <w:t>fue</w:t>
      </w:r>
      <w:r w:rsidRPr="005202DE">
        <w:t xml:space="preserve"> que el </w:t>
      </w:r>
      <w:proofErr w:type="spellStart"/>
      <w:r w:rsidR="006F4AD5">
        <w:t>Pp</w:t>
      </w:r>
      <w:proofErr w:type="spellEnd"/>
      <w:r w:rsidR="008D6EC3">
        <w:t xml:space="preserve"> </w:t>
      </w:r>
      <w:r w:rsidR="00C66986">
        <w:t>debió</w:t>
      </w:r>
      <w:r w:rsidRPr="005202DE">
        <w:t xml:space="preserve"> hacer un esfuerzo mayor por transparentar sus principales resultados </w:t>
      </w:r>
      <w:r w:rsidR="008D6EC3">
        <w:t xml:space="preserve">tanto </w:t>
      </w:r>
      <w:r w:rsidRPr="005202DE">
        <w:t xml:space="preserve">al público que </w:t>
      </w:r>
      <w:r w:rsidR="00C66986">
        <w:t>atendió</w:t>
      </w:r>
      <w:r w:rsidRPr="005202DE">
        <w:t xml:space="preserve"> </w:t>
      </w:r>
      <w:r w:rsidR="008D6EC3">
        <w:t>como</w:t>
      </w:r>
      <w:r w:rsidRPr="005202DE">
        <w:t xml:space="preserve"> al público en general</w:t>
      </w:r>
      <w:r w:rsidR="00B32B8D">
        <w:t>.</w:t>
      </w:r>
    </w:p>
    <w:p w14:paraId="39C0E9D1" w14:textId="77777777" w:rsidR="00864466" w:rsidRPr="0043350C" w:rsidRDefault="00864466" w:rsidP="00864466">
      <w:pPr>
        <w:spacing w:line="250" w:lineRule="exact"/>
        <w:contextualSpacing/>
        <w:jc w:val="both"/>
        <w:rPr>
          <w:rFonts w:eastAsia="Times New Roman" w:cs="Arial"/>
          <w:szCs w:val="20"/>
          <w:lang w:val="es-ES"/>
        </w:rPr>
      </w:pPr>
      <w:r w:rsidRPr="0043350C">
        <w:rPr>
          <w:i/>
          <w:szCs w:val="22"/>
          <w:lang w:val="es-ES"/>
        </w:rPr>
        <w:t>Percepción de la Población Atendida:</w:t>
      </w:r>
    </w:p>
    <w:p w14:paraId="38D6D111" w14:textId="77777777" w:rsidR="00864466" w:rsidRPr="002D4831" w:rsidRDefault="00CB44DA" w:rsidP="00864466">
      <w:pPr>
        <w:pStyle w:val="Cdetexto"/>
      </w:pPr>
      <w:r w:rsidRPr="002D4831">
        <w:t xml:space="preserve">El </w:t>
      </w:r>
      <w:proofErr w:type="spellStart"/>
      <w:r w:rsidRPr="002D4831">
        <w:t>Pp</w:t>
      </w:r>
      <w:proofErr w:type="spellEnd"/>
      <w:r w:rsidRPr="002D4831">
        <w:t xml:space="preserve"> generó </w:t>
      </w:r>
      <w:r w:rsidR="0048208E" w:rsidRPr="002D4831">
        <w:t>un mecanismo de evaluación para</w:t>
      </w:r>
      <w:r w:rsidRPr="002D4831">
        <w:t xml:space="preserve"> produc</w:t>
      </w:r>
      <w:r w:rsidR="0048208E" w:rsidRPr="002D4831">
        <w:t>ir</w:t>
      </w:r>
      <w:r w:rsidRPr="002D4831">
        <w:t xml:space="preserve"> información permanente, ágil y oportuna de la percepción de la población atendida. Los resultados obtenidos m</w:t>
      </w:r>
      <w:r w:rsidR="00C66986">
        <w:t>ostraron</w:t>
      </w:r>
      <w:r w:rsidRPr="002D4831">
        <w:t xml:space="preserve"> amplia satisfacción por parte de los Órganos Estatales operadores del </w:t>
      </w:r>
      <w:r w:rsidR="0048208E" w:rsidRPr="002D4831">
        <w:t>NSJP</w:t>
      </w:r>
      <w:r w:rsidRPr="002D4831">
        <w:t>.</w:t>
      </w:r>
    </w:p>
    <w:p w14:paraId="241F405C" w14:textId="77777777" w:rsidR="00864466" w:rsidRPr="002D4831" w:rsidRDefault="00864466" w:rsidP="00864466">
      <w:pPr>
        <w:pStyle w:val="Cdetexto"/>
        <w:rPr>
          <w:i/>
          <w:szCs w:val="22"/>
        </w:rPr>
      </w:pPr>
      <w:r w:rsidRPr="002D4831">
        <w:rPr>
          <w:i/>
          <w:szCs w:val="22"/>
        </w:rPr>
        <w:t>Medición de Resultados:</w:t>
      </w:r>
    </w:p>
    <w:p w14:paraId="5DF4D253" w14:textId="77777777" w:rsidR="00864466" w:rsidRPr="0043350C" w:rsidRDefault="0048208E" w:rsidP="00864466">
      <w:pPr>
        <w:pStyle w:val="Cdetexto"/>
      </w:pPr>
      <w:r w:rsidRPr="002D4831">
        <w:t>E</w:t>
      </w:r>
      <w:r w:rsidR="00CB44DA" w:rsidRPr="002D4831">
        <w:t>l “Libro Blanco de la Secretaría Técnica del Consejo de Coordinación para la Implementación del Sistema de Justicia Penal</w:t>
      </w:r>
      <w:r w:rsidR="006F4A52">
        <w:t xml:space="preserve"> </w:t>
      </w:r>
      <w:r w:rsidR="00CB44DA" w:rsidRPr="002D4831">
        <w:t xml:space="preserve">de la Gestión 2013-2016” </w:t>
      </w:r>
      <w:r w:rsidRPr="002D4831">
        <w:t>mostró</w:t>
      </w:r>
      <w:r w:rsidR="00CB44DA" w:rsidRPr="002D4831">
        <w:t xml:space="preserve"> resultados</w:t>
      </w:r>
      <w:r w:rsidR="00CB44DA" w:rsidRPr="00CB44DA">
        <w:t xml:space="preserve"> satisfactorios </w:t>
      </w:r>
      <w:r w:rsidR="00CB44DA">
        <w:t>a nivel de fin y de p</w:t>
      </w:r>
      <w:r w:rsidR="00CB44DA" w:rsidRPr="00CB44DA">
        <w:t>ropósito, suficientes para s</w:t>
      </w:r>
      <w:r w:rsidR="00CB44DA">
        <w:t xml:space="preserve">eñalar que el </w:t>
      </w:r>
      <w:proofErr w:type="spellStart"/>
      <w:r w:rsidR="00CB44DA">
        <w:t>Pp</w:t>
      </w:r>
      <w:proofErr w:type="spellEnd"/>
      <w:r w:rsidR="00CB44DA">
        <w:t xml:space="preserve"> </w:t>
      </w:r>
      <w:r>
        <w:t>cumplía</w:t>
      </w:r>
      <w:r w:rsidR="00CB44DA">
        <w:t xml:space="preserve"> con el p</w:t>
      </w:r>
      <w:r w:rsidR="00CB44DA" w:rsidRPr="00CB44DA">
        <w:t xml:space="preserve">ropósito y </w:t>
      </w:r>
      <w:r>
        <w:t xml:space="preserve">contribuía </w:t>
      </w:r>
      <w:r w:rsidR="00CB44DA" w:rsidRPr="00CB44DA">
        <w:t>a</w:t>
      </w:r>
      <w:r>
        <w:t>l</w:t>
      </w:r>
      <w:r w:rsidR="00CB44DA">
        <w:t xml:space="preserve"> </w:t>
      </w:r>
      <w:r w:rsidR="00CB44DA" w:rsidRPr="00CB44DA">
        <w:t>l</w:t>
      </w:r>
      <w:r w:rsidR="00CB44DA">
        <w:t>ogro del</w:t>
      </w:r>
      <w:r w:rsidR="00CB44DA" w:rsidRPr="00CB44DA">
        <w:t xml:space="preserve"> </w:t>
      </w:r>
      <w:r w:rsidR="00CB44DA">
        <w:t>f</w:t>
      </w:r>
      <w:r w:rsidR="00CB44DA" w:rsidRPr="00CB44DA">
        <w:t>in</w:t>
      </w:r>
      <w:r>
        <w:t>. En el citado documento se hacía</w:t>
      </w:r>
      <w:r w:rsidR="00CB44DA" w:rsidRPr="00CB44DA">
        <w:t xml:space="preserve"> referencia a que la SETEC </w:t>
      </w:r>
      <w:r>
        <w:t xml:space="preserve">medía </w:t>
      </w:r>
      <w:r w:rsidR="00CB44DA" w:rsidRPr="00CB44DA">
        <w:t>de manera sistemática el grado de avance de la implementación del NSJP en las entidades federativas</w:t>
      </w:r>
      <w:r w:rsidR="00CB44DA">
        <w:t>.</w:t>
      </w:r>
    </w:p>
    <w:p w14:paraId="1435B03E" w14:textId="77777777" w:rsidR="00864466" w:rsidRPr="0043350C" w:rsidRDefault="00864466" w:rsidP="00864466">
      <w:pPr>
        <w:spacing w:line="250" w:lineRule="exact"/>
        <w:jc w:val="both"/>
        <w:rPr>
          <w:rFonts w:eastAsia="Times New Roman" w:cs="Arial"/>
          <w:b/>
          <w:szCs w:val="20"/>
          <w:lang w:val="es-ES"/>
        </w:rPr>
      </w:pPr>
      <w:r w:rsidRPr="0043350C">
        <w:rPr>
          <w:rFonts w:eastAsia="Times New Roman" w:cs="Arial"/>
          <w:b/>
          <w:szCs w:val="20"/>
          <w:lang w:val="es-ES"/>
        </w:rPr>
        <w:t>Principales Recomendaciones</w:t>
      </w:r>
    </w:p>
    <w:p w14:paraId="6AB6F830" w14:textId="77777777" w:rsidR="0088099F" w:rsidRDefault="00AA7718" w:rsidP="00AA7718">
      <w:pPr>
        <w:pStyle w:val="Bala"/>
        <w:numPr>
          <w:ilvl w:val="0"/>
          <w:numId w:val="1"/>
        </w:numPr>
        <w:ind w:left="357" w:hanging="357"/>
      </w:pPr>
      <w:r>
        <w:t>Incluir en las f</w:t>
      </w:r>
      <w:r w:rsidRPr="00AA7718">
        <w:t xml:space="preserve">ichas </w:t>
      </w:r>
      <w:r>
        <w:t>t</w:t>
      </w:r>
      <w:r w:rsidRPr="00AA7718">
        <w:t xml:space="preserve">écnicas de los indicadores la línea base de operación del </w:t>
      </w:r>
      <w:r>
        <w:t>Pp</w:t>
      </w:r>
      <w:r w:rsidR="0088099F">
        <w:t>.</w:t>
      </w:r>
    </w:p>
    <w:p w14:paraId="085C3616" w14:textId="77777777" w:rsidR="0088099F" w:rsidRDefault="00AA7718" w:rsidP="00AA7718">
      <w:pPr>
        <w:pStyle w:val="Bala"/>
        <w:numPr>
          <w:ilvl w:val="0"/>
          <w:numId w:val="1"/>
        </w:numPr>
        <w:ind w:left="357" w:hanging="357"/>
      </w:pPr>
      <w:r>
        <w:t>H</w:t>
      </w:r>
      <w:r w:rsidRPr="00AA7718">
        <w:t xml:space="preserve">acer públicos los procedimientos de recepción, registro y trámite de apoyos solicitados por las entidades federativas en el marco del </w:t>
      </w:r>
      <w:r w:rsidR="004C5984">
        <w:t>Pp</w:t>
      </w:r>
      <w:r w:rsidR="007139B9">
        <w:t>.</w:t>
      </w:r>
    </w:p>
    <w:p w14:paraId="5493AC01" w14:textId="77777777" w:rsidR="0088099F" w:rsidRDefault="004C5984" w:rsidP="004C5984">
      <w:pPr>
        <w:pStyle w:val="Bala"/>
        <w:numPr>
          <w:ilvl w:val="0"/>
          <w:numId w:val="1"/>
        </w:numPr>
        <w:ind w:left="357" w:hanging="357"/>
      </w:pPr>
      <w:r w:rsidRPr="004C5984">
        <w:lastRenderedPageBreak/>
        <w:t xml:space="preserve">Incorporar en la página </w:t>
      </w:r>
      <w:r>
        <w:t>web</w:t>
      </w:r>
      <w:r w:rsidRPr="004C5984">
        <w:t xml:space="preserve"> de la SETEC información específica de los resultados que </w:t>
      </w:r>
      <w:r w:rsidR="00EF3BE4">
        <w:t>generó el</w:t>
      </w:r>
      <w:r w:rsidR="006F4A52">
        <w:t xml:space="preserve"> </w:t>
      </w:r>
      <w:r>
        <w:t>Pp</w:t>
      </w:r>
      <w:r w:rsidR="0088099F">
        <w:t>.</w:t>
      </w:r>
    </w:p>
    <w:p w14:paraId="403A7D2D" w14:textId="77777777" w:rsidR="00864466" w:rsidRPr="0043350C" w:rsidRDefault="00864466" w:rsidP="00864466">
      <w:pPr>
        <w:jc w:val="both"/>
        <w:rPr>
          <w:rFonts w:eastAsia="Times New Roman" w:cs="Arial"/>
          <w:szCs w:val="20"/>
          <w:lang w:val="es-ES"/>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864466" w:rsidRPr="0043350C" w14:paraId="134086EF" w14:textId="77777777" w:rsidTr="00993F6E">
        <w:tc>
          <w:tcPr>
            <w:tcW w:w="749" w:type="pct"/>
            <w:vAlign w:val="center"/>
          </w:tcPr>
          <w:p w14:paraId="1EE106E2" w14:textId="77777777" w:rsidR="00864466" w:rsidRPr="0043350C" w:rsidRDefault="00864466" w:rsidP="00993F6E">
            <w:pPr>
              <w:spacing w:before="20" w:after="0"/>
              <w:ind w:left="170"/>
              <w:rPr>
                <w:b/>
                <w:sz w:val="16"/>
                <w:lang w:val="es-ES"/>
              </w:rPr>
            </w:pPr>
            <w:r w:rsidRPr="0043350C">
              <w:rPr>
                <w:b/>
                <w:sz w:val="16"/>
                <w:lang w:val="es-ES"/>
              </w:rPr>
              <w:t>Evaluador Externo:</w:t>
            </w:r>
          </w:p>
        </w:tc>
        <w:tc>
          <w:tcPr>
            <w:tcW w:w="4251" w:type="pct"/>
            <w:gridSpan w:val="3"/>
            <w:vAlign w:val="center"/>
          </w:tcPr>
          <w:p w14:paraId="39D1D648" w14:textId="77777777" w:rsidR="00864466" w:rsidRPr="0043350C" w:rsidRDefault="00864466" w:rsidP="00993F6E">
            <w:pPr>
              <w:spacing w:before="20" w:after="0"/>
              <w:ind w:left="113"/>
              <w:rPr>
                <w:sz w:val="16"/>
                <w:lang w:val="es-ES"/>
              </w:rPr>
            </w:pPr>
            <w:r w:rsidRPr="0043350C">
              <w:rPr>
                <w:sz w:val="16"/>
                <w:lang w:val="es-ES"/>
              </w:rPr>
              <w:t xml:space="preserve">1. Instancia Evaluadora: </w:t>
            </w:r>
            <w:proofErr w:type="spellStart"/>
            <w:r w:rsidR="000B4F86" w:rsidRPr="000B4F86">
              <w:rPr>
                <w:sz w:val="16"/>
                <w:lang w:val="es-ES"/>
              </w:rPr>
              <w:t>Mulier</w:t>
            </w:r>
            <w:proofErr w:type="spellEnd"/>
            <w:r w:rsidR="000B4F86" w:rsidRPr="000B4F86">
              <w:rPr>
                <w:sz w:val="16"/>
                <w:lang w:val="es-ES"/>
              </w:rPr>
              <w:t xml:space="preserve"> Servicios, S. C.</w:t>
            </w:r>
          </w:p>
          <w:p w14:paraId="42165B40" w14:textId="77777777" w:rsidR="00864466" w:rsidRPr="0043350C" w:rsidRDefault="00864466" w:rsidP="00993F6E">
            <w:pPr>
              <w:spacing w:before="20" w:after="0"/>
              <w:ind w:left="113"/>
              <w:rPr>
                <w:sz w:val="16"/>
                <w:lang w:val="es-ES"/>
              </w:rPr>
            </w:pPr>
            <w:r w:rsidRPr="0043350C">
              <w:rPr>
                <w:sz w:val="16"/>
                <w:lang w:val="es-ES"/>
              </w:rPr>
              <w:t xml:space="preserve">2. Coordinador de la Evaluación: </w:t>
            </w:r>
            <w:r w:rsidR="000B4F86" w:rsidRPr="000B4F86">
              <w:rPr>
                <w:sz w:val="16"/>
                <w:lang w:val="es-ES"/>
              </w:rPr>
              <w:t>Héctor Rodríguez Ramírez</w:t>
            </w:r>
          </w:p>
          <w:p w14:paraId="6EB790F2" w14:textId="77777777" w:rsidR="00864466" w:rsidRPr="0043350C" w:rsidRDefault="00864466" w:rsidP="00993F6E">
            <w:pPr>
              <w:spacing w:before="20" w:after="0"/>
              <w:ind w:left="113"/>
              <w:rPr>
                <w:sz w:val="16"/>
                <w:lang w:val="es-ES"/>
              </w:rPr>
            </w:pPr>
            <w:r w:rsidRPr="0043350C">
              <w:rPr>
                <w:sz w:val="16"/>
                <w:lang w:val="es-ES"/>
              </w:rPr>
              <w:t xml:space="preserve">3. Forma de contratación: </w:t>
            </w:r>
            <w:r w:rsidR="000B4F86" w:rsidRPr="000B4F86">
              <w:rPr>
                <w:sz w:val="16"/>
                <w:lang w:val="es-ES"/>
              </w:rPr>
              <w:t>Adjudicación Directa de Carácter Nacional de Participación Mixta</w:t>
            </w:r>
          </w:p>
        </w:tc>
      </w:tr>
      <w:tr w:rsidR="00864466" w:rsidRPr="0043350C" w14:paraId="50B0D664" w14:textId="77777777" w:rsidTr="00993F6E">
        <w:trPr>
          <w:trHeight w:val="170"/>
        </w:trPr>
        <w:tc>
          <w:tcPr>
            <w:tcW w:w="749" w:type="pct"/>
            <w:vAlign w:val="center"/>
          </w:tcPr>
          <w:p w14:paraId="2D852B68" w14:textId="77777777" w:rsidR="00864466" w:rsidRPr="0043350C" w:rsidRDefault="00864466" w:rsidP="00993F6E">
            <w:pPr>
              <w:spacing w:before="20" w:after="0"/>
              <w:ind w:left="170"/>
              <w:rPr>
                <w:b/>
                <w:sz w:val="16"/>
                <w:lang w:val="es-ES"/>
              </w:rPr>
            </w:pPr>
          </w:p>
        </w:tc>
        <w:tc>
          <w:tcPr>
            <w:tcW w:w="4251" w:type="pct"/>
            <w:gridSpan w:val="3"/>
            <w:vAlign w:val="center"/>
          </w:tcPr>
          <w:p w14:paraId="68DF118A" w14:textId="77777777" w:rsidR="00864466" w:rsidRPr="0043350C" w:rsidRDefault="00864466" w:rsidP="00993F6E">
            <w:pPr>
              <w:spacing w:before="20" w:after="0"/>
              <w:ind w:left="113"/>
              <w:rPr>
                <w:sz w:val="16"/>
                <w:lang w:val="es-ES"/>
              </w:rPr>
            </w:pPr>
          </w:p>
        </w:tc>
      </w:tr>
      <w:tr w:rsidR="00864466" w:rsidRPr="0043350C" w14:paraId="3240EBCC" w14:textId="77777777" w:rsidTr="00993F6E">
        <w:tc>
          <w:tcPr>
            <w:tcW w:w="749" w:type="pct"/>
            <w:vAlign w:val="center"/>
          </w:tcPr>
          <w:p w14:paraId="2B1D8C73" w14:textId="77777777" w:rsidR="00864466" w:rsidRPr="0043350C" w:rsidRDefault="00864466" w:rsidP="00993F6E">
            <w:pPr>
              <w:spacing w:before="20" w:after="0"/>
              <w:ind w:left="170"/>
              <w:rPr>
                <w:b/>
                <w:sz w:val="16"/>
                <w:lang w:val="es-ES"/>
              </w:rPr>
            </w:pPr>
            <w:r w:rsidRPr="0043350C">
              <w:rPr>
                <w:b/>
                <w:sz w:val="16"/>
                <w:lang w:val="es-ES"/>
              </w:rPr>
              <w:t>Costo:</w:t>
            </w:r>
          </w:p>
        </w:tc>
        <w:tc>
          <w:tcPr>
            <w:tcW w:w="1113" w:type="pct"/>
            <w:vAlign w:val="center"/>
          </w:tcPr>
          <w:p w14:paraId="27A1F49E" w14:textId="77777777" w:rsidR="00864466" w:rsidRPr="00785282" w:rsidRDefault="00864466" w:rsidP="000B4F86">
            <w:pPr>
              <w:spacing w:before="20" w:after="0"/>
              <w:ind w:left="113"/>
              <w:rPr>
                <w:sz w:val="16"/>
              </w:rPr>
            </w:pPr>
            <w:r w:rsidRPr="0043350C">
              <w:rPr>
                <w:sz w:val="16"/>
                <w:lang w:val="es-ES"/>
              </w:rPr>
              <w:t>$</w:t>
            </w:r>
            <w:r w:rsidR="000B4F86">
              <w:rPr>
                <w:sz w:val="16"/>
                <w:lang w:val="es-ES"/>
              </w:rPr>
              <w:t>226</w:t>
            </w:r>
            <w:r w:rsidRPr="00785282">
              <w:rPr>
                <w:sz w:val="16"/>
                <w:lang w:val="es-ES"/>
              </w:rPr>
              <w:t>,</w:t>
            </w:r>
            <w:r w:rsidR="000B4F86">
              <w:rPr>
                <w:sz w:val="16"/>
                <w:lang w:val="es-ES"/>
              </w:rPr>
              <w:t>2</w:t>
            </w:r>
            <w:r w:rsidRPr="00785282">
              <w:rPr>
                <w:sz w:val="16"/>
                <w:lang w:val="es-ES"/>
              </w:rPr>
              <w:t>00</w:t>
            </w:r>
            <w:r w:rsidR="0088099F" w:rsidRPr="00785282">
              <w:rPr>
                <w:sz w:val="16"/>
                <w:lang w:val="es-ES"/>
              </w:rPr>
              <w:t>.00</w:t>
            </w:r>
            <w:r w:rsidRPr="00785282">
              <w:rPr>
                <w:sz w:val="16"/>
                <w:lang w:val="es-ES"/>
              </w:rPr>
              <w:t xml:space="preserve"> IVA</w:t>
            </w:r>
            <w:r w:rsidR="0088099F" w:rsidRPr="00785282">
              <w:rPr>
                <w:sz w:val="16"/>
                <w:lang w:val="es-ES"/>
              </w:rPr>
              <w:t xml:space="preserve"> incluido</w:t>
            </w:r>
          </w:p>
        </w:tc>
        <w:tc>
          <w:tcPr>
            <w:tcW w:w="904" w:type="pct"/>
            <w:vAlign w:val="center"/>
          </w:tcPr>
          <w:p w14:paraId="0B3206E7" w14:textId="77777777" w:rsidR="00864466" w:rsidRPr="0043350C" w:rsidRDefault="00864466" w:rsidP="00993F6E">
            <w:pPr>
              <w:spacing w:before="20" w:after="0"/>
              <w:ind w:left="170"/>
              <w:rPr>
                <w:b/>
                <w:sz w:val="16"/>
                <w:lang w:val="es-ES"/>
              </w:rPr>
            </w:pPr>
            <w:r w:rsidRPr="0043350C">
              <w:rPr>
                <w:b/>
                <w:sz w:val="16"/>
                <w:lang w:val="es-ES"/>
              </w:rPr>
              <w:t>Fuente de Financiamiento:</w:t>
            </w:r>
          </w:p>
        </w:tc>
        <w:tc>
          <w:tcPr>
            <w:tcW w:w="2234" w:type="pct"/>
            <w:vAlign w:val="center"/>
          </w:tcPr>
          <w:p w14:paraId="193F738F" w14:textId="77777777" w:rsidR="00864466" w:rsidRPr="0029384A" w:rsidRDefault="00864466" w:rsidP="00993F6E">
            <w:pPr>
              <w:spacing w:before="20" w:after="0"/>
              <w:ind w:left="113"/>
              <w:rPr>
                <w:sz w:val="16"/>
                <w:lang w:val="es-ES"/>
              </w:rPr>
            </w:pPr>
            <w:r w:rsidRPr="0029384A">
              <w:rPr>
                <w:sz w:val="16"/>
                <w:lang w:val="es-ES"/>
              </w:rPr>
              <w:t>Recursos Fiscales</w:t>
            </w:r>
          </w:p>
        </w:tc>
      </w:tr>
      <w:tr w:rsidR="00864466" w:rsidRPr="0043350C" w14:paraId="16E1B253" w14:textId="77777777" w:rsidTr="00993F6E">
        <w:tc>
          <w:tcPr>
            <w:tcW w:w="749" w:type="pct"/>
            <w:tcBorders>
              <w:bottom w:val="single" w:sz="4" w:space="0" w:color="auto"/>
            </w:tcBorders>
            <w:vAlign w:val="center"/>
          </w:tcPr>
          <w:p w14:paraId="7FA2C972" w14:textId="77777777" w:rsidR="00864466" w:rsidRPr="0043350C" w:rsidRDefault="00864466" w:rsidP="00993F6E">
            <w:pPr>
              <w:spacing w:before="20" w:after="0"/>
              <w:ind w:left="170"/>
              <w:rPr>
                <w:b/>
                <w:sz w:val="16"/>
                <w:szCs w:val="16"/>
                <w:lang w:val="es-ES" w:eastAsia="en-US"/>
              </w:rPr>
            </w:pPr>
            <w:r w:rsidRPr="0043350C">
              <w:rPr>
                <w:b/>
                <w:sz w:val="16"/>
                <w:szCs w:val="16"/>
                <w:lang w:val="es-ES" w:eastAsia="en-US"/>
              </w:rPr>
              <w:t>Coordinación de la Evaluación:</w:t>
            </w:r>
          </w:p>
        </w:tc>
        <w:tc>
          <w:tcPr>
            <w:tcW w:w="1113" w:type="pct"/>
            <w:tcBorders>
              <w:bottom w:val="single" w:sz="4" w:space="0" w:color="auto"/>
            </w:tcBorders>
            <w:vAlign w:val="center"/>
          </w:tcPr>
          <w:p w14:paraId="2317208A" w14:textId="77777777" w:rsidR="00864466" w:rsidRPr="0043350C" w:rsidRDefault="00864466" w:rsidP="008A4C87">
            <w:pPr>
              <w:spacing w:after="0"/>
              <w:jc w:val="center"/>
              <w:rPr>
                <w:rFonts w:eastAsia="Times New Roman" w:cs="Arial"/>
                <w:sz w:val="14"/>
                <w:szCs w:val="14"/>
                <w:lang w:val="es-ES"/>
              </w:rPr>
            </w:pPr>
            <w:r w:rsidRPr="0088099F">
              <w:rPr>
                <w:rFonts w:eastAsia="Times New Roman" w:cs="Arial"/>
                <w:sz w:val="16"/>
                <w:szCs w:val="14"/>
                <w:lang w:val="es-ES"/>
              </w:rPr>
              <w:t>SHCP</w:t>
            </w:r>
          </w:p>
        </w:tc>
        <w:tc>
          <w:tcPr>
            <w:tcW w:w="904" w:type="pct"/>
            <w:tcBorders>
              <w:bottom w:val="single" w:sz="4" w:space="0" w:color="auto"/>
            </w:tcBorders>
            <w:vAlign w:val="center"/>
          </w:tcPr>
          <w:p w14:paraId="49480701" w14:textId="77777777" w:rsidR="00864466" w:rsidRPr="0043350C" w:rsidRDefault="00864466" w:rsidP="00993F6E">
            <w:pPr>
              <w:spacing w:before="20" w:after="0"/>
              <w:ind w:left="170"/>
              <w:rPr>
                <w:b/>
                <w:sz w:val="16"/>
                <w:szCs w:val="16"/>
                <w:lang w:val="es-ES" w:eastAsia="en-US"/>
              </w:rPr>
            </w:pPr>
            <w:r w:rsidRPr="0043350C">
              <w:rPr>
                <w:b/>
                <w:sz w:val="16"/>
                <w:szCs w:val="16"/>
                <w:lang w:val="es-ES" w:eastAsia="en-US"/>
              </w:rPr>
              <w:t>Informe completo:</w:t>
            </w:r>
          </w:p>
        </w:tc>
        <w:tc>
          <w:tcPr>
            <w:tcW w:w="2234" w:type="pct"/>
            <w:tcBorders>
              <w:bottom w:val="single" w:sz="4" w:space="0" w:color="auto"/>
            </w:tcBorders>
            <w:vAlign w:val="center"/>
          </w:tcPr>
          <w:p w14:paraId="6B418608" w14:textId="77777777" w:rsidR="00864466" w:rsidRPr="0043350C" w:rsidRDefault="00864466" w:rsidP="00993F6E">
            <w:pPr>
              <w:spacing w:before="20" w:after="0"/>
              <w:ind w:left="113"/>
              <w:rPr>
                <w:rFonts w:eastAsia="Times New Roman"/>
                <w:sz w:val="16"/>
                <w:szCs w:val="16"/>
                <w:lang w:val="es-ES" w:eastAsia="en-US"/>
              </w:rPr>
            </w:pPr>
            <w:r w:rsidRPr="0043350C">
              <w:rPr>
                <w:rFonts w:eastAsia="Times New Roman"/>
                <w:sz w:val="16"/>
                <w:szCs w:val="16"/>
                <w:lang w:val="es-ES" w:eastAsia="en-US"/>
              </w:rPr>
              <w:t>Disponible en:</w:t>
            </w:r>
          </w:p>
          <w:p w14:paraId="4BBFC47C" w14:textId="77777777" w:rsidR="00864466" w:rsidRPr="0043350C" w:rsidRDefault="00864466" w:rsidP="00993F6E">
            <w:pPr>
              <w:spacing w:before="20" w:after="0"/>
              <w:ind w:left="113"/>
              <w:rPr>
                <w:rFonts w:eastAsia="Times New Roman"/>
                <w:sz w:val="16"/>
                <w:szCs w:val="16"/>
                <w:lang w:val="es-ES" w:eastAsia="en-US"/>
              </w:rPr>
            </w:pPr>
            <w:r w:rsidRPr="0043350C">
              <w:rPr>
                <w:rFonts w:eastAsia="Times New Roman"/>
                <w:sz w:val="16"/>
                <w:szCs w:val="16"/>
                <w:lang w:val="es-ES" w:eastAsia="en-US"/>
              </w:rPr>
              <w:t>http://www.transparenciapresupuestaria.gob.mx/</w:t>
            </w:r>
          </w:p>
        </w:tc>
      </w:tr>
    </w:tbl>
    <w:p w14:paraId="6B82D57E" w14:textId="77777777" w:rsidR="00423CD2" w:rsidRDefault="00423CD2" w:rsidP="00423CD2"/>
    <w:tbl>
      <w:tblPr>
        <w:tblStyle w:val="Tablaconcuadrcula3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423CD2" w:rsidRPr="00FC7306" w14:paraId="1C584BE2" w14:textId="77777777" w:rsidTr="00423CD2">
        <w:trPr>
          <w:trHeight w:val="435"/>
        </w:trPr>
        <w:tc>
          <w:tcPr>
            <w:tcW w:w="9923" w:type="dxa"/>
            <w:gridSpan w:val="5"/>
            <w:shd w:val="clear" w:color="auto" w:fill="D6E3BC" w:themeFill="accent3" w:themeFillTint="66"/>
            <w:vAlign w:val="center"/>
          </w:tcPr>
          <w:p w14:paraId="15453D95" w14:textId="77777777" w:rsidR="00423CD2" w:rsidRPr="006C2077" w:rsidRDefault="004C5984" w:rsidP="004C5984">
            <w:pPr>
              <w:pStyle w:val="CABEZA"/>
              <w:rPr>
                <w:lang w:val="es-MX"/>
              </w:rPr>
            </w:pPr>
            <w:r>
              <w:rPr>
                <w:lang w:val="es-MX"/>
              </w:rPr>
              <w:br w:type="page"/>
              <w:t>Ramo 04</w:t>
            </w:r>
            <w:r w:rsidR="00423CD2" w:rsidRPr="006C2077">
              <w:rPr>
                <w:lang w:val="es-MX"/>
              </w:rPr>
              <w:t xml:space="preserve">. </w:t>
            </w:r>
            <w:r>
              <w:rPr>
                <w:lang w:val="es-MX"/>
              </w:rPr>
              <w:t>Gobernación</w:t>
            </w:r>
          </w:p>
        </w:tc>
      </w:tr>
      <w:tr w:rsidR="00423CD2" w:rsidRPr="00FC7306" w14:paraId="37E662BE" w14:textId="77777777" w:rsidTr="00423CD2">
        <w:tc>
          <w:tcPr>
            <w:tcW w:w="1359" w:type="dxa"/>
            <w:shd w:val="clear" w:color="auto" w:fill="D9D9D9" w:themeFill="background1" w:themeFillShade="D9"/>
          </w:tcPr>
          <w:p w14:paraId="0263CCE9" w14:textId="77777777" w:rsidR="00423CD2" w:rsidRPr="00FC7306" w:rsidRDefault="00423CD2" w:rsidP="00423CD2">
            <w:pPr>
              <w:spacing w:before="20"/>
              <w:rPr>
                <w:b/>
                <w:sz w:val="16"/>
                <w:lang w:val="es-ES"/>
              </w:rPr>
            </w:pPr>
            <w:r w:rsidRPr="00FC7306">
              <w:rPr>
                <w:b/>
                <w:sz w:val="16"/>
                <w:lang w:val="es-ES"/>
              </w:rPr>
              <w:t xml:space="preserve">Clave del </w:t>
            </w:r>
            <w:proofErr w:type="spellStart"/>
            <w:r w:rsidRPr="00FC7306">
              <w:rPr>
                <w:b/>
                <w:sz w:val="16"/>
                <w:lang w:val="es-ES"/>
              </w:rPr>
              <w:t>Pp</w:t>
            </w:r>
            <w:proofErr w:type="spellEnd"/>
            <w:r w:rsidRPr="00FC7306">
              <w:rPr>
                <w:b/>
                <w:sz w:val="16"/>
                <w:lang w:val="es-ES"/>
              </w:rPr>
              <w:t>:</w:t>
            </w:r>
          </w:p>
        </w:tc>
        <w:tc>
          <w:tcPr>
            <w:tcW w:w="734" w:type="dxa"/>
            <w:shd w:val="clear" w:color="auto" w:fill="D9D9D9" w:themeFill="background1" w:themeFillShade="D9"/>
          </w:tcPr>
          <w:p w14:paraId="49B8B5C6" w14:textId="77777777" w:rsidR="00423CD2" w:rsidRPr="00FC7306" w:rsidRDefault="004C5984" w:rsidP="004C5984">
            <w:pPr>
              <w:contextualSpacing/>
              <w:rPr>
                <w:sz w:val="16"/>
                <w:szCs w:val="16"/>
                <w:lang w:val="es-ES" w:eastAsia="en-US"/>
              </w:rPr>
            </w:pPr>
            <w:r>
              <w:rPr>
                <w:sz w:val="16"/>
                <w:szCs w:val="16"/>
                <w:lang w:val="es-ES" w:eastAsia="en-US"/>
              </w:rPr>
              <w:t>P</w:t>
            </w:r>
            <w:r w:rsidR="00423CD2">
              <w:rPr>
                <w:sz w:val="16"/>
                <w:szCs w:val="16"/>
                <w:lang w:val="es-ES" w:eastAsia="en-US"/>
              </w:rPr>
              <w:t>00</w:t>
            </w:r>
            <w:r>
              <w:rPr>
                <w:sz w:val="16"/>
                <w:szCs w:val="16"/>
                <w:lang w:val="es-ES" w:eastAsia="en-US"/>
              </w:rPr>
              <w:t>9</w:t>
            </w:r>
          </w:p>
        </w:tc>
        <w:tc>
          <w:tcPr>
            <w:tcW w:w="1701" w:type="dxa"/>
            <w:gridSpan w:val="2"/>
            <w:shd w:val="clear" w:color="auto" w:fill="D9D9D9" w:themeFill="background1" w:themeFillShade="D9"/>
          </w:tcPr>
          <w:p w14:paraId="4E225070" w14:textId="77777777" w:rsidR="00423CD2" w:rsidRPr="00FC7306" w:rsidRDefault="00423CD2" w:rsidP="00423CD2">
            <w:pPr>
              <w:spacing w:before="20"/>
              <w:rPr>
                <w:b/>
                <w:sz w:val="16"/>
                <w:lang w:val="es-ES"/>
              </w:rPr>
            </w:pPr>
            <w:r w:rsidRPr="00FC7306">
              <w:rPr>
                <w:b/>
                <w:sz w:val="16"/>
                <w:lang w:val="es-ES"/>
              </w:rPr>
              <w:t>Denominación:</w:t>
            </w:r>
          </w:p>
        </w:tc>
        <w:tc>
          <w:tcPr>
            <w:tcW w:w="6129" w:type="dxa"/>
            <w:shd w:val="clear" w:color="auto" w:fill="D9D9D9" w:themeFill="background1" w:themeFillShade="D9"/>
          </w:tcPr>
          <w:p w14:paraId="1574AB90" w14:textId="77777777" w:rsidR="00423CD2" w:rsidRPr="00FC7306" w:rsidRDefault="00B2789A" w:rsidP="00423CD2">
            <w:pPr>
              <w:contextualSpacing/>
              <w:rPr>
                <w:sz w:val="16"/>
                <w:szCs w:val="16"/>
                <w:lang w:val="es-ES" w:eastAsia="en-US"/>
              </w:rPr>
            </w:pPr>
            <w:r w:rsidRPr="00B2789A">
              <w:rPr>
                <w:sz w:val="16"/>
                <w:szCs w:val="16"/>
                <w:lang w:val="es-ES" w:eastAsia="en-US"/>
              </w:rPr>
              <w:t>Defensa jurídica de la Secretaría de Gobernación y compilación jurídica nacional y testamentaria ciudadana</w:t>
            </w:r>
          </w:p>
        </w:tc>
      </w:tr>
      <w:tr w:rsidR="00423CD2" w:rsidRPr="00FC7306" w14:paraId="3D6B8981" w14:textId="77777777" w:rsidTr="00423CD2">
        <w:tc>
          <w:tcPr>
            <w:tcW w:w="2778" w:type="dxa"/>
            <w:gridSpan w:val="3"/>
          </w:tcPr>
          <w:p w14:paraId="1C66EC0A" w14:textId="77777777" w:rsidR="00423CD2" w:rsidRPr="00FC7306" w:rsidRDefault="00423CD2" w:rsidP="00423CD2">
            <w:pPr>
              <w:spacing w:before="20"/>
              <w:rPr>
                <w:b/>
                <w:sz w:val="16"/>
                <w:lang w:val="es-ES"/>
              </w:rPr>
            </w:pPr>
            <w:r w:rsidRPr="00FC7306">
              <w:rPr>
                <w:b/>
                <w:sz w:val="16"/>
                <w:lang w:val="es-ES"/>
              </w:rPr>
              <w:t>Unidad</w:t>
            </w:r>
            <w:r>
              <w:rPr>
                <w:b/>
                <w:sz w:val="16"/>
                <w:lang w:val="es-ES"/>
              </w:rPr>
              <w:t>es</w:t>
            </w:r>
            <w:r w:rsidRPr="00FC7306">
              <w:rPr>
                <w:b/>
                <w:sz w:val="16"/>
                <w:lang w:val="es-ES"/>
              </w:rPr>
              <w:t xml:space="preserve"> Administrativa</w:t>
            </w:r>
            <w:r>
              <w:rPr>
                <w:b/>
                <w:sz w:val="16"/>
                <w:lang w:val="es-ES"/>
              </w:rPr>
              <w:t>s:</w:t>
            </w:r>
          </w:p>
        </w:tc>
        <w:tc>
          <w:tcPr>
            <w:tcW w:w="7145" w:type="dxa"/>
            <w:gridSpan w:val="2"/>
          </w:tcPr>
          <w:p w14:paraId="337A0D61" w14:textId="77777777" w:rsidR="004C5984" w:rsidRPr="004C5984" w:rsidRDefault="004C5984" w:rsidP="004C5984">
            <w:pPr>
              <w:spacing w:before="20" w:after="0"/>
              <w:rPr>
                <w:rFonts w:eastAsia="Times New Roman"/>
                <w:sz w:val="16"/>
                <w:szCs w:val="16"/>
                <w:lang w:val="es-MX" w:eastAsia="en-US"/>
              </w:rPr>
            </w:pPr>
            <w:r w:rsidRPr="004C5984">
              <w:rPr>
                <w:rFonts w:eastAsia="Times New Roman"/>
                <w:sz w:val="16"/>
                <w:szCs w:val="16"/>
                <w:lang w:val="es-MX" w:eastAsia="en-US"/>
              </w:rPr>
              <w:t>Unidad General de Asuntos Jurídicos</w:t>
            </w:r>
          </w:p>
          <w:p w14:paraId="6C602298" w14:textId="77777777" w:rsidR="004C5984" w:rsidRPr="004C5984" w:rsidRDefault="004C5984" w:rsidP="004C5984">
            <w:pPr>
              <w:spacing w:before="20" w:after="0"/>
              <w:rPr>
                <w:rFonts w:eastAsia="Times New Roman"/>
                <w:sz w:val="16"/>
                <w:szCs w:val="16"/>
                <w:lang w:val="es-MX" w:eastAsia="en-US"/>
              </w:rPr>
            </w:pPr>
            <w:r w:rsidRPr="004C5984">
              <w:rPr>
                <w:rFonts w:eastAsia="Times New Roman"/>
                <w:sz w:val="16"/>
                <w:szCs w:val="16"/>
                <w:lang w:val="es-MX" w:eastAsia="en-US"/>
              </w:rPr>
              <w:t>Dirección General de lo Consultivo y de Contratos y Convenios</w:t>
            </w:r>
          </w:p>
          <w:p w14:paraId="3F1C11B0" w14:textId="77777777" w:rsidR="004C5984" w:rsidRPr="004C5984" w:rsidRDefault="004C5984" w:rsidP="004C5984">
            <w:pPr>
              <w:spacing w:before="20" w:after="0"/>
              <w:rPr>
                <w:rFonts w:eastAsia="Times New Roman"/>
                <w:sz w:val="16"/>
                <w:szCs w:val="16"/>
                <w:lang w:val="es-MX" w:eastAsia="en-US"/>
              </w:rPr>
            </w:pPr>
            <w:r w:rsidRPr="004C5984">
              <w:rPr>
                <w:rFonts w:eastAsia="Times New Roman"/>
                <w:sz w:val="16"/>
                <w:szCs w:val="16"/>
                <w:lang w:val="es-MX" w:eastAsia="en-US"/>
              </w:rPr>
              <w:t>Dirección General de lo Contencioso</w:t>
            </w:r>
          </w:p>
          <w:p w14:paraId="32DF5924" w14:textId="77777777" w:rsidR="00423CD2" w:rsidRPr="00FC7306" w:rsidRDefault="004C5984" w:rsidP="004C5984">
            <w:pPr>
              <w:spacing w:before="20" w:after="0"/>
              <w:rPr>
                <w:rFonts w:eastAsia="Times New Roman"/>
                <w:sz w:val="16"/>
                <w:szCs w:val="16"/>
                <w:lang w:val="es-MX" w:eastAsia="en-US"/>
              </w:rPr>
            </w:pPr>
            <w:r w:rsidRPr="004C5984">
              <w:rPr>
                <w:rFonts w:eastAsia="Times New Roman"/>
                <w:sz w:val="16"/>
                <w:szCs w:val="16"/>
                <w:lang w:val="es-MX" w:eastAsia="en-US"/>
              </w:rPr>
              <w:t>Dirección General de Procedimientos Constitucionales</w:t>
            </w:r>
          </w:p>
        </w:tc>
      </w:tr>
      <w:tr w:rsidR="00423CD2" w:rsidRPr="00FC7306" w14:paraId="39182B02" w14:textId="77777777" w:rsidTr="00423CD2">
        <w:tc>
          <w:tcPr>
            <w:tcW w:w="2778" w:type="dxa"/>
            <w:gridSpan w:val="3"/>
          </w:tcPr>
          <w:p w14:paraId="6186E204" w14:textId="77777777" w:rsidR="00423CD2" w:rsidRPr="007D0AB4" w:rsidRDefault="00423CD2" w:rsidP="00423CD2">
            <w:pPr>
              <w:spacing w:before="20"/>
              <w:rPr>
                <w:b/>
                <w:sz w:val="16"/>
                <w:lang w:val="es-ES"/>
              </w:rPr>
            </w:pPr>
            <w:r w:rsidRPr="007D0AB4">
              <w:rPr>
                <w:b/>
                <w:sz w:val="16"/>
                <w:lang w:val="es-ES"/>
              </w:rPr>
              <w:t>Responsables:</w:t>
            </w:r>
          </w:p>
        </w:tc>
        <w:tc>
          <w:tcPr>
            <w:tcW w:w="7145" w:type="dxa"/>
            <w:gridSpan w:val="2"/>
          </w:tcPr>
          <w:p w14:paraId="0E99B096" w14:textId="77777777" w:rsidR="00423CD2" w:rsidRPr="007D0AB4" w:rsidRDefault="00321AA7" w:rsidP="00423CD2">
            <w:pPr>
              <w:spacing w:before="20" w:after="0"/>
              <w:rPr>
                <w:rFonts w:eastAsia="Times New Roman"/>
                <w:sz w:val="16"/>
                <w:szCs w:val="16"/>
                <w:lang w:val="es-MX" w:eastAsia="en-US"/>
              </w:rPr>
            </w:pPr>
            <w:r w:rsidRPr="007D0AB4">
              <w:rPr>
                <w:rFonts w:eastAsia="Times New Roman"/>
                <w:sz w:val="16"/>
                <w:szCs w:val="16"/>
                <w:lang w:val="es-MX" w:eastAsia="en-US"/>
              </w:rPr>
              <w:t xml:space="preserve">No </w:t>
            </w:r>
            <w:r w:rsidRPr="00107872">
              <w:rPr>
                <w:rFonts w:eastAsia="Times New Roman"/>
                <w:sz w:val="16"/>
                <w:szCs w:val="16"/>
                <w:lang w:val="es-MX" w:eastAsia="en-US"/>
              </w:rPr>
              <w:t>disponible</w:t>
            </w:r>
            <w:r w:rsidRPr="00107872">
              <w:rPr>
                <w:rStyle w:val="Refdenotaalpie"/>
                <w:rFonts w:eastAsia="Times New Roman"/>
                <w:sz w:val="16"/>
                <w:szCs w:val="16"/>
                <w:lang w:val="es-MX" w:eastAsia="en-US"/>
              </w:rPr>
              <w:footnoteReference w:id="7"/>
            </w:r>
            <w:r w:rsidR="00107872" w:rsidRPr="00107872">
              <w:rPr>
                <w:sz w:val="16"/>
                <w:szCs w:val="16"/>
                <w:vertAlign w:val="superscript"/>
              </w:rPr>
              <w:t>_/</w:t>
            </w:r>
          </w:p>
        </w:tc>
      </w:tr>
      <w:tr w:rsidR="00423CD2" w:rsidRPr="00FC7306" w14:paraId="5C5614CC" w14:textId="77777777" w:rsidTr="00423CD2">
        <w:tc>
          <w:tcPr>
            <w:tcW w:w="2778" w:type="dxa"/>
            <w:gridSpan w:val="3"/>
            <w:tcBorders>
              <w:bottom w:val="single" w:sz="4" w:space="0" w:color="auto"/>
            </w:tcBorders>
            <w:shd w:val="clear" w:color="auto" w:fill="D9D9D9" w:themeFill="background1" w:themeFillShade="D9"/>
          </w:tcPr>
          <w:p w14:paraId="6F36AE43" w14:textId="77777777" w:rsidR="00423CD2" w:rsidRPr="00FC7306" w:rsidRDefault="00423CD2" w:rsidP="00423CD2">
            <w:pPr>
              <w:spacing w:before="20"/>
              <w:rPr>
                <w:b/>
                <w:sz w:val="16"/>
                <w:lang w:val="es-ES"/>
              </w:rPr>
            </w:pPr>
            <w:r w:rsidRPr="00FC7306">
              <w:rPr>
                <w:b/>
                <w:sz w:val="16"/>
                <w:lang w:val="es-ES"/>
              </w:rPr>
              <w:t>Tipo de Evaluación</w:t>
            </w:r>
            <w:r>
              <w:rPr>
                <w:b/>
                <w:sz w:val="16"/>
                <w:lang w:val="es-ES"/>
              </w:rPr>
              <w:t>:</w:t>
            </w:r>
          </w:p>
        </w:tc>
        <w:tc>
          <w:tcPr>
            <w:tcW w:w="7145" w:type="dxa"/>
            <w:gridSpan w:val="2"/>
            <w:tcBorders>
              <w:bottom w:val="single" w:sz="4" w:space="0" w:color="auto"/>
            </w:tcBorders>
            <w:shd w:val="clear" w:color="auto" w:fill="D9D9D9" w:themeFill="background1" w:themeFillShade="D9"/>
          </w:tcPr>
          <w:p w14:paraId="1FC82592" w14:textId="77777777" w:rsidR="00423CD2" w:rsidRPr="00FC7306" w:rsidRDefault="00423CD2" w:rsidP="00423CD2">
            <w:pPr>
              <w:spacing w:before="20"/>
              <w:rPr>
                <w:sz w:val="16"/>
                <w:lang w:val="es-ES"/>
              </w:rPr>
            </w:pPr>
            <w:r>
              <w:rPr>
                <w:sz w:val="16"/>
                <w:lang w:val="es-ES"/>
              </w:rPr>
              <w:t>Con</w:t>
            </w:r>
            <w:r w:rsidR="004C5984">
              <w:rPr>
                <w:sz w:val="16"/>
                <w:lang w:val="es-ES"/>
              </w:rPr>
              <w:t>sistencia y Resultados, PAE 2017</w:t>
            </w:r>
          </w:p>
        </w:tc>
      </w:tr>
    </w:tbl>
    <w:p w14:paraId="6D68D03D" w14:textId="77777777" w:rsidR="00423CD2" w:rsidRDefault="00423CD2" w:rsidP="00423CD2">
      <w:pPr>
        <w:rPr>
          <w:lang w:eastAsia="en-US"/>
        </w:rPr>
      </w:pPr>
    </w:p>
    <w:p w14:paraId="6909B735" w14:textId="77777777" w:rsidR="00344164" w:rsidRPr="0043350C" w:rsidRDefault="00344164" w:rsidP="00344164">
      <w:pPr>
        <w:spacing w:line="250" w:lineRule="exact"/>
        <w:jc w:val="both"/>
        <w:rPr>
          <w:rFonts w:eastAsia="Times New Roman" w:cs="Arial"/>
          <w:b/>
          <w:szCs w:val="20"/>
          <w:lang w:val="es-ES"/>
        </w:rPr>
      </w:pPr>
      <w:r w:rsidRPr="0043350C">
        <w:rPr>
          <w:rFonts w:eastAsia="Times New Roman" w:cs="Arial"/>
          <w:b/>
          <w:szCs w:val="20"/>
          <w:lang w:val="es-ES"/>
        </w:rPr>
        <w:t xml:space="preserve">Descripción del </w:t>
      </w:r>
      <w:proofErr w:type="spellStart"/>
      <w:r w:rsidRPr="0043350C">
        <w:rPr>
          <w:rFonts w:eastAsia="Times New Roman" w:cs="Arial"/>
          <w:b/>
          <w:szCs w:val="20"/>
          <w:lang w:val="es-ES"/>
        </w:rPr>
        <w:t>Pp</w:t>
      </w:r>
      <w:proofErr w:type="spellEnd"/>
    </w:p>
    <w:p w14:paraId="34C6609E" w14:textId="77777777" w:rsidR="00344164" w:rsidRPr="0043350C" w:rsidRDefault="00DA138C" w:rsidP="00344164">
      <w:pPr>
        <w:pStyle w:val="Cdetexto"/>
      </w:pPr>
      <w:r w:rsidRPr="00DA138C">
        <w:t xml:space="preserve">El </w:t>
      </w:r>
      <w:proofErr w:type="spellStart"/>
      <w:r w:rsidRPr="00DA138C">
        <w:t>P</w:t>
      </w:r>
      <w:r>
        <w:t>p</w:t>
      </w:r>
      <w:proofErr w:type="spellEnd"/>
      <w:r w:rsidRPr="00DA138C">
        <w:t xml:space="preserve"> surge en </w:t>
      </w:r>
      <w:r w:rsidR="00E3257B">
        <w:t xml:space="preserve">el ejercicio fiscal </w:t>
      </w:r>
      <w:r w:rsidRPr="00DA138C">
        <w:t xml:space="preserve">2009. </w:t>
      </w:r>
      <w:r>
        <w:t>E</w:t>
      </w:r>
      <w:r w:rsidRPr="00DA138C">
        <w:t xml:space="preserve">l 2 de enero de 2013, </w:t>
      </w:r>
      <w:r w:rsidRPr="005F6968">
        <w:t>la Ley Orgánica de la Administración Pública Federal</w:t>
      </w:r>
      <w:r w:rsidR="006F4A52">
        <w:t xml:space="preserve"> </w:t>
      </w:r>
      <w:r w:rsidRPr="005F6968">
        <w:t>fue modificada mediante decreto publicado en el DOF</w:t>
      </w:r>
      <w:r w:rsidR="00D73E03">
        <w:t>;</w:t>
      </w:r>
      <w:r w:rsidRPr="005F6968">
        <w:t xml:space="preserve"> </w:t>
      </w:r>
      <w:r w:rsidR="00D73E03">
        <w:t>e</w:t>
      </w:r>
      <w:r w:rsidRPr="005F6968">
        <w:t>llo implicó la desaparición de la Secretaría de Seguridad Pública y la transferencia de sus atribuciones y recursos</w:t>
      </w:r>
      <w:r w:rsidRPr="00DA138C">
        <w:t xml:space="preserve"> a la SEGOB.</w:t>
      </w:r>
    </w:p>
    <w:p w14:paraId="39756A9C" w14:textId="77777777" w:rsidR="00344164" w:rsidRPr="00CA20B9" w:rsidRDefault="00344164" w:rsidP="00344164">
      <w:pPr>
        <w:pStyle w:val="Cdetexto"/>
      </w:pPr>
      <w:r w:rsidRPr="0043350C">
        <w:t xml:space="preserve">El problema </w:t>
      </w:r>
      <w:r>
        <w:t xml:space="preserve">público </w:t>
      </w:r>
      <w:r w:rsidRPr="00270A30">
        <w:t xml:space="preserve">que atiende </w:t>
      </w:r>
      <w:r w:rsidRPr="00CA20B9">
        <w:t xml:space="preserve">el </w:t>
      </w:r>
      <w:proofErr w:type="spellStart"/>
      <w:r w:rsidRPr="00CA20B9">
        <w:t>Pp</w:t>
      </w:r>
      <w:proofErr w:type="spellEnd"/>
      <w:r w:rsidRPr="00CA20B9">
        <w:t xml:space="preserve"> es “</w:t>
      </w:r>
      <w:r w:rsidR="004C5D8C" w:rsidRPr="00CA20B9">
        <w:t>La población no recibe información respecto al Estado de Derecho y la Cultura de la Legalidad</w:t>
      </w:r>
      <w:r w:rsidRPr="00CA20B9">
        <w:t>”.</w:t>
      </w:r>
    </w:p>
    <w:p w14:paraId="6887BB03" w14:textId="77777777" w:rsidR="00423CD2" w:rsidRDefault="00423CD2" w:rsidP="00423CD2">
      <w:pPr>
        <w:pStyle w:val="Cdetexto"/>
      </w:pPr>
      <w:r w:rsidRPr="00CA20B9">
        <w:t xml:space="preserve">El fin del </w:t>
      </w:r>
      <w:proofErr w:type="spellStart"/>
      <w:r w:rsidRPr="00CA20B9">
        <w:t>Pp</w:t>
      </w:r>
      <w:proofErr w:type="spellEnd"/>
      <w:r w:rsidRPr="00CA20B9">
        <w:t xml:space="preserve"> se define como “</w:t>
      </w:r>
      <w:r w:rsidR="000E49D1" w:rsidRPr="00CA20B9">
        <w:t>Contribuir a promover y fortalecer la gobernabilidad democrática mediante las asesorías, opiniones y dictámenes</w:t>
      </w:r>
      <w:r w:rsidR="000E49D1" w:rsidRPr="000E49D1">
        <w:t xml:space="preserve"> en materia jurídica al Secretario, a los servidores públicos de la Institución, Unidades Administrativas, Órganos Desconcentrados y Entidades del Sector, así </w:t>
      </w:r>
      <w:r w:rsidR="000E49D1" w:rsidRPr="002D4831">
        <w:t xml:space="preserve">como en el análisis y dictamen de anteproyectos, proyectos de iniciativa de leyes, decretos legislativos, reglamentos y demás disposiciones normativas en los que la Secretaria tenga injerencia, </w:t>
      </w:r>
      <w:r w:rsidR="002D4831" w:rsidRPr="002D4831">
        <w:t>ademá</w:t>
      </w:r>
      <w:r w:rsidR="000E49D1" w:rsidRPr="002D4831">
        <w:t>s de</w:t>
      </w:r>
      <w:r w:rsidR="000E49D1" w:rsidRPr="000E49D1">
        <w:t xml:space="preserve"> representar a la Secretaria de Gobernación en asuntos contenciosos, de procedimientos constitucionales y amparo</w:t>
      </w:r>
      <w:r w:rsidRPr="00AE1BFC">
        <w:t>”</w:t>
      </w:r>
      <w:r>
        <w:t>.</w:t>
      </w:r>
    </w:p>
    <w:p w14:paraId="3A1E41D9" w14:textId="77777777" w:rsidR="00423CD2" w:rsidRDefault="00423CD2" w:rsidP="00423CD2">
      <w:pPr>
        <w:pStyle w:val="Cdetexto"/>
      </w:pPr>
      <w:r w:rsidRPr="0071126D">
        <w:t xml:space="preserve">El propósito del </w:t>
      </w:r>
      <w:proofErr w:type="spellStart"/>
      <w:r w:rsidRPr="0071126D">
        <w:t>Pp</w:t>
      </w:r>
      <w:proofErr w:type="spellEnd"/>
      <w:r w:rsidRPr="0071126D">
        <w:t xml:space="preserve"> </w:t>
      </w:r>
      <w:r>
        <w:t>es “</w:t>
      </w:r>
      <w:r w:rsidR="000E49D1" w:rsidRPr="000E49D1">
        <w:t xml:space="preserve">Dar </w:t>
      </w:r>
      <w:r w:rsidR="000E49D1" w:rsidRPr="002D4831">
        <w:t xml:space="preserve">certeza Legal al Secretario, a las Unidades Administrativas, a los </w:t>
      </w:r>
      <w:r w:rsidR="002D4831" w:rsidRPr="002D4831">
        <w:t>Ó</w:t>
      </w:r>
      <w:r w:rsidR="000E49D1" w:rsidRPr="002D4831">
        <w:t xml:space="preserve">rganos Administrativos Desconcentrados de la Secretaría y a las entidades del sector, a través de la coordinación de las </w:t>
      </w:r>
      <w:r w:rsidR="002D4831" w:rsidRPr="002D4831">
        <w:t>Asesorí</w:t>
      </w:r>
      <w:r w:rsidR="000E49D1" w:rsidRPr="002D4831">
        <w:t>as Jurídicas</w:t>
      </w:r>
      <w:r w:rsidR="000E49D1" w:rsidRPr="000E49D1">
        <w:t xml:space="preserve"> apegadas a Derecho, así como la defensa en materia contenciosa y proce</w:t>
      </w:r>
      <w:r w:rsidR="000E49D1">
        <w:t>d</w:t>
      </w:r>
      <w:r w:rsidR="002D4831">
        <w:t>imientos constitucionales”</w:t>
      </w:r>
      <w:r w:rsidR="000E49D1">
        <w:t>.</w:t>
      </w:r>
    </w:p>
    <w:p w14:paraId="35D100EB" w14:textId="77777777" w:rsidR="007534E0" w:rsidRDefault="007534E0" w:rsidP="00344164">
      <w:pPr>
        <w:pStyle w:val="Cdetexto"/>
      </w:pPr>
      <w:r>
        <w:t>El</w:t>
      </w:r>
      <w:r w:rsidRPr="007534E0">
        <w:t xml:space="preserve"> </w:t>
      </w:r>
      <w:proofErr w:type="spellStart"/>
      <w:r w:rsidRPr="007534E0">
        <w:t>P</w:t>
      </w:r>
      <w:r>
        <w:t>p</w:t>
      </w:r>
      <w:proofErr w:type="spellEnd"/>
      <w:r w:rsidRPr="007534E0">
        <w:t xml:space="preserve"> no cuenta con un documento oficial o diagnóstico en el que se defina el </w:t>
      </w:r>
      <w:proofErr w:type="spellStart"/>
      <w:r>
        <w:t>AEPo</w:t>
      </w:r>
      <w:proofErr w:type="spellEnd"/>
      <w:r>
        <w:t>, AEO y AEA.</w:t>
      </w:r>
    </w:p>
    <w:p w14:paraId="2E1CFE1B" w14:textId="77777777" w:rsidR="00270A30" w:rsidRDefault="00270A30" w:rsidP="00344164">
      <w:pPr>
        <w:pStyle w:val="Cdetexto"/>
      </w:pPr>
      <w:r>
        <w:lastRenderedPageBreak/>
        <w:t xml:space="preserve">El </w:t>
      </w:r>
      <w:proofErr w:type="spellStart"/>
      <w:r>
        <w:t>Pp</w:t>
      </w:r>
      <w:proofErr w:type="spellEnd"/>
      <w:r>
        <w:t xml:space="preserve"> se vincula con la planeación nacional a través del </w:t>
      </w:r>
      <w:r w:rsidR="007534E0" w:rsidRPr="007534E0">
        <w:t>Objetivo 1.1</w:t>
      </w:r>
      <w:r w:rsidR="000E49D1">
        <w:t>.</w:t>
      </w:r>
      <w:r w:rsidR="007534E0" w:rsidRPr="007534E0">
        <w:t xml:space="preserve"> Promover y fortalece</w:t>
      </w:r>
      <w:r w:rsidR="000E49D1">
        <w:t>r la gobernabilidad democrática,</w:t>
      </w:r>
      <w:r w:rsidR="007534E0" w:rsidRPr="007534E0">
        <w:t xml:space="preserve"> </w:t>
      </w:r>
      <w:r>
        <w:t xml:space="preserve">de la Meta Nacional I. </w:t>
      </w:r>
      <w:r w:rsidRPr="00270A30">
        <w:t xml:space="preserve">México </w:t>
      </w:r>
      <w:r w:rsidR="000E49D1">
        <w:t xml:space="preserve">en Paz </w:t>
      </w:r>
      <w:r>
        <w:t>del PND.</w:t>
      </w:r>
    </w:p>
    <w:p w14:paraId="294D1745" w14:textId="77777777" w:rsidR="00344164" w:rsidRPr="0043350C" w:rsidRDefault="00344164" w:rsidP="00344164">
      <w:pPr>
        <w:spacing w:line="250" w:lineRule="exact"/>
        <w:jc w:val="both"/>
        <w:rPr>
          <w:rFonts w:eastAsia="Times New Roman" w:cs="Arial"/>
          <w:b/>
          <w:szCs w:val="20"/>
          <w:lang w:val="es-ES"/>
        </w:rPr>
      </w:pPr>
      <w:r w:rsidRPr="0043350C">
        <w:rPr>
          <w:rFonts w:eastAsia="Times New Roman" w:cs="Arial"/>
          <w:b/>
          <w:szCs w:val="20"/>
          <w:lang w:val="es-ES"/>
        </w:rPr>
        <w:t>Principales Hallazgos</w:t>
      </w:r>
    </w:p>
    <w:p w14:paraId="0D827428" w14:textId="77777777" w:rsidR="00344164" w:rsidRPr="0043350C" w:rsidRDefault="00344164" w:rsidP="00344164">
      <w:pPr>
        <w:spacing w:line="250" w:lineRule="exact"/>
        <w:jc w:val="both"/>
        <w:rPr>
          <w:i/>
          <w:lang w:val="es-ES"/>
        </w:rPr>
      </w:pPr>
      <w:r w:rsidRPr="0043350C">
        <w:rPr>
          <w:i/>
          <w:lang w:val="es-ES"/>
        </w:rPr>
        <w:t>Diseño:</w:t>
      </w:r>
    </w:p>
    <w:p w14:paraId="60AEDDF3" w14:textId="77777777" w:rsidR="00344164" w:rsidRPr="0043350C" w:rsidRDefault="00A826A9" w:rsidP="00344164">
      <w:pPr>
        <w:pStyle w:val="Cdetexto"/>
      </w:pPr>
      <w:r w:rsidRPr="00A826A9">
        <w:t xml:space="preserve">El </w:t>
      </w:r>
      <w:proofErr w:type="spellStart"/>
      <w:r w:rsidRPr="00A826A9">
        <w:t>P</w:t>
      </w:r>
      <w:r>
        <w:t>p</w:t>
      </w:r>
      <w:proofErr w:type="spellEnd"/>
      <w:r w:rsidRPr="00A826A9">
        <w:t xml:space="preserve"> presenta oportunidades de mejora en la determinación y actualización de su </w:t>
      </w:r>
      <w:r>
        <w:t>problema c</w:t>
      </w:r>
      <w:r w:rsidRPr="00A826A9">
        <w:t xml:space="preserve">entral, lo cual afecta </w:t>
      </w:r>
      <w:r w:rsidR="00DC58DF">
        <w:t>su</w:t>
      </w:r>
      <w:r w:rsidRPr="00A826A9">
        <w:t xml:space="preserve"> lógica </w:t>
      </w:r>
      <w:r w:rsidR="00DC58DF">
        <w:t xml:space="preserve">de </w:t>
      </w:r>
      <w:r w:rsidRPr="00A826A9">
        <w:t>causas y efectos</w:t>
      </w:r>
      <w:r w:rsidR="00DC58DF">
        <w:t xml:space="preserve"> a</w:t>
      </w:r>
      <w:r w:rsidRPr="00A826A9">
        <w:t xml:space="preserve"> medios y fines</w:t>
      </w:r>
      <w:r>
        <w:t>;</w:t>
      </w:r>
      <w:r w:rsidRPr="00A826A9">
        <w:t xml:space="preserve"> </w:t>
      </w:r>
      <w:r>
        <w:t xml:space="preserve">también </w:t>
      </w:r>
      <w:r w:rsidRPr="00A826A9">
        <w:t>presenta inconsistencia entre los servicios o productos que ofrece y la modalida</w:t>
      </w:r>
      <w:r>
        <w:t>d</w:t>
      </w:r>
      <w:r w:rsidRPr="00A826A9">
        <w:t xml:space="preserve"> </w:t>
      </w:r>
      <w:r w:rsidR="00DC58DF">
        <w:t xml:space="preserve">presupuestaria </w:t>
      </w:r>
      <w:r w:rsidRPr="00A826A9">
        <w:t xml:space="preserve">que </w:t>
      </w:r>
      <w:r w:rsidR="00DC58DF">
        <w:t xml:space="preserve">tiene </w:t>
      </w:r>
      <w:r w:rsidRPr="00A826A9">
        <w:t xml:space="preserve">asignada. </w:t>
      </w:r>
      <w:r w:rsidR="00DC58DF">
        <w:t xml:space="preserve">El AEO del </w:t>
      </w:r>
      <w:proofErr w:type="spellStart"/>
      <w:r w:rsidR="00DC58DF">
        <w:t>Pp</w:t>
      </w:r>
      <w:proofErr w:type="spellEnd"/>
      <w:r w:rsidR="00DC58DF">
        <w:t xml:space="preserve"> no cuenta</w:t>
      </w:r>
      <w:r w:rsidRPr="00A826A9">
        <w:t xml:space="preserve"> con un</w:t>
      </w:r>
      <w:r>
        <w:t>i</w:t>
      </w:r>
      <w:r w:rsidRPr="00A826A9">
        <w:t>dad de medida, cuantificación, caracterización, desag</w:t>
      </w:r>
      <w:r w:rsidR="00DC58DF">
        <w:t>regación por sexo y geográfica ni</w:t>
      </w:r>
      <w:r w:rsidRPr="00A826A9">
        <w:t xml:space="preserve"> plazos para su revisión y actualización. </w:t>
      </w:r>
      <w:r w:rsidR="00DC58DF">
        <w:t>Asimismo, l</w:t>
      </w:r>
      <w:r w:rsidRPr="00A826A9">
        <w:t>as metas de los indicadores tienen un cálculo conservador</w:t>
      </w:r>
      <w:r w:rsidR="00270A30" w:rsidRPr="00270A30">
        <w:t>.</w:t>
      </w:r>
    </w:p>
    <w:p w14:paraId="2F858EB1" w14:textId="77777777" w:rsidR="00344164" w:rsidRPr="0043350C" w:rsidRDefault="00344164" w:rsidP="00344164">
      <w:pPr>
        <w:spacing w:line="250" w:lineRule="exact"/>
        <w:jc w:val="both"/>
        <w:rPr>
          <w:i/>
          <w:lang w:val="es-ES"/>
        </w:rPr>
      </w:pPr>
      <w:r w:rsidRPr="0043350C">
        <w:rPr>
          <w:i/>
          <w:lang w:val="es-ES"/>
        </w:rPr>
        <w:t>Planeación y Orientación a Resultados:</w:t>
      </w:r>
    </w:p>
    <w:p w14:paraId="31BFE6DB" w14:textId="77777777" w:rsidR="00344164" w:rsidRPr="0043350C" w:rsidRDefault="00DC58DF" w:rsidP="00344164">
      <w:pPr>
        <w:pStyle w:val="Cdetexto"/>
      </w:pPr>
      <w:r w:rsidRPr="00A03191">
        <w:t xml:space="preserve">Si bien la </w:t>
      </w:r>
      <w:r w:rsidR="007958DE" w:rsidRPr="00A03191">
        <w:t xml:space="preserve">Unidad General de Asuntos Jurídicos </w:t>
      </w:r>
      <w:r w:rsidRPr="00A03191">
        <w:t>proporcionó información que muestra que el P</w:t>
      </w:r>
      <w:r w:rsidR="007958DE" w:rsidRPr="00A03191">
        <w:t xml:space="preserve">rograma </w:t>
      </w:r>
      <w:r w:rsidRPr="00A03191">
        <w:t>A</w:t>
      </w:r>
      <w:r w:rsidR="007958DE" w:rsidRPr="00A03191">
        <w:t xml:space="preserve">nual de </w:t>
      </w:r>
      <w:r w:rsidRPr="00A03191">
        <w:t>T</w:t>
      </w:r>
      <w:r w:rsidR="00A03191" w:rsidRPr="00A03191">
        <w:t>rabajo</w:t>
      </w:r>
      <w:r w:rsidRPr="00A03191">
        <w:t xml:space="preserve"> es el reporte de la MIR, existen inconsistencias entre ambos. Se carece de una metodología para diseñar el </w:t>
      </w:r>
      <w:r w:rsidR="00A03191" w:rsidRPr="00A03191">
        <w:t xml:space="preserve">Programa Anual de Trabajo </w:t>
      </w:r>
      <w:r w:rsidRPr="00A03191">
        <w:t xml:space="preserve">y de periodos y mecanismos para realizar su actualización. Los Aspectos Susceptibles de Mejora </w:t>
      </w:r>
      <w:r w:rsidR="00A03191" w:rsidRPr="00A03191">
        <w:t xml:space="preserve">(ASM) </w:t>
      </w:r>
      <w:r w:rsidRPr="00A03191">
        <w:t>no muestran</w:t>
      </w:r>
      <w:r w:rsidRPr="00DC58DF">
        <w:t xml:space="preserve"> grado de avance y no consideran el mecanismo para el</w:t>
      </w:r>
      <w:r w:rsidR="00484AAB">
        <w:t xml:space="preserve"> </w:t>
      </w:r>
      <w:r w:rsidRPr="00DC58DF">
        <w:t>seguimiento a los ASM establecido por la SHCP</w:t>
      </w:r>
      <w:r>
        <w:t>.</w:t>
      </w:r>
    </w:p>
    <w:p w14:paraId="2A082F22" w14:textId="77777777" w:rsidR="00344164" w:rsidRPr="0043350C" w:rsidRDefault="00344164" w:rsidP="00344164">
      <w:pPr>
        <w:spacing w:before="240" w:line="250" w:lineRule="exact"/>
        <w:jc w:val="both"/>
        <w:rPr>
          <w:i/>
          <w:lang w:val="es-ES"/>
        </w:rPr>
      </w:pPr>
      <w:r w:rsidRPr="0043350C">
        <w:rPr>
          <w:i/>
          <w:szCs w:val="22"/>
        </w:rPr>
        <w:t>Cobertura y Focalización:</w:t>
      </w:r>
    </w:p>
    <w:p w14:paraId="17050172" w14:textId="77777777" w:rsidR="00344164" w:rsidRPr="00380784" w:rsidRDefault="00CA20B9" w:rsidP="00344164">
      <w:pPr>
        <w:pStyle w:val="Cdetexto"/>
      </w:pPr>
      <w:r w:rsidRPr="00CA20B9">
        <w:t xml:space="preserve">Dado que los componentes del </w:t>
      </w:r>
      <w:proofErr w:type="spellStart"/>
      <w:r w:rsidRPr="00CA20B9">
        <w:t>P</w:t>
      </w:r>
      <w:r>
        <w:t>p</w:t>
      </w:r>
      <w:proofErr w:type="spellEnd"/>
      <w:r w:rsidRPr="00CA20B9">
        <w:t xml:space="preserve"> se </w:t>
      </w:r>
      <w:r>
        <w:t xml:space="preserve">entregan </w:t>
      </w:r>
      <w:r w:rsidRPr="00CA20B9">
        <w:t>a demanda, se atiende 100% de las solicitudes, dictámenes, consultas, contestaciones a demandas, informes en los juicios de amparo o publicación en línea de Ordenamientos Jurídicos Nacionales</w:t>
      </w:r>
      <w:r>
        <w:t>. Considerando lo anterior, e</w:t>
      </w:r>
      <w:r w:rsidRPr="007958DE">
        <w:t xml:space="preserve">l </w:t>
      </w:r>
      <w:proofErr w:type="spellStart"/>
      <w:r w:rsidRPr="007958DE">
        <w:t>Pp</w:t>
      </w:r>
      <w:proofErr w:type="spellEnd"/>
      <w:r w:rsidRPr="007958DE">
        <w:t xml:space="preserve"> obtiene la valoración más alta posi</w:t>
      </w:r>
      <w:r>
        <w:t>ble en este apartado.</w:t>
      </w:r>
    </w:p>
    <w:p w14:paraId="361540F1" w14:textId="77777777" w:rsidR="00344164" w:rsidRPr="00380784" w:rsidRDefault="00344164" w:rsidP="00344164">
      <w:pPr>
        <w:spacing w:before="240" w:line="250" w:lineRule="exact"/>
        <w:contextualSpacing/>
        <w:jc w:val="both"/>
        <w:rPr>
          <w:i/>
          <w:szCs w:val="18"/>
        </w:rPr>
      </w:pPr>
      <w:r w:rsidRPr="00380784">
        <w:rPr>
          <w:i/>
          <w:szCs w:val="18"/>
        </w:rPr>
        <w:t>Operación:</w:t>
      </w:r>
    </w:p>
    <w:p w14:paraId="68691ED0" w14:textId="77777777" w:rsidR="00344164" w:rsidRPr="0043350C" w:rsidRDefault="003C4016" w:rsidP="00344164">
      <w:pPr>
        <w:pStyle w:val="Cdetexto"/>
      </w:pPr>
      <w:r>
        <w:t xml:space="preserve">El </w:t>
      </w:r>
      <w:proofErr w:type="spellStart"/>
      <w:r>
        <w:t>Pp</w:t>
      </w:r>
      <w:proofErr w:type="spellEnd"/>
      <w:r w:rsidRPr="003C4016">
        <w:t xml:space="preserve"> obtiene una alta valoración derivada </w:t>
      </w:r>
      <w:r w:rsidR="00687709">
        <w:t>de</w:t>
      </w:r>
      <w:r w:rsidRPr="003C4016">
        <w:t xml:space="preserve"> su buen registro operativo. </w:t>
      </w:r>
      <w:r>
        <w:t xml:space="preserve">Igualmente, el </w:t>
      </w:r>
      <w:proofErr w:type="spellStart"/>
      <w:r>
        <w:t>Pp</w:t>
      </w:r>
      <w:proofErr w:type="spellEnd"/>
      <w:r w:rsidRPr="003C4016">
        <w:t xml:space="preserve"> cuenta con mecanismos y procedimientos estandarizados</w:t>
      </w:r>
      <w:r>
        <w:t xml:space="preserve"> para la entrega de servicios a</w:t>
      </w:r>
      <w:r w:rsidRPr="003C4016">
        <w:t>l</w:t>
      </w:r>
      <w:r>
        <w:t xml:space="preserve"> AEO</w:t>
      </w:r>
      <w:r w:rsidRPr="003C4016">
        <w:t>, el reto es vincularlos entre sí y establecerlos en un documento de planeación (Manual de Organización y Manual de Procedimientos).</w:t>
      </w:r>
    </w:p>
    <w:p w14:paraId="23CFF36C" w14:textId="77777777" w:rsidR="00344164" w:rsidRPr="0043350C" w:rsidRDefault="00344164" w:rsidP="00344164">
      <w:pPr>
        <w:pStyle w:val="Cdetexto"/>
      </w:pPr>
      <w:r w:rsidRPr="0043350C">
        <w:rPr>
          <w:i/>
          <w:szCs w:val="22"/>
        </w:rPr>
        <w:t>Percepción de la Población Atendida:</w:t>
      </w:r>
    </w:p>
    <w:p w14:paraId="7BBA3240" w14:textId="77777777" w:rsidR="00344164" w:rsidRDefault="003C4016" w:rsidP="00344164">
      <w:pPr>
        <w:pStyle w:val="Cdetexto"/>
      </w:pPr>
      <w:r>
        <w:t xml:space="preserve">El </w:t>
      </w:r>
      <w:proofErr w:type="spellStart"/>
      <w:r>
        <w:t>Pp</w:t>
      </w:r>
      <w:proofErr w:type="spellEnd"/>
      <w:r w:rsidRPr="003C4016">
        <w:t xml:space="preserve"> no cuenta con instrumentos para medir el grado de satisfacción de sus usuarios externos, aquéllos que pueden consultar los registros del </w:t>
      </w:r>
      <w:r>
        <w:t>Registro Na</w:t>
      </w:r>
      <w:r w:rsidR="00A03191">
        <w:t>cional de Avisos de Testamento</w:t>
      </w:r>
      <w:r w:rsidRPr="003C4016">
        <w:t xml:space="preserve"> y </w:t>
      </w:r>
      <w:r>
        <w:t>Registro Nacional d</w:t>
      </w:r>
      <w:r w:rsidR="00A03191">
        <w:t>e Avisos de Poderes Notariales</w:t>
      </w:r>
      <w:r>
        <w:t>,</w:t>
      </w:r>
      <w:r w:rsidRPr="003C4016">
        <w:t xml:space="preserve"> así como el sitio </w:t>
      </w:r>
      <w:r w:rsidRPr="00484AAB">
        <w:rPr>
          <w:i/>
        </w:rPr>
        <w:t>web</w:t>
      </w:r>
      <w:r w:rsidRPr="003C4016">
        <w:t xml:space="preserve"> del Orden Jurídico Nacional</w:t>
      </w:r>
      <w:r w:rsidR="0035142F" w:rsidRPr="0035142F">
        <w:t>.</w:t>
      </w:r>
    </w:p>
    <w:p w14:paraId="3126AE0C" w14:textId="77777777" w:rsidR="00344164" w:rsidRPr="0043350C" w:rsidRDefault="00344164" w:rsidP="00344164">
      <w:pPr>
        <w:pStyle w:val="Cdetexto"/>
        <w:rPr>
          <w:i/>
          <w:szCs w:val="22"/>
        </w:rPr>
      </w:pPr>
      <w:r w:rsidRPr="0043350C">
        <w:rPr>
          <w:i/>
          <w:szCs w:val="22"/>
        </w:rPr>
        <w:t>Medición de Resultados:</w:t>
      </w:r>
    </w:p>
    <w:p w14:paraId="33EFD24F" w14:textId="77777777" w:rsidR="00344164" w:rsidRDefault="003C4016" w:rsidP="0035142F">
      <w:pPr>
        <w:pStyle w:val="Cdetexto"/>
      </w:pPr>
      <w:r w:rsidRPr="003C4016">
        <w:t xml:space="preserve">El </w:t>
      </w:r>
      <w:proofErr w:type="spellStart"/>
      <w:r w:rsidRPr="003C4016">
        <w:t>P</w:t>
      </w:r>
      <w:r>
        <w:t>p</w:t>
      </w:r>
      <w:proofErr w:type="spellEnd"/>
      <w:r w:rsidRPr="003C4016">
        <w:t xml:space="preserve"> no documenta los resultados ni se reporta el avance de metas a nivel </w:t>
      </w:r>
      <w:r>
        <w:t>de p</w:t>
      </w:r>
      <w:r w:rsidRPr="003C4016">
        <w:t xml:space="preserve">ropósito y </w:t>
      </w:r>
      <w:r>
        <w:t>f</w:t>
      </w:r>
      <w:r w:rsidR="00687709">
        <w:t>in. Asimismo, e</w:t>
      </w:r>
      <w:r w:rsidRPr="003C4016">
        <w:t xml:space="preserve">l </w:t>
      </w:r>
      <w:proofErr w:type="spellStart"/>
      <w:r w:rsidRPr="003C4016">
        <w:t>P</w:t>
      </w:r>
      <w:r>
        <w:t>p</w:t>
      </w:r>
      <w:proofErr w:type="spellEnd"/>
      <w:r w:rsidRPr="003C4016">
        <w:t xml:space="preserve"> no cuenta con documentos o estudios que indiquen </w:t>
      </w:r>
      <w:r>
        <w:t xml:space="preserve">sus </w:t>
      </w:r>
      <w:r w:rsidRPr="003C4016">
        <w:t>efectos o impactos</w:t>
      </w:r>
      <w:r w:rsidR="0035142F">
        <w:t>.</w:t>
      </w:r>
    </w:p>
    <w:p w14:paraId="1263F346" w14:textId="77777777" w:rsidR="00344164" w:rsidRPr="0043350C" w:rsidRDefault="00344164" w:rsidP="00344164">
      <w:pPr>
        <w:spacing w:line="250" w:lineRule="exact"/>
        <w:jc w:val="both"/>
        <w:rPr>
          <w:rFonts w:eastAsia="Times New Roman" w:cs="Arial"/>
          <w:b/>
          <w:szCs w:val="20"/>
          <w:lang w:val="es-ES"/>
        </w:rPr>
      </w:pPr>
      <w:r w:rsidRPr="0043350C">
        <w:rPr>
          <w:rFonts w:eastAsia="Times New Roman" w:cs="Arial"/>
          <w:b/>
          <w:szCs w:val="20"/>
          <w:lang w:val="es-ES"/>
        </w:rPr>
        <w:t>Principales Recomendaciones</w:t>
      </w:r>
    </w:p>
    <w:p w14:paraId="1F787E5A" w14:textId="77777777" w:rsidR="00665C42" w:rsidRDefault="00CA20B9" w:rsidP="00CA20B9">
      <w:pPr>
        <w:pStyle w:val="Bala"/>
        <w:numPr>
          <w:ilvl w:val="0"/>
          <w:numId w:val="1"/>
        </w:numPr>
        <w:ind w:left="357" w:hanging="357"/>
      </w:pPr>
      <w:r>
        <w:t>Elaborar</w:t>
      </w:r>
      <w:r w:rsidR="00665C42">
        <w:t xml:space="preserve"> un diagnóstico específico de</w:t>
      </w:r>
      <w:r>
        <w:t>l</w:t>
      </w:r>
      <w:r w:rsidR="00665C42">
        <w:t xml:space="preserve"> </w:t>
      </w:r>
      <w:proofErr w:type="spellStart"/>
      <w:r w:rsidR="00665C42">
        <w:t>P</w:t>
      </w:r>
      <w:r>
        <w:t>p</w:t>
      </w:r>
      <w:proofErr w:type="spellEnd"/>
      <w:r w:rsidR="00665C42">
        <w:t xml:space="preserve"> que ayude, entre otros, a tener un sólido diseño del </w:t>
      </w:r>
      <w:proofErr w:type="spellStart"/>
      <w:r w:rsidR="00665C42">
        <w:t>P</w:t>
      </w:r>
      <w:r w:rsidR="00C50EC3">
        <w:t>p</w:t>
      </w:r>
      <w:proofErr w:type="spellEnd"/>
      <w:r w:rsidR="00665C42">
        <w:t xml:space="preserve"> y a integrar </w:t>
      </w:r>
      <w:r w:rsidR="00C50EC3">
        <w:t xml:space="preserve">sus </w:t>
      </w:r>
      <w:r w:rsidR="00665C42">
        <w:t>diversos elementos en un solo documento.</w:t>
      </w:r>
    </w:p>
    <w:p w14:paraId="6C9405D4" w14:textId="77777777" w:rsidR="004C5D8C" w:rsidRDefault="00C50EC3" w:rsidP="00CA20B9">
      <w:pPr>
        <w:pStyle w:val="Bala"/>
        <w:numPr>
          <w:ilvl w:val="0"/>
          <w:numId w:val="1"/>
        </w:numPr>
        <w:ind w:left="357" w:hanging="357"/>
      </w:pPr>
      <w:r>
        <w:lastRenderedPageBreak/>
        <w:t>D</w:t>
      </w:r>
      <w:r w:rsidR="00665C42">
        <w:t xml:space="preserve">iseñar un Manual de </w:t>
      </w:r>
      <w:r>
        <w:t>Organización</w:t>
      </w:r>
      <w:r w:rsidR="00665C42">
        <w:t xml:space="preserve"> y un Manual de Procedimientos donde </w:t>
      </w:r>
      <w:r>
        <w:t>se incluya</w:t>
      </w:r>
      <w:r w:rsidR="00665C42">
        <w:t xml:space="preserve"> la vinculación entre los Manuales de Usuario existentes y entre los Sistemas de Información que muestran registros de calidad para el</w:t>
      </w:r>
      <w:r>
        <w:t xml:space="preserve"> diseño de mejores indicadores.</w:t>
      </w:r>
    </w:p>
    <w:p w14:paraId="05B08CA2" w14:textId="77777777" w:rsidR="00C50EC3" w:rsidRPr="00A03191" w:rsidRDefault="00C50EC3" w:rsidP="00C50EC3">
      <w:pPr>
        <w:pStyle w:val="Bala"/>
        <w:numPr>
          <w:ilvl w:val="0"/>
          <w:numId w:val="1"/>
        </w:numPr>
        <w:ind w:left="357" w:hanging="357"/>
      </w:pPr>
      <w:r>
        <w:t>G</w:t>
      </w:r>
      <w:r w:rsidRPr="00C50EC3">
        <w:t>ener</w:t>
      </w:r>
      <w:r>
        <w:t>ar</w:t>
      </w:r>
      <w:r w:rsidRPr="00C50EC3">
        <w:t xml:space="preserve"> </w:t>
      </w:r>
      <w:r w:rsidRPr="00A03191">
        <w:t>mecanismos para medir el nivel de satisfacción de usuarios.</w:t>
      </w:r>
    </w:p>
    <w:p w14:paraId="610FC4A4" w14:textId="77777777" w:rsidR="00665C42" w:rsidRDefault="00C50EC3" w:rsidP="00CA20B9">
      <w:pPr>
        <w:pStyle w:val="Bala"/>
        <w:numPr>
          <w:ilvl w:val="0"/>
          <w:numId w:val="1"/>
        </w:numPr>
        <w:ind w:left="357" w:hanging="357"/>
      </w:pPr>
      <w:r w:rsidRPr="00A03191">
        <w:t>R</w:t>
      </w:r>
      <w:r w:rsidR="00665C42" w:rsidRPr="00A03191">
        <w:t>etomar y atender los ASM</w:t>
      </w:r>
      <w:r w:rsidRPr="00A03191">
        <w:t xml:space="preserve"> generados</w:t>
      </w:r>
      <w:r>
        <w:t xml:space="preserve"> a partir de la Evaluación en materia de Diseño realizada en 2016, </w:t>
      </w:r>
      <w:r w:rsidR="00E3257B">
        <w:t xml:space="preserve">utilizando </w:t>
      </w:r>
      <w:r w:rsidR="00665C42">
        <w:t xml:space="preserve">la metodología </w:t>
      </w:r>
      <w:r w:rsidR="00E3257B">
        <w:t xml:space="preserve">definida </w:t>
      </w:r>
      <w:r w:rsidR="00665C42">
        <w:t xml:space="preserve">en el </w:t>
      </w:r>
      <w:r>
        <w:t>“Mecanismo para el seguimiento a los aspectos susceptibles de mejora derivados de los informes y evaluaciones externas a programas federales 2008”.</w:t>
      </w:r>
    </w:p>
    <w:p w14:paraId="34F7C4B6" w14:textId="77777777" w:rsidR="00423CD2" w:rsidRPr="0087217E" w:rsidRDefault="00423CD2" w:rsidP="00423CD2">
      <w:pPr>
        <w:pStyle w:val="Bala"/>
        <w:spacing w:line="250" w:lineRule="exact"/>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23CD2" w:rsidRPr="00FC7306" w14:paraId="57061225" w14:textId="77777777" w:rsidTr="00423CD2">
        <w:trPr>
          <w:trHeight w:val="675"/>
        </w:trPr>
        <w:tc>
          <w:tcPr>
            <w:tcW w:w="749" w:type="pct"/>
            <w:vAlign w:val="center"/>
          </w:tcPr>
          <w:p w14:paraId="20423AA2" w14:textId="77777777" w:rsidR="00423CD2" w:rsidRPr="00FC7306" w:rsidRDefault="00423CD2" w:rsidP="00423CD2">
            <w:pPr>
              <w:spacing w:before="20" w:after="0"/>
              <w:ind w:left="170"/>
              <w:rPr>
                <w:b/>
                <w:sz w:val="16"/>
                <w:lang w:val="es-ES"/>
              </w:rPr>
            </w:pPr>
            <w:r w:rsidRPr="00FC7306">
              <w:rPr>
                <w:b/>
                <w:sz w:val="16"/>
                <w:lang w:val="es-ES"/>
              </w:rPr>
              <w:t>Evaluador Externo</w:t>
            </w:r>
            <w:r>
              <w:rPr>
                <w:b/>
                <w:sz w:val="16"/>
                <w:lang w:val="es-ES"/>
              </w:rPr>
              <w:t>:</w:t>
            </w:r>
          </w:p>
        </w:tc>
        <w:tc>
          <w:tcPr>
            <w:tcW w:w="4251" w:type="pct"/>
            <w:gridSpan w:val="3"/>
            <w:vAlign w:val="center"/>
          </w:tcPr>
          <w:p w14:paraId="27D01B64" w14:textId="77777777" w:rsidR="00423CD2" w:rsidRPr="001D5EDD" w:rsidRDefault="00423CD2" w:rsidP="00423CD2">
            <w:pPr>
              <w:spacing w:before="20" w:after="0"/>
              <w:ind w:left="113"/>
              <w:rPr>
                <w:rFonts w:eastAsia="Times New Roman"/>
                <w:sz w:val="16"/>
                <w:szCs w:val="16"/>
                <w:lang w:val="es-MX" w:eastAsia="en-US"/>
              </w:rPr>
            </w:pPr>
            <w:r w:rsidRPr="001D5EDD">
              <w:rPr>
                <w:sz w:val="16"/>
                <w:lang w:val="es-ES"/>
              </w:rPr>
              <w:t xml:space="preserve">1. Instancia Evaluadora: </w:t>
            </w:r>
            <w:r w:rsidR="004C5984">
              <w:rPr>
                <w:sz w:val="16"/>
                <w:lang w:val="es-ES"/>
              </w:rPr>
              <w:t>GR. TR., S.C.</w:t>
            </w:r>
          </w:p>
          <w:p w14:paraId="75B78A31" w14:textId="77777777" w:rsidR="00423CD2" w:rsidRPr="001D5EDD" w:rsidRDefault="00423CD2" w:rsidP="00423CD2">
            <w:pPr>
              <w:spacing w:before="20" w:after="0"/>
              <w:ind w:left="113"/>
              <w:rPr>
                <w:sz w:val="16"/>
                <w:lang w:val="es-ES"/>
              </w:rPr>
            </w:pPr>
            <w:r w:rsidRPr="001D5EDD">
              <w:rPr>
                <w:sz w:val="16"/>
                <w:lang w:val="es-ES"/>
              </w:rPr>
              <w:t xml:space="preserve">2. Coordinador de la Evaluación: </w:t>
            </w:r>
            <w:r w:rsidR="00DA138C" w:rsidRPr="00DA138C">
              <w:rPr>
                <w:sz w:val="16"/>
                <w:lang w:val="es-ES"/>
              </w:rPr>
              <w:t xml:space="preserve">América Elvira Hernández </w:t>
            </w:r>
            <w:proofErr w:type="spellStart"/>
            <w:r w:rsidR="00DA138C" w:rsidRPr="00DA138C">
              <w:rPr>
                <w:sz w:val="16"/>
                <w:lang w:val="es-ES"/>
              </w:rPr>
              <w:t>Veráztica</w:t>
            </w:r>
            <w:proofErr w:type="spellEnd"/>
          </w:p>
          <w:p w14:paraId="1D3D62DA" w14:textId="77777777" w:rsidR="00423CD2" w:rsidRPr="001D5EDD" w:rsidRDefault="00423CD2" w:rsidP="00423CD2">
            <w:pPr>
              <w:spacing w:before="20" w:after="0"/>
              <w:ind w:left="113"/>
              <w:rPr>
                <w:sz w:val="16"/>
                <w:lang w:val="es-ES"/>
              </w:rPr>
            </w:pPr>
            <w:r w:rsidRPr="001D5EDD">
              <w:rPr>
                <w:sz w:val="16"/>
                <w:lang w:val="es-ES"/>
              </w:rPr>
              <w:t xml:space="preserve">3. Forma de contratación: </w:t>
            </w:r>
            <w:r>
              <w:rPr>
                <w:sz w:val="16"/>
                <w:lang w:val="es-ES"/>
              </w:rPr>
              <w:t>Adjudicación Directa</w:t>
            </w:r>
          </w:p>
        </w:tc>
      </w:tr>
      <w:tr w:rsidR="00993F6E" w:rsidRPr="00FC7306" w14:paraId="1AAFFBE7" w14:textId="77777777" w:rsidTr="00993F6E">
        <w:trPr>
          <w:trHeight w:val="80"/>
        </w:trPr>
        <w:tc>
          <w:tcPr>
            <w:tcW w:w="749" w:type="pct"/>
            <w:vAlign w:val="center"/>
          </w:tcPr>
          <w:p w14:paraId="1EF30430" w14:textId="77777777" w:rsidR="00993F6E" w:rsidRPr="00FC7306" w:rsidRDefault="00993F6E" w:rsidP="00423CD2">
            <w:pPr>
              <w:spacing w:before="20" w:after="0"/>
              <w:ind w:left="170"/>
              <w:rPr>
                <w:b/>
                <w:sz w:val="16"/>
                <w:lang w:val="es-ES"/>
              </w:rPr>
            </w:pPr>
          </w:p>
        </w:tc>
        <w:tc>
          <w:tcPr>
            <w:tcW w:w="4251" w:type="pct"/>
            <w:gridSpan w:val="3"/>
            <w:vAlign w:val="center"/>
          </w:tcPr>
          <w:p w14:paraId="6BF46ABE" w14:textId="77777777" w:rsidR="00993F6E" w:rsidRPr="001D5EDD" w:rsidRDefault="00993F6E" w:rsidP="00423CD2">
            <w:pPr>
              <w:spacing w:before="20" w:after="0"/>
              <w:ind w:left="113"/>
              <w:rPr>
                <w:sz w:val="16"/>
                <w:lang w:val="es-ES"/>
              </w:rPr>
            </w:pPr>
          </w:p>
        </w:tc>
      </w:tr>
      <w:tr w:rsidR="00423CD2" w:rsidRPr="00FC7306" w14:paraId="32574FA4" w14:textId="77777777" w:rsidTr="00423CD2">
        <w:tc>
          <w:tcPr>
            <w:tcW w:w="749" w:type="pct"/>
            <w:vAlign w:val="center"/>
          </w:tcPr>
          <w:p w14:paraId="6C5F9093" w14:textId="77777777" w:rsidR="00423CD2" w:rsidRPr="00FC7306" w:rsidRDefault="00423CD2" w:rsidP="00423CD2">
            <w:pPr>
              <w:spacing w:before="20" w:after="0"/>
              <w:ind w:left="170"/>
              <w:rPr>
                <w:b/>
                <w:sz w:val="16"/>
                <w:lang w:val="es-ES"/>
              </w:rPr>
            </w:pPr>
            <w:r w:rsidRPr="00FC7306">
              <w:rPr>
                <w:b/>
                <w:sz w:val="16"/>
                <w:lang w:val="es-ES"/>
              </w:rPr>
              <w:t>Costo:</w:t>
            </w:r>
          </w:p>
        </w:tc>
        <w:tc>
          <w:tcPr>
            <w:tcW w:w="1113" w:type="pct"/>
            <w:vAlign w:val="center"/>
          </w:tcPr>
          <w:p w14:paraId="293A586E" w14:textId="77777777" w:rsidR="00423CD2" w:rsidRPr="007620E8" w:rsidRDefault="00423CD2" w:rsidP="004C5984">
            <w:pPr>
              <w:spacing w:before="20" w:after="0"/>
              <w:ind w:left="113"/>
              <w:rPr>
                <w:sz w:val="16"/>
                <w:highlight w:val="yellow"/>
                <w:lang w:val="es-ES"/>
              </w:rPr>
            </w:pPr>
            <w:r>
              <w:rPr>
                <w:sz w:val="16"/>
                <w:lang w:val="es-ES"/>
              </w:rPr>
              <w:t>$</w:t>
            </w:r>
            <w:r w:rsidR="004C5984">
              <w:rPr>
                <w:sz w:val="16"/>
                <w:lang w:val="es-ES"/>
              </w:rPr>
              <w:t>470</w:t>
            </w:r>
            <w:r w:rsidR="00344164" w:rsidRPr="00344164">
              <w:rPr>
                <w:sz w:val="16"/>
                <w:lang w:val="es-ES"/>
              </w:rPr>
              <w:t>,</w:t>
            </w:r>
            <w:r w:rsidR="004C5984">
              <w:rPr>
                <w:sz w:val="16"/>
                <w:lang w:val="es-ES"/>
              </w:rPr>
              <w:t>9</w:t>
            </w:r>
            <w:r w:rsidR="00344164" w:rsidRPr="00344164">
              <w:rPr>
                <w:sz w:val="16"/>
                <w:lang w:val="es-ES"/>
              </w:rPr>
              <w:t>60</w:t>
            </w:r>
            <w:r w:rsidR="00344164">
              <w:rPr>
                <w:sz w:val="16"/>
                <w:lang w:val="es-ES"/>
              </w:rPr>
              <w:t>.00</w:t>
            </w:r>
            <w:r w:rsidR="00344164" w:rsidRPr="00344164">
              <w:rPr>
                <w:sz w:val="16"/>
                <w:lang w:val="es-ES"/>
              </w:rPr>
              <w:t xml:space="preserve"> IVA incluido</w:t>
            </w:r>
          </w:p>
        </w:tc>
        <w:tc>
          <w:tcPr>
            <w:tcW w:w="904" w:type="pct"/>
            <w:vAlign w:val="center"/>
          </w:tcPr>
          <w:p w14:paraId="3E5F45B5" w14:textId="77777777" w:rsidR="00423CD2" w:rsidRPr="00FC7306" w:rsidRDefault="00423CD2" w:rsidP="00423CD2">
            <w:pPr>
              <w:spacing w:before="20" w:after="0"/>
              <w:ind w:left="170"/>
              <w:rPr>
                <w:b/>
                <w:sz w:val="16"/>
                <w:lang w:val="es-ES"/>
              </w:rPr>
            </w:pPr>
            <w:r>
              <w:rPr>
                <w:b/>
                <w:sz w:val="16"/>
                <w:lang w:val="es-ES"/>
              </w:rPr>
              <w:t>Fuente de Financiamiento:</w:t>
            </w:r>
            <w:r w:rsidRPr="00FC7306">
              <w:rPr>
                <w:b/>
                <w:sz w:val="16"/>
                <w:lang w:val="es-ES"/>
              </w:rPr>
              <w:t xml:space="preserve"> </w:t>
            </w:r>
          </w:p>
        </w:tc>
        <w:tc>
          <w:tcPr>
            <w:tcW w:w="2234" w:type="pct"/>
            <w:vAlign w:val="center"/>
          </w:tcPr>
          <w:p w14:paraId="6802111C" w14:textId="77777777" w:rsidR="00423CD2" w:rsidRPr="00FC7306" w:rsidRDefault="00423CD2" w:rsidP="00423CD2">
            <w:pPr>
              <w:spacing w:before="20" w:after="0"/>
              <w:rPr>
                <w:sz w:val="16"/>
                <w:highlight w:val="yellow"/>
                <w:lang w:val="es-ES"/>
              </w:rPr>
            </w:pPr>
            <w:r w:rsidRPr="00FC7306">
              <w:rPr>
                <w:sz w:val="16"/>
                <w:lang w:val="es-ES"/>
              </w:rPr>
              <w:t>Recursos Fiscales</w:t>
            </w:r>
          </w:p>
        </w:tc>
      </w:tr>
      <w:tr w:rsidR="00423CD2" w:rsidRPr="00FC7306" w14:paraId="06436BD7" w14:textId="77777777" w:rsidTr="00423CD2">
        <w:trPr>
          <w:trHeight w:val="521"/>
        </w:trPr>
        <w:tc>
          <w:tcPr>
            <w:tcW w:w="749" w:type="pct"/>
            <w:tcBorders>
              <w:bottom w:val="single" w:sz="4" w:space="0" w:color="auto"/>
            </w:tcBorders>
            <w:vAlign w:val="center"/>
          </w:tcPr>
          <w:p w14:paraId="5A9712B4" w14:textId="77777777" w:rsidR="00423CD2" w:rsidRPr="00FC7306" w:rsidRDefault="00423CD2" w:rsidP="00423CD2">
            <w:pPr>
              <w:pStyle w:val="Textocuadroneg1"/>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14:paraId="70B57235" w14:textId="77777777" w:rsidR="00423CD2" w:rsidRPr="00FC7306" w:rsidRDefault="00423CD2" w:rsidP="00423CD2">
            <w:pPr>
              <w:pStyle w:val="Cdetexto"/>
              <w:spacing w:after="0"/>
              <w:jc w:val="center"/>
              <w:rPr>
                <w:sz w:val="14"/>
                <w:szCs w:val="14"/>
              </w:rPr>
            </w:pPr>
            <w:r w:rsidRPr="00513F21">
              <w:rPr>
                <w:sz w:val="16"/>
                <w:szCs w:val="14"/>
              </w:rPr>
              <w:t>SHCP</w:t>
            </w:r>
          </w:p>
        </w:tc>
        <w:tc>
          <w:tcPr>
            <w:tcW w:w="904" w:type="pct"/>
            <w:tcBorders>
              <w:bottom w:val="single" w:sz="4" w:space="0" w:color="auto"/>
            </w:tcBorders>
            <w:vAlign w:val="center"/>
          </w:tcPr>
          <w:p w14:paraId="7BEB4DE4" w14:textId="77777777" w:rsidR="00423CD2" w:rsidRPr="00FC7306" w:rsidRDefault="00423CD2" w:rsidP="00423CD2">
            <w:pPr>
              <w:pStyle w:val="Textocuadroneg1"/>
              <w:rPr>
                <w:sz w:val="16"/>
                <w:szCs w:val="16"/>
              </w:rPr>
            </w:pPr>
            <w:r w:rsidRPr="00FC7306">
              <w:rPr>
                <w:sz w:val="16"/>
                <w:szCs w:val="16"/>
              </w:rPr>
              <w:t>Informe completo</w:t>
            </w:r>
            <w:r>
              <w:rPr>
                <w:sz w:val="16"/>
                <w:szCs w:val="16"/>
              </w:rPr>
              <w:t>:</w:t>
            </w:r>
          </w:p>
        </w:tc>
        <w:tc>
          <w:tcPr>
            <w:tcW w:w="2234" w:type="pct"/>
            <w:tcBorders>
              <w:bottom w:val="single" w:sz="4" w:space="0" w:color="auto"/>
            </w:tcBorders>
            <w:vAlign w:val="center"/>
          </w:tcPr>
          <w:p w14:paraId="0D1820BD" w14:textId="77777777" w:rsidR="00423CD2" w:rsidRPr="00FC7306" w:rsidRDefault="00423CD2" w:rsidP="00423CD2">
            <w:pPr>
              <w:pStyle w:val="Textocuadro1"/>
              <w:rPr>
                <w:sz w:val="16"/>
                <w:szCs w:val="16"/>
              </w:rPr>
            </w:pPr>
            <w:r w:rsidRPr="00FC7306">
              <w:rPr>
                <w:sz w:val="16"/>
                <w:szCs w:val="16"/>
              </w:rPr>
              <w:t>Disponible en:</w:t>
            </w:r>
          </w:p>
          <w:p w14:paraId="71AC9E57" w14:textId="77777777" w:rsidR="00423CD2" w:rsidRPr="00FC7306" w:rsidRDefault="00423CD2" w:rsidP="00423CD2">
            <w:pPr>
              <w:pStyle w:val="Textocuadro1"/>
              <w:rPr>
                <w:sz w:val="16"/>
                <w:szCs w:val="16"/>
              </w:rPr>
            </w:pPr>
            <w:r w:rsidRPr="00FC7306">
              <w:rPr>
                <w:sz w:val="16"/>
                <w:szCs w:val="16"/>
              </w:rPr>
              <w:t>http://www.transparenciapresupuestaria.gob.mx/</w:t>
            </w:r>
          </w:p>
        </w:tc>
      </w:tr>
    </w:tbl>
    <w:p w14:paraId="638CD0E0" w14:textId="77777777" w:rsidR="00864466" w:rsidRPr="0043350C" w:rsidRDefault="00864466" w:rsidP="00864466"/>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864466" w:rsidRPr="0043350C" w14:paraId="2E355BAE" w14:textId="77777777" w:rsidTr="008A4C87">
        <w:trPr>
          <w:trHeight w:val="392"/>
          <w:jc w:val="center"/>
        </w:trPr>
        <w:tc>
          <w:tcPr>
            <w:tcW w:w="10173" w:type="dxa"/>
            <w:gridSpan w:val="5"/>
            <w:shd w:val="clear" w:color="auto" w:fill="D6E3BC" w:themeFill="accent3" w:themeFillTint="66"/>
            <w:vAlign w:val="center"/>
          </w:tcPr>
          <w:p w14:paraId="2C35FCF0" w14:textId="77777777" w:rsidR="00864466" w:rsidRPr="008873F7" w:rsidRDefault="00864466" w:rsidP="00B17B73">
            <w:pPr>
              <w:pStyle w:val="CABEZA"/>
              <w:rPr>
                <w:lang w:val="es-MX"/>
              </w:rPr>
            </w:pPr>
            <w:r w:rsidRPr="008873F7">
              <w:rPr>
                <w:lang w:val="es-MX"/>
              </w:rPr>
              <w:br w:type="page"/>
              <w:t xml:space="preserve">Ramo </w:t>
            </w:r>
            <w:r w:rsidR="00B17B73">
              <w:rPr>
                <w:lang w:val="es-MX"/>
              </w:rPr>
              <w:t>04</w:t>
            </w:r>
            <w:r w:rsidRPr="008873F7">
              <w:rPr>
                <w:lang w:val="es-MX"/>
              </w:rPr>
              <w:t xml:space="preserve">. </w:t>
            </w:r>
            <w:r w:rsidR="00B17B73">
              <w:rPr>
                <w:lang w:val="es-MX"/>
              </w:rPr>
              <w:t>Gobernación</w:t>
            </w:r>
          </w:p>
        </w:tc>
      </w:tr>
      <w:tr w:rsidR="00864466" w:rsidRPr="0043350C" w14:paraId="3FA5842B" w14:textId="77777777" w:rsidTr="008A4C87">
        <w:trPr>
          <w:jc w:val="center"/>
        </w:trPr>
        <w:tc>
          <w:tcPr>
            <w:tcW w:w="1359" w:type="dxa"/>
            <w:shd w:val="clear" w:color="auto" w:fill="D9D9D9" w:themeFill="background1" w:themeFillShade="D9"/>
          </w:tcPr>
          <w:p w14:paraId="500AE98B" w14:textId="77777777" w:rsidR="00864466" w:rsidRPr="0043350C" w:rsidRDefault="00864466" w:rsidP="008A4C87">
            <w:pPr>
              <w:spacing w:before="20"/>
              <w:rPr>
                <w:b/>
                <w:sz w:val="16"/>
                <w:lang w:val="es-ES"/>
              </w:rPr>
            </w:pPr>
            <w:r w:rsidRPr="0043350C">
              <w:rPr>
                <w:b/>
                <w:sz w:val="16"/>
                <w:lang w:val="es-ES"/>
              </w:rPr>
              <w:t xml:space="preserve">Clave del </w:t>
            </w:r>
            <w:proofErr w:type="spellStart"/>
            <w:r w:rsidRPr="0043350C">
              <w:rPr>
                <w:b/>
                <w:sz w:val="16"/>
                <w:lang w:val="es-ES"/>
              </w:rPr>
              <w:t>Pp</w:t>
            </w:r>
            <w:proofErr w:type="spellEnd"/>
            <w:r w:rsidRPr="0043350C">
              <w:rPr>
                <w:b/>
                <w:sz w:val="16"/>
                <w:lang w:val="es-ES"/>
              </w:rPr>
              <w:t>:</w:t>
            </w:r>
          </w:p>
        </w:tc>
        <w:tc>
          <w:tcPr>
            <w:tcW w:w="734" w:type="dxa"/>
            <w:shd w:val="clear" w:color="auto" w:fill="D9D9D9" w:themeFill="background1" w:themeFillShade="D9"/>
          </w:tcPr>
          <w:p w14:paraId="4DAE5056" w14:textId="77777777" w:rsidR="00864466" w:rsidRPr="0043350C" w:rsidRDefault="00B17B73" w:rsidP="00B17B73">
            <w:pPr>
              <w:contextualSpacing/>
              <w:rPr>
                <w:sz w:val="16"/>
                <w:szCs w:val="16"/>
                <w:lang w:val="es-ES" w:eastAsia="en-US"/>
              </w:rPr>
            </w:pPr>
            <w:r>
              <w:rPr>
                <w:sz w:val="16"/>
                <w:szCs w:val="16"/>
                <w:lang w:val="es-ES" w:eastAsia="en-US"/>
              </w:rPr>
              <w:t>P</w:t>
            </w:r>
            <w:r w:rsidR="00EA58A5">
              <w:rPr>
                <w:sz w:val="16"/>
                <w:szCs w:val="16"/>
                <w:lang w:val="es-ES" w:eastAsia="en-US"/>
              </w:rPr>
              <w:t>02</w:t>
            </w:r>
            <w:r>
              <w:rPr>
                <w:sz w:val="16"/>
                <w:szCs w:val="16"/>
                <w:lang w:val="es-ES" w:eastAsia="en-US"/>
              </w:rPr>
              <w:t>2</w:t>
            </w:r>
          </w:p>
        </w:tc>
        <w:tc>
          <w:tcPr>
            <w:tcW w:w="1701" w:type="dxa"/>
            <w:gridSpan w:val="2"/>
            <w:shd w:val="clear" w:color="auto" w:fill="D9D9D9" w:themeFill="background1" w:themeFillShade="D9"/>
          </w:tcPr>
          <w:p w14:paraId="334CE117" w14:textId="77777777" w:rsidR="00864466" w:rsidRPr="0043350C" w:rsidRDefault="00864466" w:rsidP="008A4C87">
            <w:pPr>
              <w:spacing w:before="20"/>
              <w:rPr>
                <w:b/>
                <w:sz w:val="16"/>
                <w:lang w:val="es-ES"/>
              </w:rPr>
            </w:pPr>
            <w:r w:rsidRPr="0043350C">
              <w:rPr>
                <w:b/>
                <w:sz w:val="16"/>
                <w:lang w:val="es-ES"/>
              </w:rPr>
              <w:t>Denominación:</w:t>
            </w:r>
          </w:p>
        </w:tc>
        <w:tc>
          <w:tcPr>
            <w:tcW w:w="6379" w:type="dxa"/>
            <w:shd w:val="clear" w:color="auto" w:fill="D9D9D9" w:themeFill="background1" w:themeFillShade="D9"/>
          </w:tcPr>
          <w:p w14:paraId="2763EDC6" w14:textId="77777777" w:rsidR="00864466" w:rsidRPr="0043350C" w:rsidRDefault="00B17B73" w:rsidP="008A4C87">
            <w:pPr>
              <w:contextualSpacing/>
              <w:rPr>
                <w:sz w:val="16"/>
                <w:szCs w:val="16"/>
                <w:lang w:val="es-ES" w:eastAsia="en-US"/>
              </w:rPr>
            </w:pPr>
            <w:r>
              <w:rPr>
                <w:sz w:val="16"/>
                <w:szCs w:val="16"/>
                <w:lang w:val="es-ES" w:eastAsia="en-US"/>
              </w:rPr>
              <w:t>Programa de Derechos Humanos</w:t>
            </w:r>
          </w:p>
        </w:tc>
      </w:tr>
      <w:tr w:rsidR="00864466" w:rsidRPr="0043350C" w14:paraId="2CDB6C6A" w14:textId="77777777" w:rsidTr="008A4C87">
        <w:trPr>
          <w:jc w:val="center"/>
        </w:trPr>
        <w:tc>
          <w:tcPr>
            <w:tcW w:w="2778" w:type="dxa"/>
            <w:gridSpan w:val="3"/>
          </w:tcPr>
          <w:p w14:paraId="4BCC4B26" w14:textId="77777777" w:rsidR="00864466" w:rsidRPr="0043350C" w:rsidRDefault="00864466" w:rsidP="008A4C87">
            <w:pPr>
              <w:spacing w:before="20"/>
              <w:rPr>
                <w:b/>
                <w:sz w:val="16"/>
                <w:lang w:val="es-ES"/>
              </w:rPr>
            </w:pPr>
            <w:r w:rsidRPr="0043350C">
              <w:rPr>
                <w:b/>
                <w:sz w:val="16"/>
                <w:lang w:val="es-ES"/>
              </w:rPr>
              <w:t>Unidad Administrativa:</w:t>
            </w:r>
          </w:p>
        </w:tc>
        <w:tc>
          <w:tcPr>
            <w:tcW w:w="7395" w:type="dxa"/>
            <w:gridSpan w:val="2"/>
          </w:tcPr>
          <w:p w14:paraId="776BCF5C" w14:textId="77777777" w:rsidR="00612723" w:rsidRPr="00612723" w:rsidRDefault="00612723" w:rsidP="00612723">
            <w:pPr>
              <w:spacing w:before="20" w:after="0"/>
              <w:rPr>
                <w:rFonts w:eastAsia="Times New Roman"/>
                <w:sz w:val="16"/>
                <w:szCs w:val="16"/>
                <w:lang w:val="es-MX" w:eastAsia="en-US"/>
              </w:rPr>
            </w:pPr>
            <w:r w:rsidRPr="00612723">
              <w:rPr>
                <w:rFonts w:eastAsia="Times New Roman"/>
                <w:sz w:val="16"/>
                <w:szCs w:val="16"/>
                <w:lang w:val="es-MX" w:eastAsia="en-US"/>
              </w:rPr>
              <w:t>Subsecretaría de Derechos Humanos</w:t>
            </w:r>
          </w:p>
          <w:p w14:paraId="7DFF0576" w14:textId="77777777" w:rsidR="00612723" w:rsidRPr="00612723" w:rsidRDefault="00612723" w:rsidP="00612723">
            <w:pPr>
              <w:spacing w:before="20" w:after="0"/>
              <w:rPr>
                <w:rFonts w:eastAsia="Times New Roman"/>
                <w:sz w:val="16"/>
                <w:szCs w:val="16"/>
                <w:lang w:val="es-MX" w:eastAsia="en-US"/>
              </w:rPr>
            </w:pPr>
            <w:r w:rsidRPr="00612723">
              <w:rPr>
                <w:rFonts w:eastAsia="Times New Roman"/>
                <w:sz w:val="16"/>
                <w:szCs w:val="16"/>
                <w:lang w:val="es-MX" w:eastAsia="en-US"/>
              </w:rPr>
              <w:t>Unidad para la Defensa de los Derechos Humanos</w:t>
            </w:r>
          </w:p>
          <w:p w14:paraId="3B81889D" w14:textId="77777777" w:rsidR="00612723" w:rsidRPr="00612723" w:rsidRDefault="00612723" w:rsidP="00612723">
            <w:pPr>
              <w:spacing w:before="20" w:after="0"/>
              <w:rPr>
                <w:rFonts w:eastAsia="Times New Roman"/>
                <w:sz w:val="16"/>
                <w:szCs w:val="16"/>
                <w:lang w:val="es-MX" w:eastAsia="en-US"/>
              </w:rPr>
            </w:pPr>
            <w:r w:rsidRPr="00612723">
              <w:rPr>
                <w:rFonts w:eastAsia="Times New Roman"/>
                <w:sz w:val="16"/>
                <w:szCs w:val="16"/>
                <w:lang w:val="es-MX" w:eastAsia="en-US"/>
              </w:rPr>
              <w:t>Dirección General de Política Pública de Derechos Humanos</w:t>
            </w:r>
          </w:p>
          <w:p w14:paraId="7362B58A" w14:textId="77777777" w:rsidR="00864466" w:rsidRPr="0043350C" w:rsidRDefault="00612723" w:rsidP="00612723">
            <w:pPr>
              <w:spacing w:before="20" w:after="0"/>
              <w:rPr>
                <w:rFonts w:eastAsia="Times New Roman"/>
                <w:sz w:val="16"/>
                <w:szCs w:val="16"/>
                <w:lang w:val="es-MX" w:eastAsia="en-US"/>
              </w:rPr>
            </w:pPr>
            <w:r w:rsidRPr="00612723">
              <w:rPr>
                <w:rFonts w:eastAsia="Times New Roman"/>
                <w:sz w:val="16"/>
                <w:szCs w:val="16"/>
                <w:lang w:val="es-MX" w:eastAsia="en-US"/>
              </w:rPr>
              <w:t>Dirección General de Estrategias para la Atención de Derechos Humanos</w:t>
            </w:r>
          </w:p>
        </w:tc>
      </w:tr>
      <w:tr w:rsidR="00864466" w:rsidRPr="0043350C" w14:paraId="70B36085" w14:textId="77777777" w:rsidTr="008A4C87">
        <w:trPr>
          <w:jc w:val="center"/>
        </w:trPr>
        <w:tc>
          <w:tcPr>
            <w:tcW w:w="2778" w:type="dxa"/>
            <w:gridSpan w:val="3"/>
          </w:tcPr>
          <w:p w14:paraId="78DAECF4" w14:textId="77777777" w:rsidR="00864466" w:rsidRPr="00107872" w:rsidRDefault="00864466" w:rsidP="008A4C87">
            <w:pPr>
              <w:spacing w:before="20"/>
              <w:rPr>
                <w:b/>
                <w:sz w:val="16"/>
                <w:szCs w:val="16"/>
                <w:lang w:val="es-ES"/>
              </w:rPr>
            </w:pPr>
            <w:r w:rsidRPr="00107872">
              <w:rPr>
                <w:b/>
                <w:sz w:val="16"/>
                <w:szCs w:val="16"/>
                <w:lang w:val="es-ES"/>
              </w:rPr>
              <w:t>Responsable</w:t>
            </w:r>
            <w:r w:rsidR="00E9702B" w:rsidRPr="00107872">
              <w:rPr>
                <w:rStyle w:val="Refdenotaalpie"/>
                <w:b/>
                <w:sz w:val="16"/>
                <w:szCs w:val="16"/>
                <w:lang w:val="es-ES"/>
              </w:rPr>
              <w:footnoteReference w:id="8"/>
            </w:r>
            <w:r w:rsidR="00107872" w:rsidRPr="00107872">
              <w:rPr>
                <w:sz w:val="16"/>
                <w:szCs w:val="16"/>
                <w:vertAlign w:val="superscript"/>
              </w:rPr>
              <w:t>_/</w:t>
            </w:r>
            <w:r w:rsidRPr="00107872">
              <w:rPr>
                <w:b/>
                <w:sz w:val="16"/>
                <w:szCs w:val="16"/>
                <w:lang w:val="es-ES"/>
              </w:rPr>
              <w:t>:</w:t>
            </w:r>
          </w:p>
        </w:tc>
        <w:tc>
          <w:tcPr>
            <w:tcW w:w="7395" w:type="dxa"/>
            <w:gridSpan w:val="2"/>
          </w:tcPr>
          <w:p w14:paraId="01C153AA" w14:textId="77777777" w:rsidR="00FF2164" w:rsidRPr="00E9702B" w:rsidRDefault="00612723" w:rsidP="00612723">
            <w:pPr>
              <w:spacing w:before="20" w:after="0"/>
              <w:rPr>
                <w:rFonts w:eastAsia="Times New Roman"/>
                <w:sz w:val="16"/>
                <w:szCs w:val="16"/>
                <w:lang w:val="es-MX" w:eastAsia="en-US"/>
              </w:rPr>
            </w:pPr>
            <w:r>
              <w:rPr>
                <w:rFonts w:eastAsia="Times New Roman"/>
                <w:sz w:val="16"/>
                <w:szCs w:val="16"/>
                <w:lang w:val="es-MX" w:eastAsia="en-US"/>
              </w:rPr>
              <w:t xml:space="preserve">Roberto </w:t>
            </w:r>
            <w:r w:rsidRPr="00612723">
              <w:rPr>
                <w:rFonts w:eastAsia="Times New Roman"/>
                <w:sz w:val="16"/>
                <w:szCs w:val="16"/>
                <w:lang w:val="es-MX" w:eastAsia="en-US"/>
              </w:rPr>
              <w:t>Rafael Campa Cifrián</w:t>
            </w:r>
          </w:p>
        </w:tc>
      </w:tr>
      <w:tr w:rsidR="00864466" w:rsidRPr="0043350C" w14:paraId="01497A33" w14:textId="77777777" w:rsidTr="008A4C87">
        <w:trPr>
          <w:jc w:val="center"/>
        </w:trPr>
        <w:tc>
          <w:tcPr>
            <w:tcW w:w="2778" w:type="dxa"/>
            <w:gridSpan w:val="3"/>
            <w:tcBorders>
              <w:bottom w:val="single" w:sz="4" w:space="0" w:color="auto"/>
            </w:tcBorders>
            <w:shd w:val="clear" w:color="auto" w:fill="D9D9D9" w:themeFill="background1" w:themeFillShade="D9"/>
          </w:tcPr>
          <w:p w14:paraId="2C8ABE43" w14:textId="77777777" w:rsidR="00864466" w:rsidRPr="0043350C" w:rsidRDefault="00864466" w:rsidP="008A4C87">
            <w:pPr>
              <w:spacing w:before="20"/>
              <w:rPr>
                <w:b/>
                <w:sz w:val="16"/>
                <w:lang w:val="es-ES"/>
              </w:rPr>
            </w:pPr>
            <w:r w:rsidRPr="0043350C">
              <w:rPr>
                <w:b/>
                <w:sz w:val="16"/>
                <w:lang w:val="es-ES"/>
              </w:rPr>
              <w:t>Tipo de Evaluación:</w:t>
            </w:r>
          </w:p>
        </w:tc>
        <w:tc>
          <w:tcPr>
            <w:tcW w:w="7395" w:type="dxa"/>
            <w:gridSpan w:val="2"/>
            <w:tcBorders>
              <w:bottom w:val="single" w:sz="4" w:space="0" w:color="auto"/>
            </w:tcBorders>
            <w:shd w:val="clear" w:color="auto" w:fill="D9D9D9" w:themeFill="background1" w:themeFillShade="D9"/>
          </w:tcPr>
          <w:p w14:paraId="61B1E921" w14:textId="77777777" w:rsidR="00864466" w:rsidRPr="0043350C" w:rsidRDefault="00864466" w:rsidP="008A4C87">
            <w:pPr>
              <w:spacing w:before="20"/>
              <w:rPr>
                <w:sz w:val="16"/>
                <w:lang w:val="es-ES"/>
              </w:rPr>
            </w:pPr>
            <w:r w:rsidRPr="0043350C">
              <w:rPr>
                <w:sz w:val="16"/>
                <w:lang w:val="es-ES"/>
              </w:rPr>
              <w:t>Consistencia y Resultados</w:t>
            </w:r>
            <w:r w:rsidR="005E2AAE">
              <w:rPr>
                <w:sz w:val="16"/>
                <w:lang w:val="es-ES"/>
              </w:rPr>
              <w:t>, PAE 2017</w:t>
            </w:r>
          </w:p>
        </w:tc>
      </w:tr>
    </w:tbl>
    <w:p w14:paraId="7AE19685" w14:textId="77777777" w:rsidR="00864466" w:rsidRPr="0043350C" w:rsidRDefault="00864466" w:rsidP="00864466"/>
    <w:p w14:paraId="3B585BA9" w14:textId="77777777" w:rsidR="00864466" w:rsidRPr="0043350C" w:rsidRDefault="00864466" w:rsidP="00864466">
      <w:pPr>
        <w:spacing w:line="250" w:lineRule="exact"/>
        <w:jc w:val="both"/>
        <w:rPr>
          <w:rFonts w:eastAsia="Times New Roman" w:cs="Arial"/>
          <w:b/>
          <w:szCs w:val="20"/>
          <w:lang w:val="es-ES"/>
        </w:rPr>
      </w:pPr>
      <w:r w:rsidRPr="0043350C">
        <w:rPr>
          <w:rFonts w:eastAsia="Times New Roman" w:cs="Arial"/>
          <w:b/>
          <w:szCs w:val="20"/>
          <w:lang w:val="es-ES"/>
        </w:rPr>
        <w:t xml:space="preserve">Descripción del </w:t>
      </w:r>
      <w:proofErr w:type="spellStart"/>
      <w:r w:rsidRPr="0043350C">
        <w:rPr>
          <w:rFonts w:eastAsia="Times New Roman" w:cs="Arial"/>
          <w:b/>
          <w:szCs w:val="20"/>
          <w:lang w:val="es-ES"/>
        </w:rPr>
        <w:t>Pp</w:t>
      </w:r>
      <w:proofErr w:type="spellEnd"/>
    </w:p>
    <w:p w14:paraId="47C144A0" w14:textId="77777777" w:rsidR="00A81D98" w:rsidRPr="0043350C" w:rsidRDefault="00E3257B" w:rsidP="00864466">
      <w:pPr>
        <w:pStyle w:val="Cdetexto"/>
      </w:pPr>
      <w:r>
        <w:t>E</w:t>
      </w:r>
      <w:r w:rsidR="00A81D98" w:rsidRPr="009D3952">
        <w:t xml:space="preserve">l </w:t>
      </w:r>
      <w:proofErr w:type="spellStart"/>
      <w:r w:rsidR="00A81D98" w:rsidRPr="009D3952">
        <w:t>Pp</w:t>
      </w:r>
      <w:proofErr w:type="spellEnd"/>
      <w:r w:rsidR="00A81D98" w:rsidRPr="009D3952">
        <w:t xml:space="preserve"> P022 </w:t>
      </w:r>
      <w:r>
        <w:t>opera a</w:t>
      </w:r>
      <w:r w:rsidRPr="009D3952">
        <w:t xml:space="preserve"> partir de</w:t>
      </w:r>
      <w:r>
        <w:t>l ejercicio fiscal</w:t>
      </w:r>
      <w:r w:rsidRPr="009D3952">
        <w:t xml:space="preserve"> 2016 </w:t>
      </w:r>
      <w:r w:rsidR="00A81D98" w:rsidRPr="009D3952">
        <w:t xml:space="preserve">como resultado de la fusión de cinco </w:t>
      </w:r>
      <w:proofErr w:type="spellStart"/>
      <w:r w:rsidR="00A81D98" w:rsidRPr="009D3952">
        <w:t>Pp</w:t>
      </w:r>
      <w:proofErr w:type="spellEnd"/>
      <w:r w:rsidR="00A81D98" w:rsidRPr="009D3952">
        <w:t xml:space="preserve"> que operaban anteriormente dentro del Ramo 04 Gobernación, a saber: P004 Defensa de los Derechos Humanos; P015 Promover la prevención</w:t>
      </w:r>
      <w:r w:rsidR="00A81D98" w:rsidRPr="00A81D98">
        <w:t>,</w:t>
      </w:r>
      <w:r w:rsidR="00A81D98">
        <w:t xml:space="preserve"> </w:t>
      </w:r>
      <w:r w:rsidR="00A81D98" w:rsidRPr="00A81D98">
        <w:t>protección</w:t>
      </w:r>
      <w:r w:rsidR="00A81D98">
        <w:t xml:space="preserve"> </w:t>
      </w:r>
      <w:r w:rsidR="00A81D98" w:rsidRPr="00A81D98">
        <w:t>y</w:t>
      </w:r>
      <w:r w:rsidR="00A81D98">
        <w:t xml:space="preserve"> </w:t>
      </w:r>
      <w:r w:rsidR="00A81D98" w:rsidRPr="00A81D98">
        <w:t>atención</w:t>
      </w:r>
      <w:r w:rsidR="00A81D98">
        <w:t xml:space="preserve"> </w:t>
      </w:r>
      <w:r w:rsidR="00A81D98" w:rsidRPr="00A81D98">
        <w:t>en</w:t>
      </w:r>
      <w:r w:rsidR="00A81D98">
        <w:t xml:space="preserve"> </w:t>
      </w:r>
      <w:r w:rsidR="00A81D98" w:rsidRPr="00A81D98">
        <w:t>materia</w:t>
      </w:r>
      <w:r w:rsidR="00A81D98">
        <w:t xml:space="preserve"> </w:t>
      </w:r>
      <w:r w:rsidR="00A81D98" w:rsidRPr="00A81D98">
        <w:t>de</w:t>
      </w:r>
      <w:r w:rsidR="00A81D98">
        <w:t xml:space="preserve"> </w:t>
      </w:r>
      <w:r w:rsidR="00A81D98" w:rsidRPr="00A81D98">
        <w:t>trata</w:t>
      </w:r>
      <w:r w:rsidR="00A81D98">
        <w:t xml:space="preserve"> </w:t>
      </w:r>
      <w:r w:rsidR="00A81D98" w:rsidRPr="00A81D98">
        <w:t>de</w:t>
      </w:r>
      <w:r w:rsidR="00A81D98">
        <w:t xml:space="preserve"> </w:t>
      </w:r>
      <w:r w:rsidR="00A81D98" w:rsidRPr="00A81D98">
        <w:t>personas;</w:t>
      </w:r>
      <w:r w:rsidR="00A81D98">
        <w:t xml:space="preserve"> </w:t>
      </w:r>
      <w:r w:rsidR="00A81D98" w:rsidRPr="00A81D98">
        <w:t>P017</w:t>
      </w:r>
      <w:r w:rsidR="00A81D98">
        <w:t xml:space="preserve"> </w:t>
      </w:r>
      <w:r w:rsidR="00A81D98" w:rsidRPr="00A81D98">
        <w:t>Mecanismo</w:t>
      </w:r>
      <w:r w:rsidR="00A81D98">
        <w:t xml:space="preserve"> </w:t>
      </w:r>
      <w:r w:rsidR="00A81D98" w:rsidRPr="00A81D98">
        <w:t>de</w:t>
      </w:r>
      <w:r w:rsidR="00A81D98">
        <w:t xml:space="preserve"> </w:t>
      </w:r>
      <w:r w:rsidR="00A81D98" w:rsidRPr="00A81D98">
        <w:t>Protección</w:t>
      </w:r>
      <w:r w:rsidR="00A81D98">
        <w:t xml:space="preserve"> </w:t>
      </w:r>
      <w:r w:rsidR="00A81D98" w:rsidRPr="00A81D98">
        <w:t>para</w:t>
      </w:r>
      <w:r w:rsidR="00A81D98">
        <w:t xml:space="preserve"> </w:t>
      </w:r>
      <w:r w:rsidR="00A81D98" w:rsidRPr="00A81D98">
        <w:t>Personas</w:t>
      </w:r>
      <w:r w:rsidR="00A81D98">
        <w:t xml:space="preserve"> </w:t>
      </w:r>
      <w:r w:rsidR="00A81D98" w:rsidRPr="00A81D98">
        <w:t>Defensoras</w:t>
      </w:r>
      <w:r w:rsidR="00A81D98">
        <w:t xml:space="preserve"> </w:t>
      </w:r>
      <w:r w:rsidR="00A81D98" w:rsidRPr="00A81D98">
        <w:t>de</w:t>
      </w:r>
      <w:r w:rsidR="00A81D98">
        <w:t xml:space="preserve"> </w:t>
      </w:r>
      <w:r w:rsidR="00A81D98" w:rsidRPr="00A81D98">
        <w:t>Derechos</w:t>
      </w:r>
      <w:r w:rsidR="00A81D98">
        <w:t xml:space="preserve"> </w:t>
      </w:r>
      <w:r w:rsidR="00A81D98" w:rsidRPr="00A81D98">
        <w:t>Humanos</w:t>
      </w:r>
      <w:r w:rsidR="00A81D98">
        <w:t xml:space="preserve"> </w:t>
      </w:r>
      <w:r w:rsidR="00A81D98" w:rsidRPr="00A81D98">
        <w:t>y</w:t>
      </w:r>
      <w:r w:rsidR="00A81D98">
        <w:t xml:space="preserve"> </w:t>
      </w:r>
      <w:r w:rsidR="00A81D98" w:rsidRPr="00A81D98">
        <w:t>Periodistas;</w:t>
      </w:r>
      <w:r w:rsidR="00A81D98">
        <w:t xml:space="preserve"> </w:t>
      </w:r>
      <w:r w:rsidR="00A81D98" w:rsidRPr="00A81D98">
        <w:t>P022</w:t>
      </w:r>
      <w:r w:rsidR="00A81D98">
        <w:t xml:space="preserve"> </w:t>
      </w:r>
      <w:r w:rsidR="00A81D98" w:rsidRPr="00A81D98">
        <w:t>Conducción</w:t>
      </w:r>
      <w:r w:rsidR="00A81D98">
        <w:t xml:space="preserve"> </w:t>
      </w:r>
      <w:r w:rsidR="00A81D98" w:rsidRPr="00A81D98">
        <w:t>de</w:t>
      </w:r>
      <w:r w:rsidR="00A81D98">
        <w:t xml:space="preserve"> l</w:t>
      </w:r>
      <w:r w:rsidR="00A81D98" w:rsidRPr="00A81D98">
        <w:t>a</w:t>
      </w:r>
      <w:r w:rsidR="00A81D98">
        <w:t xml:space="preserve"> </w:t>
      </w:r>
      <w:r w:rsidR="00A81D98" w:rsidRPr="00A81D98">
        <w:t>Política</w:t>
      </w:r>
      <w:r w:rsidR="00A81D98">
        <w:t xml:space="preserve"> </w:t>
      </w:r>
      <w:r w:rsidR="00A81D98" w:rsidRPr="00A81D98">
        <w:t>en</w:t>
      </w:r>
      <w:r w:rsidR="00A81D98">
        <w:t xml:space="preserve"> </w:t>
      </w:r>
      <w:r w:rsidR="00A81D98" w:rsidRPr="00A81D98">
        <w:t>materia</w:t>
      </w:r>
      <w:r w:rsidR="00A81D98">
        <w:t xml:space="preserve"> </w:t>
      </w:r>
      <w:r w:rsidR="00A81D98" w:rsidRPr="00A81D98">
        <w:t>de</w:t>
      </w:r>
      <w:r w:rsidR="00A81D98">
        <w:t xml:space="preserve"> </w:t>
      </w:r>
      <w:r w:rsidR="00A81D98" w:rsidRPr="00A81D98">
        <w:t>Derechos</w:t>
      </w:r>
      <w:r w:rsidR="00A81D98">
        <w:t xml:space="preserve"> </w:t>
      </w:r>
      <w:r w:rsidR="00A81D98" w:rsidRPr="00A81D98">
        <w:t>Humanos;</w:t>
      </w:r>
      <w:r w:rsidR="00A81D98">
        <w:t xml:space="preserve"> </w:t>
      </w:r>
      <w:r w:rsidR="00A81D98" w:rsidRPr="00A81D98">
        <w:t>y,</w:t>
      </w:r>
      <w:r w:rsidR="00A81D98">
        <w:t xml:space="preserve"> </w:t>
      </w:r>
      <w:r w:rsidR="00A81D98" w:rsidRPr="00A81D98">
        <w:t>L001</w:t>
      </w:r>
      <w:r w:rsidR="00A81D98">
        <w:t xml:space="preserve"> </w:t>
      </w:r>
      <w:r w:rsidR="00A81D98" w:rsidRPr="00A81D98">
        <w:t>Cumplimiento</w:t>
      </w:r>
      <w:r w:rsidR="00A81D98">
        <w:t xml:space="preserve"> </w:t>
      </w:r>
      <w:r w:rsidR="00A81D98" w:rsidRPr="00A81D98">
        <w:t>de</w:t>
      </w:r>
      <w:r w:rsidR="00A81D98">
        <w:t xml:space="preserve"> </w:t>
      </w:r>
      <w:r w:rsidR="00A81D98" w:rsidRPr="00A81D98">
        <w:t>Obligaciones</w:t>
      </w:r>
      <w:r w:rsidR="00A81D98">
        <w:t xml:space="preserve"> </w:t>
      </w:r>
      <w:r w:rsidR="00A81D98" w:rsidRPr="00A81D98">
        <w:t>en</w:t>
      </w:r>
      <w:r w:rsidR="00A81D98">
        <w:t xml:space="preserve"> </w:t>
      </w:r>
      <w:r w:rsidR="00A81D98" w:rsidRPr="00A81D98">
        <w:t>Materi</w:t>
      </w:r>
      <w:r w:rsidR="00A81D98">
        <w:t xml:space="preserve">a </w:t>
      </w:r>
      <w:r w:rsidR="00A81D98" w:rsidRPr="00A81D98">
        <w:t>de</w:t>
      </w:r>
      <w:r w:rsidR="00A81D98">
        <w:t xml:space="preserve"> </w:t>
      </w:r>
      <w:r w:rsidR="00A81D98" w:rsidRPr="00A81D98">
        <w:t>Derechos</w:t>
      </w:r>
      <w:r w:rsidR="00A81D98">
        <w:t xml:space="preserve"> </w:t>
      </w:r>
      <w:r w:rsidR="00A81D98" w:rsidRPr="00A81D98">
        <w:t>Humanos</w:t>
      </w:r>
      <w:r w:rsidR="00A81D98">
        <w:t xml:space="preserve"> dentro de los sistemas de protección de derechos humanos de los que el Estado Mexicano sea parte, y de las obligaciones pecuniarias previstas en convenios de la SEGOB en que se reconozca la responsabilidad de las violaciones.</w:t>
      </w:r>
    </w:p>
    <w:p w14:paraId="5C728CFC" w14:textId="77777777" w:rsidR="00864466" w:rsidRPr="0043350C" w:rsidRDefault="00864466" w:rsidP="00864466">
      <w:pPr>
        <w:pStyle w:val="Cdetexto"/>
      </w:pPr>
      <w:r w:rsidRPr="0043350C">
        <w:t xml:space="preserve">El problema </w:t>
      </w:r>
      <w:r w:rsidR="005E2AAE">
        <w:t xml:space="preserve">público </w:t>
      </w:r>
      <w:r w:rsidRPr="0043350C">
        <w:t xml:space="preserve">que atiende el </w:t>
      </w:r>
      <w:proofErr w:type="spellStart"/>
      <w:r w:rsidRPr="0043350C">
        <w:t>Pp</w:t>
      </w:r>
      <w:proofErr w:type="spellEnd"/>
      <w:r w:rsidRPr="0043350C">
        <w:t xml:space="preserve"> es </w:t>
      </w:r>
      <w:r w:rsidR="002359FC">
        <w:t xml:space="preserve">el siguiente: </w:t>
      </w:r>
      <w:r w:rsidRPr="0043350C">
        <w:t>“</w:t>
      </w:r>
      <w:r w:rsidR="00CA7D05" w:rsidRPr="00CA7D05">
        <w:t>Existencia</w:t>
      </w:r>
      <w:r w:rsidR="00CA7D05">
        <w:t xml:space="preserve"> </w:t>
      </w:r>
      <w:r w:rsidR="00CA7D05" w:rsidRPr="00CA7D05">
        <w:t>de</w:t>
      </w:r>
      <w:r w:rsidR="00CA7D05">
        <w:t xml:space="preserve"> </w:t>
      </w:r>
      <w:r w:rsidR="00CA7D05" w:rsidRPr="00CA7D05">
        <w:t>violaciones</w:t>
      </w:r>
      <w:r w:rsidR="00CA7D05">
        <w:t xml:space="preserve"> </w:t>
      </w:r>
      <w:r w:rsidR="00CA7D05" w:rsidRPr="00CA7D05">
        <w:t>de</w:t>
      </w:r>
      <w:r w:rsidR="00CA7D05">
        <w:t xml:space="preserve"> </w:t>
      </w:r>
      <w:r w:rsidR="00CA7D05" w:rsidRPr="00CA7D05">
        <w:t>derechos</w:t>
      </w:r>
      <w:r w:rsidR="00CA7D05">
        <w:t xml:space="preserve"> </w:t>
      </w:r>
      <w:r w:rsidR="00CA7D05" w:rsidRPr="00CA7D05">
        <w:t>humanos</w:t>
      </w:r>
      <w:r w:rsidRPr="0043350C">
        <w:t>”.</w:t>
      </w:r>
    </w:p>
    <w:p w14:paraId="319777BD" w14:textId="77777777" w:rsidR="00864466" w:rsidRPr="0043350C" w:rsidRDefault="00864466" w:rsidP="00864466">
      <w:pPr>
        <w:pStyle w:val="Cdetexto"/>
      </w:pPr>
      <w:r w:rsidRPr="0043350C">
        <w:lastRenderedPageBreak/>
        <w:t xml:space="preserve">El fin del </w:t>
      </w:r>
      <w:proofErr w:type="spellStart"/>
      <w:r w:rsidRPr="0043350C">
        <w:t>Pp</w:t>
      </w:r>
      <w:proofErr w:type="spellEnd"/>
      <w:r w:rsidRPr="0043350C">
        <w:t xml:space="preserve"> </w:t>
      </w:r>
      <w:r w:rsidR="006A5BE6">
        <w:t xml:space="preserve">es </w:t>
      </w:r>
      <w:r w:rsidRPr="0043350C">
        <w:t>“</w:t>
      </w:r>
      <w:r w:rsidR="00BD3874" w:rsidRPr="00BD3874">
        <w:t>Contribuir</w:t>
      </w:r>
      <w:r w:rsidR="00BD3874">
        <w:t xml:space="preserve"> </w:t>
      </w:r>
      <w:r w:rsidR="00BD3874" w:rsidRPr="00BD3874">
        <w:t>a</w:t>
      </w:r>
      <w:r w:rsidR="00BD3874">
        <w:t xml:space="preserve"> </w:t>
      </w:r>
      <w:r w:rsidR="00BD3874" w:rsidRPr="00BD3874">
        <w:t>garantizar</w:t>
      </w:r>
      <w:r w:rsidR="00BD3874">
        <w:t xml:space="preserve"> </w:t>
      </w:r>
      <w:r w:rsidR="00BD3874" w:rsidRPr="00BD3874">
        <w:t>el</w:t>
      </w:r>
      <w:r w:rsidR="00BD3874">
        <w:t xml:space="preserve"> </w:t>
      </w:r>
      <w:r w:rsidR="00BD3874" w:rsidRPr="00BD3874">
        <w:t>respeto</w:t>
      </w:r>
      <w:r w:rsidR="00BD3874">
        <w:t xml:space="preserve"> </w:t>
      </w:r>
      <w:r w:rsidR="00BD3874" w:rsidRPr="00BD3874">
        <w:t>y</w:t>
      </w:r>
      <w:r w:rsidR="00BD3874">
        <w:t xml:space="preserve"> </w:t>
      </w:r>
      <w:r w:rsidR="00BD3874" w:rsidRPr="00BD3874">
        <w:t>protección</w:t>
      </w:r>
      <w:r w:rsidR="00BD3874">
        <w:t xml:space="preserve"> </w:t>
      </w:r>
      <w:r w:rsidR="00BD3874" w:rsidRPr="00BD3874">
        <w:t>de</w:t>
      </w:r>
      <w:r w:rsidR="00BD3874">
        <w:t xml:space="preserve"> </w:t>
      </w:r>
      <w:r w:rsidR="00BD3874" w:rsidRPr="00BD3874">
        <w:t>los</w:t>
      </w:r>
      <w:r w:rsidR="00BD3874">
        <w:t xml:space="preserve"> </w:t>
      </w:r>
      <w:r w:rsidR="00BD3874" w:rsidRPr="00BD3874">
        <w:t>derechos</w:t>
      </w:r>
      <w:r w:rsidR="00BD3874">
        <w:t xml:space="preserve"> </w:t>
      </w:r>
      <w:r w:rsidR="00BD3874" w:rsidRPr="00BD3874">
        <w:t>humanos,</w:t>
      </w:r>
      <w:r w:rsidR="00BD3874">
        <w:t xml:space="preserve"> </w:t>
      </w:r>
      <w:r w:rsidR="00BD3874" w:rsidRPr="00BD3874">
        <w:t>reducir</w:t>
      </w:r>
      <w:r w:rsidR="00BD3874">
        <w:t xml:space="preserve"> </w:t>
      </w:r>
      <w:r w:rsidR="00BD3874" w:rsidRPr="00BD3874">
        <w:t>la</w:t>
      </w:r>
      <w:r w:rsidR="00BD3874">
        <w:t xml:space="preserve"> </w:t>
      </w:r>
      <w:r w:rsidR="00BD3874" w:rsidRPr="00BD3874">
        <w:t>discriminación</w:t>
      </w:r>
      <w:r w:rsidR="00BD3874" w:rsidRPr="00BD3874">
        <w:tab/>
      </w:r>
      <w:r w:rsidR="00BD3874">
        <w:t xml:space="preserve"> </w:t>
      </w:r>
      <w:r w:rsidR="00BD3874" w:rsidRPr="00BD3874">
        <w:t>y</w:t>
      </w:r>
      <w:r w:rsidR="00BD3874">
        <w:t xml:space="preserve"> </w:t>
      </w:r>
      <w:r w:rsidR="00BD3874" w:rsidRPr="00BD3874">
        <w:t>la</w:t>
      </w:r>
      <w:r w:rsidR="00BD3874">
        <w:t xml:space="preserve"> </w:t>
      </w:r>
      <w:r w:rsidR="00BD3874" w:rsidRPr="00BD3874">
        <w:t>violencia</w:t>
      </w:r>
      <w:r w:rsidR="00BD3874">
        <w:t xml:space="preserve"> </w:t>
      </w:r>
      <w:r w:rsidR="00BD3874" w:rsidRPr="00BD3874">
        <w:t>contra</w:t>
      </w:r>
      <w:r w:rsidR="00BD3874">
        <w:t xml:space="preserve"> </w:t>
      </w:r>
      <w:r w:rsidR="00BD3874" w:rsidRPr="00BD3874">
        <w:t>las</w:t>
      </w:r>
      <w:r w:rsidR="00BD3874">
        <w:t xml:space="preserve"> </w:t>
      </w:r>
      <w:r w:rsidR="00BD3874" w:rsidRPr="00BD3874">
        <w:t>mujeres</w:t>
      </w:r>
      <w:r w:rsidR="00BD3874">
        <w:t xml:space="preserve"> </w:t>
      </w:r>
      <w:r w:rsidR="00BD3874" w:rsidRPr="00BD3874">
        <w:t>mediante</w:t>
      </w:r>
      <w:r w:rsidR="00BD3874">
        <w:t xml:space="preserve"> </w:t>
      </w:r>
      <w:r w:rsidR="00BD3874" w:rsidRPr="00BD3874">
        <w:t>la</w:t>
      </w:r>
      <w:r w:rsidR="00BD3874">
        <w:t xml:space="preserve"> </w:t>
      </w:r>
      <w:r w:rsidR="00BD3874" w:rsidRPr="00BD3874">
        <w:t>implementación</w:t>
      </w:r>
      <w:r w:rsidR="00BD3874">
        <w:t xml:space="preserve"> </w:t>
      </w:r>
      <w:r w:rsidR="00BD3874" w:rsidRPr="00BD3874">
        <w:t>de</w:t>
      </w:r>
      <w:r w:rsidR="00BD3874">
        <w:t xml:space="preserve"> </w:t>
      </w:r>
      <w:r w:rsidR="00BD3874" w:rsidRPr="00BD3874">
        <w:t>la</w:t>
      </w:r>
      <w:r w:rsidR="00BD3874">
        <w:t xml:space="preserve"> </w:t>
      </w:r>
      <w:r w:rsidR="00BD3874" w:rsidRPr="00BD3874">
        <w:t>política</w:t>
      </w:r>
      <w:r w:rsidR="00BD3874">
        <w:t xml:space="preserve"> </w:t>
      </w:r>
      <w:r w:rsidR="00BD3874" w:rsidRPr="00BD3874">
        <w:t>de</w:t>
      </w:r>
      <w:r w:rsidR="00BD3874">
        <w:t xml:space="preserve"> </w:t>
      </w:r>
      <w:r w:rsidR="00BD3874" w:rsidRPr="00BD3874">
        <w:t>Estado</w:t>
      </w:r>
      <w:r w:rsidR="00BD3874">
        <w:t xml:space="preserve"> </w:t>
      </w:r>
      <w:r w:rsidR="00BD3874" w:rsidRPr="00BD3874">
        <w:t>en</w:t>
      </w:r>
      <w:r w:rsidR="00BD3874">
        <w:t xml:space="preserve"> </w:t>
      </w:r>
      <w:r w:rsidR="00BD3874" w:rsidRPr="00BD3874">
        <w:t>esta</w:t>
      </w:r>
      <w:r w:rsidR="00BD3874">
        <w:t xml:space="preserve"> </w:t>
      </w:r>
      <w:r w:rsidR="00BD3874" w:rsidRPr="00BD3874">
        <w:t>materia</w:t>
      </w:r>
      <w:r w:rsidRPr="0043350C">
        <w:t>”.</w:t>
      </w:r>
    </w:p>
    <w:p w14:paraId="1AD95F7C" w14:textId="77777777" w:rsidR="00864466" w:rsidRPr="0043350C" w:rsidRDefault="00864466" w:rsidP="001C31F4">
      <w:pPr>
        <w:pStyle w:val="Cdetexto"/>
      </w:pPr>
      <w:r w:rsidRPr="0043350C">
        <w:t xml:space="preserve">El propósito definido para el </w:t>
      </w:r>
      <w:proofErr w:type="spellStart"/>
      <w:r w:rsidRPr="0043350C">
        <w:t>Pp</w:t>
      </w:r>
      <w:proofErr w:type="spellEnd"/>
      <w:r w:rsidRPr="0043350C">
        <w:t xml:space="preserve"> es “</w:t>
      </w:r>
      <w:r w:rsidR="00BD3874">
        <w:t>Personas q</w:t>
      </w:r>
      <w:r w:rsidR="00BD3874" w:rsidRPr="00BD3874">
        <w:t>ue</w:t>
      </w:r>
      <w:r w:rsidR="00BD3874">
        <w:t xml:space="preserve"> </w:t>
      </w:r>
      <w:r w:rsidR="00BD3874" w:rsidRPr="00BD3874">
        <w:t>se</w:t>
      </w:r>
      <w:r w:rsidR="00BD3874">
        <w:t xml:space="preserve"> </w:t>
      </w:r>
      <w:r w:rsidR="00BD3874" w:rsidRPr="00BD3874">
        <w:t>benefician</w:t>
      </w:r>
      <w:r w:rsidR="00BD3874">
        <w:t xml:space="preserve"> </w:t>
      </w:r>
      <w:r w:rsidR="00BD3874" w:rsidRPr="00BD3874">
        <w:t>de</w:t>
      </w:r>
      <w:r w:rsidR="00BD3874">
        <w:t xml:space="preserve"> </w:t>
      </w:r>
      <w:r w:rsidR="00BD3874" w:rsidRPr="00BD3874">
        <w:t>la</w:t>
      </w:r>
      <w:r w:rsidR="00BD3874">
        <w:t xml:space="preserve"> </w:t>
      </w:r>
      <w:r w:rsidR="00BD3874" w:rsidRPr="00BD3874">
        <w:t>promoción,</w:t>
      </w:r>
      <w:r w:rsidR="00BD3874">
        <w:t xml:space="preserve"> </w:t>
      </w:r>
      <w:r w:rsidR="00BD3874" w:rsidRPr="00BD3874">
        <w:t>atención</w:t>
      </w:r>
      <w:r w:rsidR="00BD3874">
        <w:t xml:space="preserve"> </w:t>
      </w:r>
      <w:r w:rsidR="00BD3874" w:rsidRPr="00BD3874">
        <w:t>y</w:t>
      </w:r>
      <w:r w:rsidR="00BD3874">
        <w:t xml:space="preserve"> protección </w:t>
      </w:r>
      <w:r w:rsidR="00BD3874" w:rsidRPr="00BD3874">
        <w:t>de</w:t>
      </w:r>
      <w:r w:rsidR="00BD3874">
        <w:t xml:space="preserve"> </w:t>
      </w:r>
      <w:r w:rsidR="00BD3874" w:rsidRPr="00BD3874">
        <w:t>Derechos</w:t>
      </w:r>
      <w:r w:rsidR="00BD3874">
        <w:t xml:space="preserve"> </w:t>
      </w:r>
      <w:r w:rsidR="00BD3874" w:rsidRPr="00BD3874">
        <w:t>Humanos</w:t>
      </w:r>
      <w:r w:rsidR="006A5BE6">
        <w:t xml:space="preserve">”. </w:t>
      </w:r>
      <w:r w:rsidR="00BD3874">
        <w:t>Los</w:t>
      </w:r>
      <w:r w:rsidR="006A5BE6">
        <w:t xml:space="preserve"> </w:t>
      </w:r>
      <w:r w:rsidRPr="0043350C">
        <w:t>componente</w:t>
      </w:r>
      <w:r w:rsidR="00BD3874">
        <w:t>s</w:t>
      </w:r>
      <w:r w:rsidRPr="0043350C">
        <w:t xml:space="preserve"> del </w:t>
      </w:r>
      <w:proofErr w:type="spellStart"/>
      <w:r w:rsidRPr="0043350C">
        <w:t>Pp</w:t>
      </w:r>
      <w:proofErr w:type="spellEnd"/>
      <w:r w:rsidRPr="0043350C">
        <w:t xml:space="preserve"> </w:t>
      </w:r>
      <w:r w:rsidR="001C31F4">
        <w:t>son</w:t>
      </w:r>
      <w:r w:rsidR="002359FC">
        <w:t xml:space="preserve"> los siguientes:</w:t>
      </w:r>
      <w:r w:rsidRPr="0043350C">
        <w:t xml:space="preserve"> </w:t>
      </w:r>
      <w:r w:rsidR="001C31F4">
        <w:t>1) “Estrategias y acciones para prevenir, sancionar y erradicar los delitos en materia de trata de personas, violaciones a derechos humanos para la protección y la asistencia a las víctimas de estos delitos con dependencias, entidades, instituciones y/u organismos nacionales e internacionales formuladas”; 2) “Obligaciones nacionales e internacionales del Estado Mexicano en materia de Derechos Humanos atendidas”; 3) “Peticiones ciudadanas en materia de derechos humanos atendidas”; 4) “Diagnósticos estatales sobre la situación en materia de derechos humanos y/o programas estatales de política pública de derechos humanos elaborados”; 5) “Medidas preventivas o de protección a personas defensoras de derechos humanos y periodistas autorizadas por la Junta de Gobierno, implementadas”</w:t>
      </w:r>
      <w:r w:rsidRPr="0043350C">
        <w:t>.</w:t>
      </w:r>
    </w:p>
    <w:p w14:paraId="2030D903" w14:textId="77777777" w:rsidR="0029384A" w:rsidRDefault="001C31F4" w:rsidP="0029384A">
      <w:pPr>
        <w:pStyle w:val="Cdetexto"/>
      </w:pPr>
      <w:r>
        <w:t xml:space="preserve">El AEO definida en el diagnóstico del </w:t>
      </w:r>
      <w:proofErr w:type="spellStart"/>
      <w:r>
        <w:t>Pp</w:t>
      </w:r>
      <w:proofErr w:type="spellEnd"/>
      <w:r>
        <w:t xml:space="preserve"> es la siguiente: “</w:t>
      </w:r>
      <w:r w:rsidRPr="001C31F4">
        <w:t>Las</w:t>
      </w:r>
      <w:r>
        <w:t xml:space="preserve"> </w:t>
      </w:r>
      <w:r w:rsidRPr="001C31F4">
        <w:t>Dependencias</w:t>
      </w:r>
      <w:r>
        <w:t xml:space="preserve"> </w:t>
      </w:r>
      <w:r w:rsidRPr="001C31F4">
        <w:t>y</w:t>
      </w:r>
      <w:r>
        <w:t xml:space="preserve"> </w:t>
      </w:r>
      <w:r w:rsidRPr="001C31F4">
        <w:t>Entidades</w:t>
      </w:r>
      <w:r>
        <w:t xml:space="preserve"> </w:t>
      </w:r>
      <w:r w:rsidRPr="001C31F4">
        <w:t>de</w:t>
      </w:r>
      <w:r>
        <w:t xml:space="preserve"> </w:t>
      </w:r>
      <w:r w:rsidRPr="001C31F4">
        <w:t>la</w:t>
      </w:r>
      <w:r>
        <w:t xml:space="preserve"> </w:t>
      </w:r>
      <w:r w:rsidRPr="001C31F4">
        <w:t>Administración</w:t>
      </w:r>
      <w:r>
        <w:t xml:space="preserve"> </w:t>
      </w:r>
      <w:r w:rsidRPr="001C31F4">
        <w:t>Pública</w:t>
      </w:r>
      <w:r>
        <w:t xml:space="preserve"> </w:t>
      </w:r>
      <w:r w:rsidRPr="001C31F4">
        <w:t>Federal</w:t>
      </w:r>
      <w:r>
        <w:t xml:space="preserve"> </w:t>
      </w:r>
      <w:r w:rsidRPr="001C31F4">
        <w:t>(para</w:t>
      </w:r>
      <w:r>
        <w:t xml:space="preserve"> </w:t>
      </w:r>
      <w:r w:rsidRPr="001C31F4">
        <w:t>la</w:t>
      </w:r>
      <w:r>
        <w:t xml:space="preserve"> </w:t>
      </w:r>
      <w:r w:rsidRPr="001C31F4">
        <w:t>coordinación</w:t>
      </w:r>
      <w:r>
        <w:t xml:space="preserve"> </w:t>
      </w:r>
      <w:r w:rsidRPr="001C31F4">
        <w:t>interinstitucional</w:t>
      </w:r>
      <w:r>
        <w:t xml:space="preserve"> </w:t>
      </w:r>
      <w:r w:rsidRPr="001C31F4">
        <w:t>de</w:t>
      </w:r>
      <w:r>
        <w:t xml:space="preserve"> </w:t>
      </w:r>
      <w:r w:rsidRPr="001C31F4">
        <w:t>conformidad</w:t>
      </w:r>
      <w:r>
        <w:t xml:space="preserve"> </w:t>
      </w:r>
      <w:r w:rsidRPr="001C31F4">
        <w:t>al</w:t>
      </w:r>
      <w:r>
        <w:t xml:space="preserve"> </w:t>
      </w:r>
      <w:r w:rsidRPr="001C31F4">
        <w:t>marco</w:t>
      </w:r>
      <w:r>
        <w:t xml:space="preserve"> </w:t>
      </w:r>
      <w:r w:rsidRPr="001C31F4">
        <w:t>jurídico</w:t>
      </w:r>
      <w:r>
        <w:t xml:space="preserve"> </w:t>
      </w:r>
      <w:r w:rsidRPr="001C31F4">
        <w:t>aplicable)</w:t>
      </w:r>
      <w:r>
        <w:t xml:space="preserve"> </w:t>
      </w:r>
      <w:r w:rsidRPr="001C31F4">
        <w:t>y</w:t>
      </w:r>
      <w:r>
        <w:t xml:space="preserve"> </w:t>
      </w:r>
      <w:r w:rsidRPr="001C31F4">
        <w:t>las</w:t>
      </w:r>
      <w:r>
        <w:t xml:space="preserve"> </w:t>
      </w:r>
      <w:r w:rsidRPr="001C31F4">
        <w:t>entidades</w:t>
      </w:r>
      <w:r>
        <w:t xml:space="preserve"> </w:t>
      </w:r>
      <w:r w:rsidRPr="001C31F4">
        <w:t>federativas</w:t>
      </w:r>
      <w:r>
        <w:t xml:space="preserve"> </w:t>
      </w:r>
      <w:r w:rsidRPr="001C31F4">
        <w:t>(para</w:t>
      </w:r>
      <w:r>
        <w:t xml:space="preserve"> </w:t>
      </w:r>
      <w:r w:rsidRPr="001C31F4">
        <w:t>la</w:t>
      </w:r>
      <w:r>
        <w:t xml:space="preserve"> </w:t>
      </w:r>
      <w:r w:rsidRPr="001C31F4">
        <w:t>articulación</w:t>
      </w:r>
      <w:r>
        <w:t xml:space="preserve"> </w:t>
      </w:r>
      <w:r w:rsidRPr="001C31F4">
        <w:t>que,</w:t>
      </w:r>
      <w:r>
        <w:t xml:space="preserve"> en </w:t>
      </w:r>
      <w:r w:rsidRPr="001C31F4">
        <w:t>su</w:t>
      </w:r>
      <w:r>
        <w:t xml:space="preserve"> </w:t>
      </w:r>
      <w:r w:rsidRPr="001C31F4">
        <w:t>caso,</w:t>
      </w:r>
      <w:r>
        <w:t xml:space="preserve"> </w:t>
      </w:r>
      <w:r w:rsidRPr="001C31F4">
        <w:t>sea</w:t>
      </w:r>
      <w:r>
        <w:t xml:space="preserve"> posible </w:t>
      </w:r>
      <w:r w:rsidRPr="001C31F4">
        <w:t>establecer</w:t>
      </w:r>
      <w:r>
        <w:t xml:space="preserve"> </w:t>
      </w:r>
      <w:r w:rsidRPr="001C31F4">
        <w:t>de</w:t>
      </w:r>
      <w:r>
        <w:t xml:space="preserve"> </w:t>
      </w:r>
      <w:r w:rsidRPr="001C31F4">
        <w:t>conformidad</w:t>
      </w:r>
      <w:r>
        <w:t xml:space="preserve"> </w:t>
      </w:r>
      <w:r w:rsidRPr="001C31F4">
        <w:t>con</w:t>
      </w:r>
      <w:r>
        <w:t xml:space="preserve"> </w:t>
      </w:r>
      <w:r w:rsidRPr="001C31F4">
        <w:t>los</w:t>
      </w:r>
      <w:r>
        <w:t xml:space="preserve"> </w:t>
      </w:r>
      <w:r w:rsidRPr="001C31F4">
        <w:t>instrumentos</w:t>
      </w:r>
      <w:r>
        <w:t xml:space="preserve"> </w:t>
      </w:r>
      <w:r w:rsidRPr="001C31F4">
        <w:t>jurídicos</w:t>
      </w:r>
      <w:r>
        <w:t xml:space="preserve"> </w:t>
      </w:r>
      <w:r w:rsidRPr="001C31F4">
        <w:t>aplicables</w:t>
      </w:r>
      <w:r>
        <w:t xml:space="preserve"> </w:t>
      </w:r>
      <w:r w:rsidRPr="001C31F4">
        <w:t>que</w:t>
      </w:r>
      <w:r>
        <w:t xml:space="preserve"> </w:t>
      </w:r>
      <w:r w:rsidRPr="001C31F4">
        <w:t>correspondan)</w:t>
      </w:r>
      <w:r>
        <w:t>”</w:t>
      </w:r>
      <w:r w:rsidR="00B86DD0">
        <w:t>.</w:t>
      </w:r>
    </w:p>
    <w:p w14:paraId="0D020E14" w14:textId="77777777" w:rsidR="00864466" w:rsidRPr="0043350C" w:rsidRDefault="007532E0" w:rsidP="007532E0">
      <w:pPr>
        <w:pStyle w:val="Cdetexto"/>
      </w:pPr>
      <w:r>
        <w:t xml:space="preserve">El </w:t>
      </w:r>
      <w:proofErr w:type="spellStart"/>
      <w:r>
        <w:t>Pp</w:t>
      </w:r>
      <w:proofErr w:type="spellEnd"/>
      <w:r>
        <w:t xml:space="preserve"> se vincula con el PND a través de la Meta Nacional I. México en Paz, Objetivo 1.5.</w:t>
      </w:r>
      <w:r w:rsidR="00B451CA">
        <w:t xml:space="preserve"> </w:t>
      </w:r>
      <w:r>
        <w:t>Garantizar el respeto y protección de los derechos humanos y la erradicación de la discriminación</w:t>
      </w:r>
      <w:r w:rsidR="006A5BE6" w:rsidRPr="00A91516">
        <w:t>.</w:t>
      </w:r>
    </w:p>
    <w:p w14:paraId="22E2BB68" w14:textId="77777777" w:rsidR="00864466" w:rsidRPr="0043350C" w:rsidRDefault="00864466" w:rsidP="00864466">
      <w:pPr>
        <w:spacing w:line="250" w:lineRule="exact"/>
        <w:jc w:val="both"/>
        <w:rPr>
          <w:rFonts w:eastAsia="Times New Roman" w:cs="Arial"/>
          <w:b/>
          <w:szCs w:val="20"/>
          <w:lang w:val="es-ES"/>
        </w:rPr>
      </w:pPr>
      <w:r w:rsidRPr="0043350C">
        <w:rPr>
          <w:rFonts w:eastAsia="Times New Roman" w:cs="Arial"/>
          <w:b/>
          <w:szCs w:val="20"/>
          <w:lang w:val="es-ES"/>
        </w:rPr>
        <w:t>Principales Hallazgos</w:t>
      </w:r>
    </w:p>
    <w:p w14:paraId="6F3C49B6" w14:textId="77777777" w:rsidR="00864466" w:rsidRPr="0043350C" w:rsidRDefault="00864466" w:rsidP="00864466">
      <w:pPr>
        <w:spacing w:line="250" w:lineRule="exact"/>
        <w:jc w:val="both"/>
        <w:rPr>
          <w:i/>
          <w:lang w:val="es-ES"/>
        </w:rPr>
      </w:pPr>
      <w:r w:rsidRPr="0043350C">
        <w:rPr>
          <w:i/>
          <w:lang w:val="es-ES"/>
        </w:rPr>
        <w:t>Diseño:</w:t>
      </w:r>
    </w:p>
    <w:p w14:paraId="76E4CF83" w14:textId="77777777" w:rsidR="00BF4C1A" w:rsidRDefault="002359FC" w:rsidP="00864466">
      <w:pPr>
        <w:pStyle w:val="Cdetexto"/>
      </w:pPr>
      <w:r>
        <w:t>L</w:t>
      </w:r>
      <w:r w:rsidR="007532E0" w:rsidRPr="007532E0">
        <w:t>a</w:t>
      </w:r>
      <w:r>
        <w:t>s</w:t>
      </w:r>
      <w:r w:rsidR="007532E0">
        <w:t xml:space="preserve"> </w:t>
      </w:r>
      <w:r w:rsidR="007532E0" w:rsidRPr="007532E0">
        <w:t>definici</w:t>
      </w:r>
      <w:r>
        <w:t>o</w:t>
      </w:r>
      <w:r w:rsidR="007532E0" w:rsidRPr="007532E0">
        <w:t>n</w:t>
      </w:r>
      <w:r>
        <w:t>es</w:t>
      </w:r>
      <w:r w:rsidR="007532E0">
        <w:t xml:space="preserve"> </w:t>
      </w:r>
      <w:r w:rsidR="007532E0" w:rsidRPr="007532E0">
        <w:t>del</w:t>
      </w:r>
      <w:r w:rsidR="007532E0">
        <w:t xml:space="preserve"> </w:t>
      </w:r>
      <w:r w:rsidR="007532E0" w:rsidRPr="007532E0">
        <w:t>problema</w:t>
      </w:r>
      <w:r w:rsidR="007532E0">
        <w:t xml:space="preserve"> </w:t>
      </w:r>
      <w:r w:rsidR="007532E0" w:rsidRPr="007532E0">
        <w:t>que</w:t>
      </w:r>
      <w:r w:rsidR="00BF4C1A">
        <w:t xml:space="preserve"> </w:t>
      </w:r>
      <w:r w:rsidR="007532E0" w:rsidRPr="007532E0">
        <w:t>atiende</w:t>
      </w:r>
      <w:r w:rsidR="00BF4C1A">
        <w:t xml:space="preserve"> </w:t>
      </w:r>
      <w:r w:rsidR="007532E0" w:rsidRPr="007532E0">
        <w:t>el</w:t>
      </w:r>
      <w:r w:rsidR="00BF4C1A">
        <w:t xml:space="preserve"> </w:t>
      </w:r>
      <w:proofErr w:type="spellStart"/>
      <w:r w:rsidR="00BF4C1A">
        <w:t>Pp</w:t>
      </w:r>
      <w:proofErr w:type="spellEnd"/>
      <w:r>
        <w:t xml:space="preserve"> y </w:t>
      </w:r>
      <w:r w:rsidRPr="007532E0">
        <w:t>del</w:t>
      </w:r>
      <w:r>
        <w:t xml:space="preserve"> AEO </w:t>
      </w:r>
      <w:r w:rsidRPr="007532E0">
        <w:t>que</w:t>
      </w:r>
      <w:r>
        <w:t xml:space="preserve"> lo </w:t>
      </w:r>
      <w:r w:rsidRPr="007532E0">
        <w:t>sufre</w:t>
      </w:r>
      <w:r>
        <w:t xml:space="preserve"> no son claras</w:t>
      </w:r>
      <w:r w:rsidR="00BF4C1A">
        <w:t>.</w:t>
      </w:r>
      <w:r w:rsidR="00EE2823">
        <w:t xml:space="preserve"> Asimismo, el AEO </w:t>
      </w:r>
      <w:r w:rsidR="00BF4C1A" w:rsidRPr="00BF4C1A">
        <w:t>del</w:t>
      </w:r>
      <w:r w:rsidR="00BF4C1A">
        <w:t xml:space="preserve"> </w:t>
      </w:r>
      <w:proofErr w:type="spellStart"/>
      <w:r w:rsidR="00EE2823">
        <w:t>Pp</w:t>
      </w:r>
      <w:proofErr w:type="spellEnd"/>
      <w:r w:rsidR="00EE2823">
        <w:t xml:space="preserve"> </w:t>
      </w:r>
      <w:r w:rsidR="00BF4C1A">
        <w:t xml:space="preserve">no está cuantificada ni </w:t>
      </w:r>
      <w:r w:rsidR="00BF4C1A" w:rsidRPr="00BF4C1A">
        <w:t>caracterizada</w:t>
      </w:r>
      <w:r w:rsidR="00EE2823">
        <w:t>.</w:t>
      </w:r>
    </w:p>
    <w:p w14:paraId="42F9D34B" w14:textId="77777777" w:rsidR="00E83223" w:rsidRPr="0043350C" w:rsidRDefault="00BF4C1A" w:rsidP="00864466">
      <w:pPr>
        <w:pStyle w:val="Cdetexto"/>
      </w:pPr>
      <w:r w:rsidRPr="00BF4C1A">
        <w:t>El</w:t>
      </w:r>
      <w:r>
        <w:t xml:space="preserve"> </w:t>
      </w:r>
      <w:r w:rsidR="00EE2823">
        <w:t xml:space="preserve">objetivo de la MIR a </w:t>
      </w:r>
      <w:r w:rsidRPr="00BF4C1A">
        <w:t>nivel</w:t>
      </w:r>
      <w:r>
        <w:t xml:space="preserve"> propósito </w:t>
      </w:r>
      <w:r w:rsidR="007353A3">
        <w:t xml:space="preserve">no </w:t>
      </w:r>
      <w:r>
        <w:t xml:space="preserve">está </w:t>
      </w:r>
      <w:r w:rsidRPr="00BF4C1A">
        <w:t>definido</w:t>
      </w:r>
      <w:r>
        <w:t xml:space="preserve"> </w:t>
      </w:r>
      <w:r w:rsidRPr="00BF4C1A">
        <w:t>correctamente</w:t>
      </w:r>
      <w:r w:rsidR="007353A3">
        <w:t>.</w:t>
      </w:r>
    </w:p>
    <w:p w14:paraId="052BC415" w14:textId="77777777" w:rsidR="00864466" w:rsidRPr="0043350C" w:rsidRDefault="00864466" w:rsidP="00864466">
      <w:pPr>
        <w:spacing w:line="250" w:lineRule="exact"/>
        <w:jc w:val="both"/>
        <w:rPr>
          <w:i/>
          <w:lang w:val="es-ES"/>
        </w:rPr>
      </w:pPr>
      <w:r w:rsidRPr="0043350C">
        <w:rPr>
          <w:i/>
          <w:lang w:val="es-ES"/>
        </w:rPr>
        <w:t>Planeación y Orientación a Resultados:</w:t>
      </w:r>
    </w:p>
    <w:p w14:paraId="7B0E1951" w14:textId="77777777" w:rsidR="00BF4C1A" w:rsidRPr="0043350C" w:rsidRDefault="007353A3" w:rsidP="00864466">
      <w:pPr>
        <w:pStyle w:val="Cdetexto"/>
      </w:pPr>
      <w:r>
        <w:t xml:space="preserve">Las UR del </w:t>
      </w:r>
      <w:proofErr w:type="spellStart"/>
      <w:r>
        <w:t>Pp</w:t>
      </w:r>
      <w:proofErr w:type="spellEnd"/>
      <w:r>
        <w:t xml:space="preserve"> no </w:t>
      </w:r>
      <w:r w:rsidR="00BF4C1A" w:rsidRPr="00BF4C1A">
        <w:t>cuenta</w:t>
      </w:r>
      <w:r>
        <w:t>n</w:t>
      </w:r>
      <w:r w:rsidR="00BF4C1A">
        <w:t xml:space="preserve"> </w:t>
      </w:r>
      <w:r w:rsidR="00BF4C1A" w:rsidRPr="00BF4C1A">
        <w:t>con</w:t>
      </w:r>
      <w:r w:rsidR="00BF4C1A">
        <w:t xml:space="preserve"> </w:t>
      </w:r>
      <w:r w:rsidR="00BF4C1A" w:rsidRPr="00BF4C1A">
        <w:t>un</w:t>
      </w:r>
      <w:r w:rsidR="00BF4C1A">
        <w:t xml:space="preserve"> </w:t>
      </w:r>
      <w:r w:rsidR="00BF4C1A" w:rsidRPr="00BF4C1A">
        <w:t>documento</w:t>
      </w:r>
      <w:r w:rsidR="00BF4C1A">
        <w:t xml:space="preserve"> </w:t>
      </w:r>
      <w:r w:rsidR="00BF4C1A" w:rsidRPr="00BF4C1A">
        <w:t>específico</w:t>
      </w:r>
      <w:r w:rsidR="00BF4C1A">
        <w:t xml:space="preserve"> </w:t>
      </w:r>
      <w:r w:rsidR="00BF4C1A" w:rsidRPr="00BF4C1A">
        <w:t>de</w:t>
      </w:r>
      <w:r w:rsidR="00BF4C1A">
        <w:t xml:space="preserve"> </w:t>
      </w:r>
      <w:r w:rsidR="00BF4C1A" w:rsidRPr="00BF4C1A">
        <w:t>planeación</w:t>
      </w:r>
      <w:r w:rsidR="00BF4C1A">
        <w:t xml:space="preserve"> </w:t>
      </w:r>
      <w:r w:rsidR="00BF4C1A" w:rsidRPr="00BF4C1A">
        <w:t>estratégica</w:t>
      </w:r>
      <w:r w:rsidR="00BF4C1A">
        <w:t xml:space="preserve"> </w:t>
      </w:r>
      <w:r w:rsidR="00BF4C1A" w:rsidRPr="00BF4C1A">
        <w:t>(mediano</w:t>
      </w:r>
      <w:r w:rsidR="00BF4C1A">
        <w:t xml:space="preserve"> </w:t>
      </w:r>
      <w:r w:rsidR="00BF4C1A" w:rsidRPr="00BF4C1A">
        <w:t>plazo)</w:t>
      </w:r>
      <w:r w:rsidR="00BF4C1A">
        <w:t xml:space="preserve"> </w:t>
      </w:r>
      <w:r w:rsidR="00BF4C1A" w:rsidRPr="00BF4C1A">
        <w:t>para</w:t>
      </w:r>
      <w:r w:rsidR="00BF4C1A">
        <w:t xml:space="preserve"> </w:t>
      </w:r>
      <w:r w:rsidR="00BF4C1A" w:rsidRPr="00BF4C1A">
        <w:t>el</w:t>
      </w:r>
      <w:r w:rsidR="00BF4C1A">
        <w:t xml:space="preserve"> </w:t>
      </w:r>
      <w:proofErr w:type="spellStart"/>
      <w:r w:rsidR="00BF4C1A">
        <w:t>Pp</w:t>
      </w:r>
      <w:proofErr w:type="spellEnd"/>
      <w:r>
        <w:t>, ni con uno</w:t>
      </w:r>
      <w:r w:rsidR="00BF4C1A">
        <w:t xml:space="preserve"> </w:t>
      </w:r>
      <w:r w:rsidR="00BF4C1A" w:rsidRPr="00BF4C1A">
        <w:t>que</w:t>
      </w:r>
      <w:r w:rsidR="00BF4C1A">
        <w:t xml:space="preserve"> </w:t>
      </w:r>
      <w:r w:rsidR="00BF4C1A" w:rsidRPr="00BF4C1A">
        <w:t>describa</w:t>
      </w:r>
      <w:r w:rsidR="002162D4">
        <w:t xml:space="preserve"> </w:t>
      </w:r>
      <w:r w:rsidR="00BF4C1A" w:rsidRPr="00BF4C1A">
        <w:t>las</w:t>
      </w:r>
      <w:r w:rsidR="002162D4">
        <w:t xml:space="preserve"> </w:t>
      </w:r>
      <w:r w:rsidR="00BF4C1A" w:rsidRPr="00BF4C1A">
        <w:t>características</w:t>
      </w:r>
      <w:r w:rsidR="002162D4">
        <w:t xml:space="preserve"> </w:t>
      </w:r>
      <w:r w:rsidR="00BF4C1A" w:rsidRPr="00BF4C1A">
        <w:t>de</w:t>
      </w:r>
      <w:r>
        <w:t>l</w:t>
      </w:r>
      <w:r w:rsidR="002162D4">
        <w:t xml:space="preserve"> </w:t>
      </w:r>
      <w:r>
        <w:t xml:space="preserve">AEO </w:t>
      </w:r>
      <w:r w:rsidR="00BF4C1A" w:rsidRPr="00BF4C1A">
        <w:t>y</w:t>
      </w:r>
      <w:r>
        <w:t>,</w:t>
      </w:r>
      <w:r w:rsidR="002162D4">
        <w:t xml:space="preserve"> </w:t>
      </w:r>
      <w:r w:rsidR="00BF4C1A" w:rsidRPr="00BF4C1A">
        <w:t>por</w:t>
      </w:r>
      <w:r w:rsidR="002162D4">
        <w:t xml:space="preserve"> </w:t>
      </w:r>
      <w:r w:rsidR="00BF4C1A" w:rsidRPr="00BF4C1A">
        <w:t>consiguiente,</w:t>
      </w:r>
      <w:r w:rsidR="002162D4">
        <w:t xml:space="preserve"> </w:t>
      </w:r>
      <w:r w:rsidR="00BF4C1A" w:rsidRPr="00BF4C1A">
        <w:t>tampoco</w:t>
      </w:r>
      <w:r w:rsidR="002162D4">
        <w:t xml:space="preserve"> </w:t>
      </w:r>
      <w:r>
        <w:t>respecto d</w:t>
      </w:r>
      <w:r w:rsidR="00BF4C1A" w:rsidRPr="00BF4C1A">
        <w:t>el</w:t>
      </w:r>
      <w:r>
        <w:t xml:space="preserve"> AEO </w:t>
      </w:r>
      <w:r w:rsidR="00BF4C1A" w:rsidRPr="00BF4C1A">
        <w:t>no</w:t>
      </w:r>
      <w:r w:rsidR="002162D4">
        <w:t xml:space="preserve"> </w:t>
      </w:r>
      <w:r w:rsidR="00BF4C1A" w:rsidRPr="00BF4C1A">
        <w:t>atendida</w:t>
      </w:r>
      <w:r w:rsidR="002162D4">
        <w:t xml:space="preserve"> </w:t>
      </w:r>
      <w:r w:rsidR="00BF4C1A" w:rsidRPr="00BF4C1A">
        <w:t>y</w:t>
      </w:r>
      <w:r w:rsidR="002162D4">
        <w:t xml:space="preserve"> </w:t>
      </w:r>
      <w:r w:rsidR="00BF4C1A" w:rsidRPr="00BF4C1A">
        <w:t>las</w:t>
      </w:r>
      <w:r w:rsidR="002162D4">
        <w:t xml:space="preserve"> </w:t>
      </w:r>
      <w:r w:rsidR="00BF4C1A" w:rsidRPr="00BF4C1A">
        <w:t>causas</w:t>
      </w:r>
      <w:r w:rsidR="002162D4">
        <w:t xml:space="preserve"> </w:t>
      </w:r>
      <w:r w:rsidR="00BF4C1A" w:rsidRPr="00BF4C1A">
        <w:t>de</w:t>
      </w:r>
      <w:r w:rsidR="002162D4">
        <w:t xml:space="preserve"> </w:t>
      </w:r>
      <w:r w:rsidR="00BF4C1A" w:rsidRPr="00BF4C1A">
        <w:t>no</w:t>
      </w:r>
      <w:r w:rsidR="002162D4">
        <w:t xml:space="preserve"> </w:t>
      </w:r>
      <w:r w:rsidR="00BF4C1A" w:rsidRPr="00BF4C1A">
        <w:t>atención</w:t>
      </w:r>
      <w:r w:rsidR="002162D4">
        <w:t>.</w:t>
      </w:r>
    </w:p>
    <w:p w14:paraId="66EE2166" w14:textId="77777777" w:rsidR="00864466" w:rsidRPr="0043350C" w:rsidRDefault="00864466" w:rsidP="00864466">
      <w:pPr>
        <w:spacing w:before="240" w:line="250" w:lineRule="exact"/>
        <w:jc w:val="both"/>
        <w:rPr>
          <w:i/>
          <w:lang w:val="es-ES"/>
        </w:rPr>
      </w:pPr>
      <w:r w:rsidRPr="0043350C">
        <w:rPr>
          <w:i/>
          <w:szCs w:val="22"/>
        </w:rPr>
        <w:t>Cobertura y Focalización:</w:t>
      </w:r>
    </w:p>
    <w:p w14:paraId="58843253" w14:textId="77777777" w:rsidR="00E83223" w:rsidRDefault="00BF4C1A" w:rsidP="00E83223">
      <w:pPr>
        <w:pStyle w:val="Cdetexto"/>
      </w:pPr>
      <w:r w:rsidRPr="00BF4C1A">
        <w:t>El</w:t>
      </w:r>
      <w:r w:rsidR="002162D4">
        <w:t xml:space="preserve"> </w:t>
      </w:r>
      <w:proofErr w:type="spellStart"/>
      <w:r w:rsidR="002162D4">
        <w:t>Pp</w:t>
      </w:r>
      <w:proofErr w:type="spellEnd"/>
      <w:r w:rsidR="002162D4">
        <w:t xml:space="preserve"> </w:t>
      </w:r>
      <w:r w:rsidRPr="00BF4C1A">
        <w:t>no</w:t>
      </w:r>
      <w:r w:rsidR="002162D4">
        <w:t xml:space="preserve"> </w:t>
      </w:r>
      <w:r w:rsidRPr="00BF4C1A">
        <w:t>cuenta</w:t>
      </w:r>
      <w:r w:rsidR="002162D4">
        <w:t xml:space="preserve"> </w:t>
      </w:r>
      <w:r w:rsidRPr="00BF4C1A">
        <w:t>con</w:t>
      </w:r>
      <w:r w:rsidR="002162D4">
        <w:t xml:space="preserve"> </w:t>
      </w:r>
      <w:r w:rsidRPr="00BF4C1A">
        <w:t>una</w:t>
      </w:r>
      <w:r w:rsidR="002162D4">
        <w:t xml:space="preserve"> </w:t>
      </w:r>
      <w:r w:rsidRPr="00BF4C1A">
        <w:t>estrategia</w:t>
      </w:r>
      <w:r w:rsidR="002162D4">
        <w:t xml:space="preserve"> </w:t>
      </w:r>
      <w:r w:rsidRPr="00BF4C1A">
        <w:t>de</w:t>
      </w:r>
      <w:r w:rsidR="002162D4">
        <w:t xml:space="preserve"> </w:t>
      </w:r>
      <w:r w:rsidRPr="00BF4C1A">
        <w:t>cobertura</w:t>
      </w:r>
      <w:r w:rsidR="002162D4">
        <w:t xml:space="preserve"> de </w:t>
      </w:r>
      <w:r w:rsidRPr="00BF4C1A">
        <w:t>mediano</w:t>
      </w:r>
      <w:r w:rsidR="002162D4">
        <w:t xml:space="preserve"> plazo</w:t>
      </w:r>
      <w:r w:rsidR="00E83223">
        <w:t>.</w:t>
      </w:r>
    </w:p>
    <w:p w14:paraId="628B860C" w14:textId="77777777" w:rsidR="00864466" w:rsidRDefault="00864466" w:rsidP="00864466">
      <w:pPr>
        <w:spacing w:before="240" w:line="250" w:lineRule="exact"/>
        <w:contextualSpacing/>
        <w:jc w:val="both"/>
        <w:rPr>
          <w:i/>
          <w:szCs w:val="18"/>
        </w:rPr>
      </w:pPr>
      <w:r w:rsidRPr="0043350C">
        <w:rPr>
          <w:i/>
          <w:szCs w:val="18"/>
        </w:rPr>
        <w:t>Operación:</w:t>
      </w:r>
    </w:p>
    <w:p w14:paraId="1DA269C8" w14:textId="77777777" w:rsidR="00CF2379" w:rsidRDefault="00BF4C1A" w:rsidP="00CF2379">
      <w:pPr>
        <w:pStyle w:val="Cdetexto"/>
      </w:pPr>
      <w:r w:rsidRPr="00BF4C1A">
        <w:t>No</w:t>
      </w:r>
      <w:r w:rsidR="002162D4">
        <w:t xml:space="preserve"> </w:t>
      </w:r>
      <w:r w:rsidRPr="00BF4C1A">
        <w:t>se</w:t>
      </w:r>
      <w:r w:rsidR="002162D4">
        <w:t xml:space="preserve"> </w:t>
      </w:r>
      <w:r w:rsidR="007353A3">
        <w:t>tuvo acceso a</w:t>
      </w:r>
      <w:r w:rsidR="002162D4">
        <w:t xml:space="preserve"> </w:t>
      </w:r>
      <w:r w:rsidRPr="00BF4C1A">
        <w:t>evidencia</w:t>
      </w:r>
      <w:r w:rsidR="002162D4">
        <w:t xml:space="preserve"> </w:t>
      </w:r>
      <w:r w:rsidR="007353A3">
        <w:t>sobr</w:t>
      </w:r>
      <w:r w:rsidRPr="00BF4C1A">
        <w:t>e</w:t>
      </w:r>
      <w:r w:rsidR="002162D4">
        <w:t xml:space="preserve"> </w:t>
      </w:r>
      <w:r w:rsidRPr="00BF4C1A">
        <w:t>información</w:t>
      </w:r>
      <w:r w:rsidR="002162D4">
        <w:t xml:space="preserve"> </w:t>
      </w:r>
      <w:r w:rsidRPr="00BF4C1A">
        <w:t>sistematizada</w:t>
      </w:r>
      <w:r w:rsidR="002162D4">
        <w:t xml:space="preserve"> </w:t>
      </w:r>
      <w:r w:rsidRPr="00BF4C1A">
        <w:t>que</w:t>
      </w:r>
      <w:r w:rsidR="002162D4">
        <w:t xml:space="preserve"> </w:t>
      </w:r>
      <w:r w:rsidRPr="00BF4C1A">
        <w:t>permita</w:t>
      </w:r>
      <w:r w:rsidR="002162D4">
        <w:t xml:space="preserve"> </w:t>
      </w:r>
      <w:r w:rsidRPr="00BF4C1A">
        <w:t>conocer</w:t>
      </w:r>
      <w:r w:rsidR="002162D4">
        <w:t xml:space="preserve"> </w:t>
      </w:r>
      <w:r w:rsidRPr="00BF4C1A">
        <w:t>la</w:t>
      </w:r>
      <w:r w:rsidR="002162D4">
        <w:t xml:space="preserve"> </w:t>
      </w:r>
      <w:r w:rsidRPr="00BF4C1A">
        <w:t>demanda</w:t>
      </w:r>
      <w:r w:rsidR="002162D4">
        <w:t xml:space="preserve"> </w:t>
      </w:r>
      <w:r w:rsidRPr="00BF4C1A">
        <w:t>total</w:t>
      </w:r>
      <w:r w:rsidR="002162D4">
        <w:t xml:space="preserve"> </w:t>
      </w:r>
      <w:r w:rsidRPr="00BF4C1A">
        <w:t>de</w:t>
      </w:r>
      <w:r w:rsidR="002162D4">
        <w:t xml:space="preserve"> </w:t>
      </w:r>
      <w:r w:rsidRPr="00BF4C1A">
        <w:t>cada</w:t>
      </w:r>
      <w:r w:rsidR="002162D4">
        <w:t xml:space="preserve"> </w:t>
      </w:r>
      <w:r w:rsidRPr="00BF4C1A">
        <w:t>entregable</w:t>
      </w:r>
      <w:r w:rsidR="007353A3">
        <w:t xml:space="preserve"> que genera el </w:t>
      </w:r>
      <w:proofErr w:type="spellStart"/>
      <w:r w:rsidR="007353A3">
        <w:t>Pp</w:t>
      </w:r>
      <w:proofErr w:type="spellEnd"/>
      <w:r w:rsidRPr="00BF4C1A">
        <w:t>,</w:t>
      </w:r>
      <w:r w:rsidR="002162D4">
        <w:t xml:space="preserve"> </w:t>
      </w:r>
      <w:r w:rsidRPr="00BF4C1A">
        <w:t>ni</w:t>
      </w:r>
      <w:r w:rsidR="002162D4">
        <w:t xml:space="preserve"> </w:t>
      </w:r>
      <w:r w:rsidRPr="00BF4C1A">
        <w:t>de</w:t>
      </w:r>
      <w:r w:rsidR="002162D4">
        <w:t xml:space="preserve"> </w:t>
      </w:r>
      <w:r w:rsidRPr="00BF4C1A">
        <w:t>las</w:t>
      </w:r>
      <w:r w:rsidR="002162D4">
        <w:t xml:space="preserve"> </w:t>
      </w:r>
      <w:r w:rsidRPr="00BF4C1A">
        <w:t>características</w:t>
      </w:r>
      <w:r w:rsidR="002162D4">
        <w:t xml:space="preserve"> </w:t>
      </w:r>
      <w:r w:rsidRPr="00BF4C1A">
        <w:t>específicas</w:t>
      </w:r>
      <w:r w:rsidR="002162D4">
        <w:t xml:space="preserve"> </w:t>
      </w:r>
      <w:r w:rsidRPr="00BF4C1A">
        <w:t>del</w:t>
      </w:r>
      <w:r w:rsidR="002162D4">
        <w:t xml:space="preserve"> </w:t>
      </w:r>
      <w:r w:rsidR="007353A3">
        <w:t xml:space="preserve">AEO </w:t>
      </w:r>
      <w:r w:rsidRPr="00BF4C1A">
        <w:t>solicitante</w:t>
      </w:r>
      <w:r w:rsidR="00CF2379" w:rsidRPr="00CF2379">
        <w:t>.</w:t>
      </w:r>
    </w:p>
    <w:p w14:paraId="7AC0D4F3" w14:textId="77777777" w:rsidR="00BF4C1A" w:rsidRDefault="00BF4C1A" w:rsidP="00CF2379">
      <w:pPr>
        <w:pStyle w:val="Cdetexto"/>
      </w:pPr>
      <w:r w:rsidRPr="00BF4C1A">
        <w:t>No</w:t>
      </w:r>
      <w:r w:rsidR="002162D4">
        <w:t xml:space="preserve"> </w:t>
      </w:r>
      <w:r w:rsidR="00AA6C5E" w:rsidRPr="00BF4C1A">
        <w:t>están</w:t>
      </w:r>
      <w:r w:rsidR="00AA6C5E">
        <w:t xml:space="preserve"> </w:t>
      </w:r>
      <w:r w:rsidR="00AA6C5E" w:rsidRPr="00BF4C1A">
        <w:t xml:space="preserve">documentados </w:t>
      </w:r>
      <w:r w:rsidRPr="00BF4C1A">
        <w:t>todos</w:t>
      </w:r>
      <w:r w:rsidR="002162D4">
        <w:t xml:space="preserve"> </w:t>
      </w:r>
      <w:r w:rsidRPr="00BF4C1A">
        <w:t>los</w:t>
      </w:r>
      <w:r w:rsidR="002162D4">
        <w:t xml:space="preserve"> </w:t>
      </w:r>
      <w:r w:rsidRPr="00BF4C1A">
        <w:t>procedimientos</w:t>
      </w:r>
      <w:r w:rsidR="002162D4">
        <w:t xml:space="preserve"> </w:t>
      </w:r>
      <w:r w:rsidRPr="00BF4C1A">
        <w:t>para</w:t>
      </w:r>
      <w:r w:rsidR="002162D4">
        <w:t xml:space="preserve"> </w:t>
      </w:r>
      <w:r w:rsidRPr="00BF4C1A">
        <w:t>otorgar</w:t>
      </w:r>
      <w:r w:rsidR="002162D4">
        <w:t xml:space="preserve"> </w:t>
      </w:r>
      <w:r w:rsidR="00AA6C5E">
        <w:t xml:space="preserve">y para verificar la entrega de </w:t>
      </w:r>
      <w:r w:rsidRPr="00BF4C1A">
        <w:t>los</w:t>
      </w:r>
      <w:r w:rsidR="002162D4">
        <w:t xml:space="preserve"> c</w:t>
      </w:r>
      <w:r w:rsidRPr="00BF4C1A">
        <w:t>omponentes.</w:t>
      </w:r>
    </w:p>
    <w:p w14:paraId="52B6706D" w14:textId="77777777" w:rsidR="00BF4C1A" w:rsidRDefault="00BF4C1A" w:rsidP="00CF2379">
      <w:pPr>
        <w:pStyle w:val="Cdetexto"/>
      </w:pPr>
      <w:r w:rsidRPr="00BF4C1A">
        <w:t>Menos</w:t>
      </w:r>
      <w:r w:rsidR="002162D4">
        <w:t xml:space="preserve"> </w:t>
      </w:r>
      <w:r w:rsidRPr="00BF4C1A">
        <w:t>de</w:t>
      </w:r>
      <w:r w:rsidR="002162D4">
        <w:t xml:space="preserve"> </w:t>
      </w:r>
      <w:r w:rsidRPr="00BF4C1A">
        <w:t>30%</w:t>
      </w:r>
      <w:r w:rsidR="002162D4">
        <w:t xml:space="preserve"> </w:t>
      </w:r>
      <w:r w:rsidRPr="00BF4C1A">
        <w:t>de</w:t>
      </w:r>
      <w:r w:rsidR="002162D4">
        <w:t xml:space="preserve"> </w:t>
      </w:r>
      <w:r w:rsidRPr="00BF4C1A">
        <w:t>los</w:t>
      </w:r>
      <w:r w:rsidR="002162D4">
        <w:t xml:space="preserve"> </w:t>
      </w:r>
      <w:r w:rsidRPr="00BF4C1A">
        <w:t>indicadores</w:t>
      </w:r>
      <w:r w:rsidR="002162D4">
        <w:t xml:space="preserve"> </w:t>
      </w:r>
      <w:r w:rsidRPr="00BF4C1A">
        <w:t>del</w:t>
      </w:r>
      <w:r w:rsidR="002162D4">
        <w:t xml:space="preserve"> </w:t>
      </w:r>
      <w:proofErr w:type="spellStart"/>
      <w:r w:rsidR="002162D4">
        <w:t>Pp</w:t>
      </w:r>
      <w:proofErr w:type="spellEnd"/>
      <w:r w:rsidR="002162D4">
        <w:t xml:space="preserve"> </w:t>
      </w:r>
      <w:r w:rsidRPr="00BF4C1A">
        <w:t>reportó</w:t>
      </w:r>
      <w:r w:rsidR="002162D4">
        <w:t xml:space="preserve"> </w:t>
      </w:r>
      <w:r w:rsidRPr="00BF4C1A">
        <w:t>un</w:t>
      </w:r>
      <w:r w:rsidR="002162D4">
        <w:t xml:space="preserve"> </w:t>
      </w:r>
      <w:r w:rsidRPr="00BF4C1A">
        <w:t>avance</w:t>
      </w:r>
      <w:r w:rsidR="002162D4">
        <w:t xml:space="preserve"> </w:t>
      </w:r>
      <w:r w:rsidRPr="00BF4C1A">
        <w:t>de</w:t>
      </w:r>
      <w:r w:rsidR="002162D4">
        <w:t xml:space="preserve"> </w:t>
      </w:r>
      <w:r w:rsidRPr="00BF4C1A">
        <w:t>entre</w:t>
      </w:r>
      <w:r w:rsidR="002162D4">
        <w:t xml:space="preserve"> </w:t>
      </w:r>
      <w:r w:rsidRPr="00BF4C1A">
        <w:t>85%</w:t>
      </w:r>
      <w:r w:rsidR="002162D4">
        <w:t xml:space="preserve"> </w:t>
      </w:r>
      <w:r w:rsidRPr="00BF4C1A">
        <w:t>y</w:t>
      </w:r>
      <w:r w:rsidR="002162D4">
        <w:t xml:space="preserve"> 115%</w:t>
      </w:r>
      <w:r w:rsidR="00AA6C5E">
        <w:t>.</w:t>
      </w:r>
    </w:p>
    <w:p w14:paraId="3C03F312" w14:textId="77777777" w:rsidR="00BF4C1A" w:rsidRPr="0043350C" w:rsidRDefault="00AA6C5E" w:rsidP="00CF2379">
      <w:pPr>
        <w:pStyle w:val="Cdetexto"/>
      </w:pPr>
      <w:r>
        <w:t>N</w:t>
      </w:r>
      <w:r w:rsidR="00BF4C1A" w:rsidRPr="00BF4C1A">
        <w:t>o</w:t>
      </w:r>
      <w:r w:rsidR="002162D4">
        <w:t xml:space="preserve"> </w:t>
      </w:r>
      <w:r w:rsidR="00BF4C1A" w:rsidRPr="00BF4C1A">
        <w:t>es</w:t>
      </w:r>
      <w:r w:rsidR="002162D4">
        <w:t xml:space="preserve"> </w:t>
      </w:r>
      <w:r w:rsidR="00BF4C1A" w:rsidRPr="00BF4C1A">
        <w:t>de</w:t>
      </w:r>
      <w:r w:rsidR="002162D4">
        <w:t xml:space="preserve"> </w:t>
      </w:r>
      <w:r w:rsidR="00BF4C1A" w:rsidRPr="00BF4C1A">
        <w:t>fácil</w:t>
      </w:r>
      <w:r w:rsidR="002162D4">
        <w:t xml:space="preserve"> </w:t>
      </w:r>
      <w:r w:rsidR="00BF4C1A" w:rsidRPr="00BF4C1A">
        <w:t>acceso</w:t>
      </w:r>
      <w:r w:rsidR="002162D4">
        <w:t xml:space="preserve"> </w:t>
      </w:r>
      <w:r>
        <w:t xml:space="preserve">la consulta de </w:t>
      </w:r>
      <w:r w:rsidRPr="00BF4C1A">
        <w:t>información</w:t>
      </w:r>
      <w:r>
        <w:t xml:space="preserve"> </w:t>
      </w:r>
      <w:r w:rsidRPr="00BF4C1A">
        <w:t>relacionada</w:t>
      </w:r>
      <w:r>
        <w:t xml:space="preserve"> </w:t>
      </w:r>
      <w:r w:rsidRPr="00BF4C1A">
        <w:t>con</w:t>
      </w:r>
      <w:r>
        <w:t xml:space="preserve"> </w:t>
      </w:r>
      <w:r w:rsidRPr="00BF4C1A">
        <w:t>el</w:t>
      </w:r>
      <w:r>
        <w:t xml:space="preserve"> </w:t>
      </w:r>
      <w:proofErr w:type="spellStart"/>
      <w:r>
        <w:t>Pp</w:t>
      </w:r>
      <w:proofErr w:type="spellEnd"/>
      <w:r w:rsidRPr="00BF4C1A">
        <w:t xml:space="preserve"> </w:t>
      </w:r>
      <w:r>
        <w:t xml:space="preserve">desde </w:t>
      </w:r>
      <w:r w:rsidR="00BF4C1A" w:rsidRPr="00BF4C1A">
        <w:t>la</w:t>
      </w:r>
      <w:r w:rsidR="002162D4">
        <w:t xml:space="preserve"> </w:t>
      </w:r>
      <w:r w:rsidR="00BF4C1A" w:rsidRPr="00BF4C1A">
        <w:t>página</w:t>
      </w:r>
      <w:r w:rsidR="002162D4">
        <w:t xml:space="preserve"> </w:t>
      </w:r>
      <w:r w:rsidR="00BF4C1A" w:rsidRPr="00BF4C1A">
        <w:t>principal</w:t>
      </w:r>
      <w:r w:rsidR="002162D4">
        <w:t xml:space="preserve"> </w:t>
      </w:r>
      <w:r w:rsidR="00BF4C1A" w:rsidRPr="00BF4C1A">
        <w:t>de</w:t>
      </w:r>
      <w:r w:rsidR="002162D4">
        <w:t xml:space="preserve"> </w:t>
      </w:r>
      <w:r w:rsidR="00BF4C1A" w:rsidRPr="00BF4C1A">
        <w:t>la</w:t>
      </w:r>
      <w:r w:rsidR="002162D4">
        <w:t xml:space="preserve"> </w:t>
      </w:r>
      <w:r w:rsidR="00CB734C">
        <w:t>SEGOB</w:t>
      </w:r>
      <w:r w:rsidR="002162D4">
        <w:t>.</w:t>
      </w:r>
    </w:p>
    <w:p w14:paraId="7E90BB79" w14:textId="77777777" w:rsidR="00864466" w:rsidRPr="0043350C" w:rsidRDefault="00864466" w:rsidP="00864466">
      <w:pPr>
        <w:pStyle w:val="Cdetexto"/>
      </w:pPr>
      <w:r w:rsidRPr="0043350C">
        <w:rPr>
          <w:i/>
          <w:szCs w:val="22"/>
        </w:rPr>
        <w:lastRenderedPageBreak/>
        <w:t>Percepción de la Población Atendida:</w:t>
      </w:r>
    </w:p>
    <w:p w14:paraId="11750B2B" w14:textId="77777777" w:rsidR="00CF2379" w:rsidRDefault="00BF4C1A" w:rsidP="00864466">
      <w:pPr>
        <w:pStyle w:val="Cdetexto"/>
      </w:pPr>
      <w:r w:rsidRPr="00BF4C1A">
        <w:t>El</w:t>
      </w:r>
      <w:r w:rsidR="002162D4">
        <w:t xml:space="preserve"> </w:t>
      </w:r>
      <w:proofErr w:type="spellStart"/>
      <w:r w:rsidR="002162D4">
        <w:t>Pp</w:t>
      </w:r>
      <w:proofErr w:type="spellEnd"/>
      <w:r w:rsidR="002162D4">
        <w:t xml:space="preserve"> </w:t>
      </w:r>
      <w:r w:rsidRPr="00BF4C1A">
        <w:t>no</w:t>
      </w:r>
      <w:r w:rsidR="002162D4">
        <w:t xml:space="preserve"> </w:t>
      </w:r>
      <w:r w:rsidRPr="00BF4C1A">
        <w:t>cuenta</w:t>
      </w:r>
      <w:r w:rsidR="002162D4">
        <w:t xml:space="preserve"> </w:t>
      </w:r>
      <w:r w:rsidRPr="00BF4C1A">
        <w:t>con</w:t>
      </w:r>
      <w:r w:rsidR="002162D4">
        <w:t xml:space="preserve"> </w:t>
      </w:r>
      <w:r w:rsidRPr="00BF4C1A">
        <w:t>instrumentos</w:t>
      </w:r>
      <w:r w:rsidR="002162D4">
        <w:t xml:space="preserve"> </w:t>
      </w:r>
      <w:r w:rsidRPr="00BF4C1A">
        <w:t>para</w:t>
      </w:r>
      <w:r w:rsidR="002162D4">
        <w:t xml:space="preserve"> </w:t>
      </w:r>
      <w:r w:rsidRPr="00BF4C1A">
        <w:t>medir</w:t>
      </w:r>
      <w:r w:rsidR="002162D4">
        <w:t xml:space="preserve"> el g</w:t>
      </w:r>
      <w:r w:rsidRPr="00BF4C1A">
        <w:t>rado</w:t>
      </w:r>
      <w:r w:rsidR="002162D4">
        <w:t xml:space="preserve"> </w:t>
      </w:r>
      <w:r w:rsidRPr="00BF4C1A">
        <w:t>de</w:t>
      </w:r>
      <w:r w:rsidR="002162D4">
        <w:t xml:space="preserve"> </w:t>
      </w:r>
      <w:r w:rsidRPr="00BF4C1A">
        <w:t>satisfacción</w:t>
      </w:r>
      <w:r w:rsidR="002162D4">
        <w:t xml:space="preserve"> </w:t>
      </w:r>
      <w:r w:rsidRPr="00BF4C1A">
        <w:t>de</w:t>
      </w:r>
      <w:r w:rsidR="002162D4">
        <w:t xml:space="preserve"> </w:t>
      </w:r>
      <w:r w:rsidRPr="00BF4C1A">
        <w:t>su</w:t>
      </w:r>
      <w:r w:rsidR="002162D4">
        <w:t xml:space="preserve"> </w:t>
      </w:r>
      <w:r w:rsidR="00AA6C5E">
        <w:t>AEA</w:t>
      </w:r>
      <w:r w:rsidR="00CF2379">
        <w:t>.</w:t>
      </w:r>
    </w:p>
    <w:p w14:paraId="523A2DFD" w14:textId="77777777" w:rsidR="00864466" w:rsidRPr="0043350C" w:rsidRDefault="00864466" w:rsidP="00864466">
      <w:pPr>
        <w:pStyle w:val="Cdetexto"/>
        <w:rPr>
          <w:i/>
          <w:szCs w:val="22"/>
        </w:rPr>
      </w:pPr>
      <w:r w:rsidRPr="0043350C">
        <w:rPr>
          <w:i/>
          <w:szCs w:val="22"/>
        </w:rPr>
        <w:t>Medición de Resultados:</w:t>
      </w:r>
    </w:p>
    <w:p w14:paraId="1D0313AF" w14:textId="77777777" w:rsidR="00864466" w:rsidRDefault="00BF4C1A" w:rsidP="00864466">
      <w:pPr>
        <w:pStyle w:val="Cdetexto"/>
      </w:pPr>
      <w:r w:rsidRPr="00BF4C1A">
        <w:t>No</w:t>
      </w:r>
      <w:r w:rsidR="002162D4">
        <w:t xml:space="preserve"> </w:t>
      </w:r>
      <w:r w:rsidRPr="00BF4C1A">
        <w:t>hay</w:t>
      </w:r>
      <w:r w:rsidR="002162D4">
        <w:t xml:space="preserve"> </w:t>
      </w:r>
      <w:r w:rsidRPr="00BF4C1A">
        <w:t>resultados</w:t>
      </w:r>
      <w:r w:rsidR="002162D4">
        <w:t xml:space="preserve"> </w:t>
      </w:r>
      <w:r w:rsidRPr="00BF4C1A">
        <w:t>satisfactorios</w:t>
      </w:r>
      <w:r w:rsidR="002162D4">
        <w:t xml:space="preserve"> </w:t>
      </w:r>
      <w:r w:rsidRPr="00BF4C1A">
        <w:t>a</w:t>
      </w:r>
      <w:r w:rsidR="002162D4">
        <w:t xml:space="preserve"> </w:t>
      </w:r>
      <w:r w:rsidRPr="00BF4C1A">
        <w:t>nivel</w:t>
      </w:r>
      <w:r w:rsidR="002162D4">
        <w:t xml:space="preserve"> </w:t>
      </w:r>
      <w:r w:rsidRPr="00BF4C1A">
        <w:t>de</w:t>
      </w:r>
      <w:r w:rsidR="002162D4">
        <w:t xml:space="preserve"> </w:t>
      </w:r>
      <w:r w:rsidR="00AA6C5E">
        <w:t>f</w:t>
      </w:r>
      <w:r w:rsidRPr="00BF4C1A">
        <w:t>in</w:t>
      </w:r>
      <w:r w:rsidR="002162D4">
        <w:t xml:space="preserve"> </w:t>
      </w:r>
      <w:r w:rsidRPr="00BF4C1A">
        <w:t>y</w:t>
      </w:r>
      <w:r w:rsidR="002162D4">
        <w:t xml:space="preserve"> </w:t>
      </w:r>
      <w:r w:rsidRPr="00BF4C1A">
        <w:t>de</w:t>
      </w:r>
      <w:r w:rsidR="002162D4">
        <w:t xml:space="preserve"> </w:t>
      </w:r>
      <w:r w:rsidR="00AA6C5E">
        <w:t>p</w:t>
      </w:r>
      <w:r w:rsidRPr="00BF4C1A">
        <w:t>ropósito.</w:t>
      </w:r>
      <w:r w:rsidR="002162D4">
        <w:t xml:space="preserve"> </w:t>
      </w:r>
      <w:r w:rsidR="00AA6C5E">
        <w:t>Igualmente, e</w:t>
      </w:r>
      <w:r w:rsidRPr="00BF4C1A">
        <w:t>l</w:t>
      </w:r>
      <w:r w:rsidR="002162D4">
        <w:t xml:space="preserve"> </w:t>
      </w:r>
      <w:r w:rsidRPr="00BF4C1A">
        <w:t>indicador</w:t>
      </w:r>
      <w:r w:rsidR="002162D4">
        <w:t xml:space="preserve"> </w:t>
      </w:r>
      <w:r w:rsidRPr="00BF4C1A">
        <w:t>de</w:t>
      </w:r>
      <w:r w:rsidR="002162D4">
        <w:t xml:space="preserve"> </w:t>
      </w:r>
      <w:r w:rsidR="00AA6C5E">
        <w:t>p</w:t>
      </w:r>
      <w:r w:rsidRPr="00BF4C1A">
        <w:t>ropósito</w:t>
      </w:r>
      <w:r w:rsidR="002162D4">
        <w:t xml:space="preserve"> </w:t>
      </w:r>
      <w:r w:rsidRPr="00BF4C1A">
        <w:t>no</w:t>
      </w:r>
      <w:r w:rsidR="002162D4">
        <w:t xml:space="preserve"> </w:t>
      </w:r>
      <w:r w:rsidRPr="00BF4C1A">
        <w:t>es</w:t>
      </w:r>
      <w:r w:rsidR="002162D4">
        <w:t xml:space="preserve"> </w:t>
      </w:r>
      <w:r w:rsidRPr="00BF4C1A">
        <w:t>adecuado</w:t>
      </w:r>
      <w:r w:rsidR="002162D4">
        <w:t xml:space="preserve"> </w:t>
      </w:r>
      <w:r w:rsidRPr="00BF4C1A">
        <w:t>para</w:t>
      </w:r>
      <w:r w:rsidR="002162D4">
        <w:t xml:space="preserve"> </w:t>
      </w:r>
      <w:r w:rsidRPr="00BF4C1A">
        <w:t>medir</w:t>
      </w:r>
      <w:r w:rsidR="002162D4">
        <w:t xml:space="preserve"> </w:t>
      </w:r>
      <w:r w:rsidRPr="00BF4C1A">
        <w:t>los</w:t>
      </w:r>
      <w:r w:rsidR="002162D4">
        <w:t xml:space="preserve"> </w:t>
      </w:r>
      <w:r w:rsidRPr="00BF4C1A">
        <w:t>resultados</w:t>
      </w:r>
      <w:r w:rsidR="002162D4">
        <w:t xml:space="preserve"> </w:t>
      </w:r>
      <w:r w:rsidRPr="00BF4C1A">
        <w:t>del</w:t>
      </w:r>
      <w:r w:rsidR="002162D4">
        <w:t xml:space="preserve"> </w:t>
      </w:r>
      <w:r w:rsidR="00AA6C5E">
        <w:t>Pp</w:t>
      </w:r>
      <w:r w:rsidR="002162D4">
        <w:t>.</w:t>
      </w:r>
    </w:p>
    <w:p w14:paraId="1A16F313" w14:textId="77777777" w:rsidR="00864466" w:rsidRPr="0043350C" w:rsidRDefault="00864466" w:rsidP="00864466">
      <w:pPr>
        <w:spacing w:line="250" w:lineRule="exact"/>
        <w:jc w:val="both"/>
        <w:rPr>
          <w:rFonts w:eastAsia="Times New Roman" w:cs="Arial"/>
          <w:b/>
          <w:szCs w:val="20"/>
          <w:lang w:val="es-ES"/>
        </w:rPr>
      </w:pPr>
      <w:r w:rsidRPr="0043350C">
        <w:rPr>
          <w:rFonts w:eastAsia="Times New Roman" w:cs="Arial"/>
          <w:b/>
          <w:szCs w:val="20"/>
          <w:lang w:val="es-ES"/>
        </w:rPr>
        <w:t>Principales Recomendaciones</w:t>
      </w:r>
    </w:p>
    <w:p w14:paraId="7D77D2DA" w14:textId="77777777" w:rsidR="00864466" w:rsidRPr="0043350C" w:rsidRDefault="00A17B2C" w:rsidP="00A17B2C">
      <w:pPr>
        <w:pStyle w:val="Bala"/>
        <w:numPr>
          <w:ilvl w:val="0"/>
          <w:numId w:val="1"/>
        </w:numPr>
        <w:ind w:left="357" w:hanging="357"/>
      </w:pPr>
      <w:r>
        <w:t xml:space="preserve">Complementar </w:t>
      </w:r>
      <w:r w:rsidRPr="00A17B2C">
        <w:t>el</w:t>
      </w:r>
      <w:r>
        <w:t xml:space="preserve"> </w:t>
      </w:r>
      <w:r w:rsidRPr="00A17B2C">
        <w:t>documento</w:t>
      </w:r>
      <w:r>
        <w:t xml:space="preserve"> </w:t>
      </w:r>
      <w:r w:rsidRPr="00A17B2C">
        <w:t>de</w:t>
      </w:r>
      <w:r>
        <w:t xml:space="preserve"> </w:t>
      </w:r>
      <w:r w:rsidRPr="00A17B2C">
        <w:t>diagnóstico</w:t>
      </w:r>
      <w:r>
        <w:t xml:space="preserve"> </w:t>
      </w:r>
      <w:r w:rsidR="00E8360C">
        <w:t xml:space="preserve">del </w:t>
      </w:r>
      <w:proofErr w:type="spellStart"/>
      <w:r w:rsidR="00E8360C">
        <w:t>Pp</w:t>
      </w:r>
      <w:proofErr w:type="spellEnd"/>
      <w:r w:rsidR="00E8360C">
        <w:t xml:space="preserve"> </w:t>
      </w:r>
      <w:r w:rsidRPr="00A17B2C">
        <w:t>con</w:t>
      </w:r>
      <w:r>
        <w:t xml:space="preserve"> </w:t>
      </w:r>
      <w:r w:rsidRPr="00A17B2C">
        <w:t>un</w:t>
      </w:r>
      <w:r>
        <w:t xml:space="preserve"> </w:t>
      </w:r>
      <w:r w:rsidRPr="00A17B2C">
        <w:t>apartado</w:t>
      </w:r>
      <w:r>
        <w:t xml:space="preserve"> </w:t>
      </w:r>
      <w:r w:rsidRPr="00A17B2C">
        <w:t>que</w:t>
      </w:r>
      <w:r>
        <w:t xml:space="preserve"> </w:t>
      </w:r>
      <w:r w:rsidRPr="00A17B2C">
        <w:t>resuma</w:t>
      </w:r>
      <w:r>
        <w:t xml:space="preserve"> </w:t>
      </w:r>
      <w:r w:rsidRPr="00A17B2C">
        <w:t>la</w:t>
      </w:r>
      <w:r>
        <w:t xml:space="preserve"> </w:t>
      </w:r>
      <w:r w:rsidRPr="00A17B2C">
        <w:t>problemática</w:t>
      </w:r>
      <w:r>
        <w:t xml:space="preserve"> </w:t>
      </w:r>
      <w:r w:rsidRPr="00A17B2C">
        <w:t>detectada</w:t>
      </w:r>
      <w:r>
        <w:t xml:space="preserve">, </w:t>
      </w:r>
      <w:r w:rsidRPr="00A17B2C">
        <w:t>identificando</w:t>
      </w:r>
      <w:r>
        <w:t xml:space="preserve"> </w:t>
      </w:r>
      <w:r w:rsidRPr="00A17B2C">
        <w:t>una</w:t>
      </w:r>
      <w:r>
        <w:t xml:space="preserve"> </w:t>
      </w:r>
      <w:r w:rsidRPr="00A17B2C">
        <w:t>sola</w:t>
      </w:r>
      <w:r>
        <w:t xml:space="preserve"> AEO</w:t>
      </w:r>
      <w:r w:rsidRPr="00A17B2C">
        <w:t>.</w:t>
      </w:r>
      <w:r>
        <w:t xml:space="preserve"> </w:t>
      </w:r>
      <w:r w:rsidRPr="00A17B2C">
        <w:t>Se</w:t>
      </w:r>
      <w:r>
        <w:t xml:space="preserve"> </w:t>
      </w:r>
      <w:r w:rsidRPr="00A17B2C">
        <w:t>requiere</w:t>
      </w:r>
      <w:r>
        <w:t xml:space="preserve"> </w:t>
      </w:r>
      <w:r w:rsidRPr="00A17B2C">
        <w:t>un</w:t>
      </w:r>
      <w:r>
        <w:t xml:space="preserve"> </w:t>
      </w:r>
      <w:r w:rsidRPr="00A17B2C">
        <w:t>fraseo</w:t>
      </w:r>
      <w:r>
        <w:t xml:space="preserve"> </w:t>
      </w:r>
      <w:r w:rsidRPr="00A17B2C">
        <w:t>específico</w:t>
      </w:r>
      <w:r>
        <w:t xml:space="preserve"> </w:t>
      </w:r>
      <w:r w:rsidRPr="00A17B2C">
        <w:t>de</w:t>
      </w:r>
      <w:r>
        <w:t xml:space="preserve"> </w:t>
      </w:r>
      <w:r w:rsidRPr="00A17B2C">
        <w:t>la</w:t>
      </w:r>
      <w:r>
        <w:t xml:space="preserve"> </w:t>
      </w:r>
      <w:r w:rsidRPr="00A17B2C">
        <w:t>problemática</w:t>
      </w:r>
      <w:r>
        <w:t xml:space="preserve"> </w:t>
      </w:r>
      <w:r w:rsidRPr="00A17B2C">
        <w:t>a</w:t>
      </w:r>
      <w:r>
        <w:t xml:space="preserve"> </w:t>
      </w:r>
      <w:r w:rsidRPr="00A17B2C">
        <w:t>atender</w:t>
      </w:r>
      <w:r w:rsidR="002359FC">
        <w:t xml:space="preserve"> que coincida</w:t>
      </w:r>
      <w:r>
        <w:t xml:space="preserve"> </w:t>
      </w:r>
      <w:r w:rsidRPr="00A17B2C">
        <w:t>con</w:t>
      </w:r>
      <w:r>
        <w:t xml:space="preserve"> </w:t>
      </w:r>
      <w:r w:rsidRPr="00A17B2C">
        <w:t>la</w:t>
      </w:r>
      <w:r>
        <w:t xml:space="preserve"> </w:t>
      </w:r>
      <w:r w:rsidRPr="00A17B2C">
        <w:t>M</w:t>
      </w:r>
      <w:r>
        <w:t xml:space="preserve">ML. </w:t>
      </w:r>
      <w:r w:rsidRPr="00A17B2C">
        <w:t>Al</w:t>
      </w:r>
      <w:r>
        <w:t xml:space="preserve"> </w:t>
      </w:r>
      <w:r w:rsidRPr="00A17B2C">
        <w:t>respecto,</w:t>
      </w:r>
      <w:r w:rsidR="00DB7840">
        <w:t xml:space="preserve"> </w:t>
      </w:r>
      <w:r w:rsidRPr="00A17B2C">
        <w:t>se</w:t>
      </w:r>
      <w:r w:rsidR="00DB7840">
        <w:t xml:space="preserve"> </w:t>
      </w:r>
      <w:r w:rsidRPr="00A17B2C">
        <w:t>sugiere</w:t>
      </w:r>
      <w:r w:rsidR="00DB7840">
        <w:t xml:space="preserve"> </w:t>
      </w:r>
      <w:r w:rsidRPr="00A17B2C">
        <w:t>la</w:t>
      </w:r>
      <w:r w:rsidR="00DB7840">
        <w:t xml:space="preserve"> </w:t>
      </w:r>
      <w:r w:rsidRPr="00A17B2C">
        <w:t>siguiente</w:t>
      </w:r>
      <w:r w:rsidR="00DB7840">
        <w:t xml:space="preserve"> </w:t>
      </w:r>
      <w:r w:rsidRPr="00A17B2C">
        <w:t>sintaxis</w:t>
      </w:r>
      <w:r w:rsidR="00DB7840">
        <w:t xml:space="preserve"> </w:t>
      </w:r>
      <w:r w:rsidRPr="00A17B2C">
        <w:t>para</w:t>
      </w:r>
      <w:r w:rsidR="00DB7840">
        <w:t xml:space="preserve"> </w:t>
      </w:r>
      <w:r w:rsidRPr="00A17B2C">
        <w:t>el</w:t>
      </w:r>
      <w:r w:rsidR="00DB7840">
        <w:t xml:space="preserve"> </w:t>
      </w:r>
      <w:r w:rsidRPr="00A17B2C">
        <w:t>problema:</w:t>
      </w:r>
      <w:r w:rsidR="00DB7840">
        <w:t xml:space="preserve"> </w:t>
      </w:r>
      <w:r w:rsidR="00E8360C">
        <w:t>“</w:t>
      </w:r>
      <w:r w:rsidRPr="00A17B2C">
        <w:t>Inadecuada</w:t>
      </w:r>
      <w:r w:rsidR="00DB7840">
        <w:t xml:space="preserve"> </w:t>
      </w:r>
      <w:r w:rsidRPr="00A17B2C">
        <w:t>coordinación</w:t>
      </w:r>
      <w:r w:rsidR="00DB7840">
        <w:t xml:space="preserve"> </w:t>
      </w:r>
      <w:r w:rsidRPr="00A17B2C">
        <w:t>y</w:t>
      </w:r>
      <w:r w:rsidR="00DB7840">
        <w:t xml:space="preserve"> </w:t>
      </w:r>
      <w:r w:rsidRPr="00A17B2C">
        <w:t>cooperación</w:t>
      </w:r>
      <w:r w:rsidR="00DB7840">
        <w:t xml:space="preserve"> </w:t>
      </w:r>
      <w:r w:rsidRPr="00A17B2C">
        <w:t>entre</w:t>
      </w:r>
      <w:r w:rsidR="00DB7840">
        <w:t xml:space="preserve"> </w:t>
      </w:r>
      <w:r w:rsidRPr="00A17B2C">
        <w:t>las</w:t>
      </w:r>
      <w:r w:rsidR="00DB7840">
        <w:t xml:space="preserve"> </w:t>
      </w:r>
      <w:r w:rsidRPr="00A17B2C">
        <w:t>autoridades</w:t>
      </w:r>
      <w:r w:rsidR="00DB7840">
        <w:t xml:space="preserve"> </w:t>
      </w:r>
      <w:r w:rsidRPr="00A17B2C">
        <w:t>de</w:t>
      </w:r>
      <w:r w:rsidR="00DB7840">
        <w:t xml:space="preserve"> </w:t>
      </w:r>
      <w:r w:rsidRPr="00A17B2C">
        <w:t>los</w:t>
      </w:r>
      <w:r w:rsidR="00DB7840">
        <w:t xml:space="preserve"> </w:t>
      </w:r>
      <w:r w:rsidRPr="00A17B2C">
        <w:t>tres</w:t>
      </w:r>
      <w:r w:rsidR="00DB7840">
        <w:t xml:space="preserve"> </w:t>
      </w:r>
      <w:r w:rsidRPr="00A17B2C">
        <w:t>órdenes</w:t>
      </w:r>
      <w:r w:rsidR="00DB7840">
        <w:t xml:space="preserve"> </w:t>
      </w:r>
      <w:r w:rsidRPr="00A17B2C">
        <w:t>de</w:t>
      </w:r>
      <w:r w:rsidR="00DB7840">
        <w:t xml:space="preserve"> </w:t>
      </w:r>
      <w:r w:rsidRPr="00A17B2C">
        <w:t>gobierno</w:t>
      </w:r>
      <w:r w:rsidR="00DB7840">
        <w:t xml:space="preserve"> </w:t>
      </w:r>
      <w:r w:rsidRPr="00A17B2C">
        <w:t>y</w:t>
      </w:r>
      <w:r w:rsidR="00DB7840">
        <w:t xml:space="preserve"> </w:t>
      </w:r>
      <w:r w:rsidRPr="00A17B2C">
        <w:t>organismos</w:t>
      </w:r>
      <w:r w:rsidR="00DB7840">
        <w:t xml:space="preserve"> </w:t>
      </w:r>
      <w:r w:rsidRPr="00A17B2C">
        <w:t>de</w:t>
      </w:r>
      <w:r w:rsidR="00DB7840">
        <w:t xml:space="preserve"> </w:t>
      </w:r>
      <w:r w:rsidRPr="00A17B2C">
        <w:t>defensa</w:t>
      </w:r>
      <w:r w:rsidR="00DB7840">
        <w:t xml:space="preserve"> </w:t>
      </w:r>
      <w:r w:rsidRPr="00A17B2C">
        <w:t>de</w:t>
      </w:r>
      <w:r w:rsidR="00DB7840">
        <w:t xml:space="preserve"> </w:t>
      </w:r>
      <w:r w:rsidRPr="00A17B2C">
        <w:t>los</w:t>
      </w:r>
      <w:r w:rsidR="00DB7840">
        <w:t xml:space="preserve"> </w:t>
      </w:r>
      <w:r w:rsidRPr="00A17B2C">
        <w:t>Derechos</w:t>
      </w:r>
      <w:r w:rsidR="00DB7840">
        <w:t xml:space="preserve"> </w:t>
      </w:r>
      <w:r w:rsidRPr="00A17B2C">
        <w:t>Humanos</w:t>
      </w:r>
      <w:r w:rsidR="00DB7840">
        <w:t xml:space="preserve"> </w:t>
      </w:r>
      <w:r w:rsidRPr="00A17B2C">
        <w:t>para</w:t>
      </w:r>
      <w:r w:rsidR="00DB7840">
        <w:t xml:space="preserve"> </w:t>
      </w:r>
      <w:r w:rsidRPr="00A17B2C">
        <w:t>salvaguardar</w:t>
      </w:r>
      <w:r w:rsidR="00DB7840">
        <w:t xml:space="preserve"> </w:t>
      </w:r>
      <w:r w:rsidRPr="00A17B2C">
        <w:t>la</w:t>
      </w:r>
      <w:r w:rsidR="00DB7840">
        <w:t xml:space="preserve"> </w:t>
      </w:r>
      <w:r w:rsidRPr="00A17B2C">
        <w:t>integridad</w:t>
      </w:r>
      <w:r w:rsidR="00DB7840">
        <w:t xml:space="preserve"> </w:t>
      </w:r>
      <w:r w:rsidRPr="00A17B2C">
        <w:t>física</w:t>
      </w:r>
      <w:r w:rsidR="00DB7840">
        <w:t xml:space="preserve"> </w:t>
      </w:r>
      <w:r w:rsidRPr="00A17B2C">
        <w:t>y</w:t>
      </w:r>
      <w:r w:rsidR="00DB7840">
        <w:t xml:space="preserve"> </w:t>
      </w:r>
      <w:r w:rsidRPr="00A17B2C">
        <w:t>el</w:t>
      </w:r>
      <w:r w:rsidR="00DB7840">
        <w:t xml:space="preserve"> </w:t>
      </w:r>
      <w:r w:rsidRPr="00A17B2C">
        <w:t>ejercicio</w:t>
      </w:r>
      <w:r w:rsidR="00DB7840">
        <w:t xml:space="preserve"> </w:t>
      </w:r>
      <w:r w:rsidRPr="00A17B2C">
        <w:t>efectivo</w:t>
      </w:r>
      <w:r w:rsidR="00DB7840">
        <w:t xml:space="preserve"> </w:t>
      </w:r>
      <w:r w:rsidRPr="00A17B2C">
        <w:t>de</w:t>
      </w:r>
      <w:r w:rsidR="00DB7840">
        <w:t xml:space="preserve"> </w:t>
      </w:r>
      <w:r w:rsidRPr="00A17B2C">
        <w:t>los</w:t>
      </w:r>
      <w:r w:rsidR="00DB7840">
        <w:t xml:space="preserve"> </w:t>
      </w:r>
      <w:r w:rsidR="002A3BF8">
        <w:t>D</w:t>
      </w:r>
      <w:r w:rsidRPr="00A17B2C">
        <w:t>erechos</w:t>
      </w:r>
      <w:r w:rsidR="00DB7840">
        <w:t xml:space="preserve"> </w:t>
      </w:r>
      <w:r w:rsidR="002A3BF8">
        <w:t>H</w:t>
      </w:r>
      <w:r w:rsidRPr="00A17B2C">
        <w:t>umanos</w:t>
      </w:r>
      <w:r w:rsidR="00DB7840">
        <w:t xml:space="preserve"> </w:t>
      </w:r>
      <w:r w:rsidRPr="00A17B2C">
        <w:t>de</w:t>
      </w:r>
      <w:r w:rsidR="00DB7840">
        <w:t xml:space="preserve"> </w:t>
      </w:r>
      <w:r w:rsidRPr="00A17B2C">
        <w:t>las</w:t>
      </w:r>
      <w:r w:rsidR="00DB7840">
        <w:t xml:space="preserve"> </w:t>
      </w:r>
      <w:r w:rsidRPr="00A17B2C">
        <w:t>personas</w:t>
      </w:r>
      <w:r w:rsidR="008B30F5">
        <w:t>”</w:t>
      </w:r>
      <w:r w:rsidRPr="00A17B2C">
        <w:t>.</w:t>
      </w:r>
      <w:r w:rsidR="00DB7840">
        <w:t xml:space="preserve"> </w:t>
      </w:r>
      <w:r w:rsidRPr="00A17B2C">
        <w:t>De</w:t>
      </w:r>
      <w:r w:rsidR="00DB7840">
        <w:t xml:space="preserve"> </w:t>
      </w:r>
      <w:r w:rsidRPr="00A17B2C">
        <w:t>esta</w:t>
      </w:r>
      <w:r w:rsidR="00DB7840">
        <w:t xml:space="preserve"> </w:t>
      </w:r>
      <w:r w:rsidRPr="00A17B2C">
        <w:t>forma,</w:t>
      </w:r>
      <w:r w:rsidR="00DB7840">
        <w:t xml:space="preserve"> </w:t>
      </w:r>
      <w:r w:rsidR="008B30F5">
        <w:t xml:space="preserve">el AEO </w:t>
      </w:r>
      <w:r w:rsidRPr="00A17B2C">
        <w:t>que</w:t>
      </w:r>
      <w:r w:rsidR="00DB7840">
        <w:t xml:space="preserve"> </w:t>
      </w:r>
      <w:r w:rsidRPr="00A17B2C">
        <w:t>sufre</w:t>
      </w:r>
      <w:r w:rsidR="00DB7840">
        <w:t xml:space="preserve"> </w:t>
      </w:r>
      <w:r w:rsidRPr="00A17B2C">
        <w:t>el</w:t>
      </w:r>
      <w:r w:rsidR="00DB7840">
        <w:t xml:space="preserve"> </w:t>
      </w:r>
      <w:r w:rsidRPr="00A17B2C">
        <w:t>problema</w:t>
      </w:r>
      <w:r w:rsidR="00DB7840">
        <w:t xml:space="preserve"> </w:t>
      </w:r>
      <w:r w:rsidRPr="00A17B2C">
        <w:t>serán</w:t>
      </w:r>
      <w:r w:rsidR="00DB7840">
        <w:t xml:space="preserve"> </w:t>
      </w:r>
      <w:r w:rsidRPr="00A17B2C">
        <w:t>las</w:t>
      </w:r>
      <w:r w:rsidR="00DB7840">
        <w:t xml:space="preserve"> </w:t>
      </w:r>
      <w:r w:rsidRPr="00A17B2C">
        <w:t>autoridades</w:t>
      </w:r>
      <w:r w:rsidR="00DB7840">
        <w:t xml:space="preserve"> </w:t>
      </w:r>
      <w:r w:rsidRPr="00A17B2C">
        <w:t>de</w:t>
      </w:r>
      <w:r w:rsidR="00DB7840">
        <w:t xml:space="preserve"> </w:t>
      </w:r>
      <w:r w:rsidRPr="00A17B2C">
        <w:t>los</w:t>
      </w:r>
      <w:r w:rsidR="00DB7840">
        <w:t xml:space="preserve"> </w:t>
      </w:r>
      <w:r w:rsidRPr="00A17B2C">
        <w:t>tres</w:t>
      </w:r>
      <w:r w:rsidR="00DB7840">
        <w:t xml:space="preserve"> </w:t>
      </w:r>
      <w:r w:rsidRPr="00A17B2C">
        <w:t>órdenes</w:t>
      </w:r>
      <w:r w:rsidR="00DB7840">
        <w:t xml:space="preserve"> </w:t>
      </w:r>
      <w:r w:rsidRPr="00A17B2C">
        <w:t>de</w:t>
      </w:r>
      <w:r w:rsidR="00DB7840">
        <w:t xml:space="preserve"> </w:t>
      </w:r>
      <w:r w:rsidRPr="00A17B2C">
        <w:t>gobierno</w:t>
      </w:r>
      <w:r w:rsidR="00DB7840">
        <w:t xml:space="preserve"> </w:t>
      </w:r>
      <w:r w:rsidRPr="00A17B2C">
        <w:t>y</w:t>
      </w:r>
      <w:r w:rsidR="00DB7840">
        <w:t xml:space="preserve"> </w:t>
      </w:r>
      <w:r w:rsidRPr="00A17B2C">
        <w:t>organismos</w:t>
      </w:r>
      <w:r w:rsidR="00DB7840">
        <w:t xml:space="preserve"> </w:t>
      </w:r>
      <w:r w:rsidRPr="00A17B2C">
        <w:t>de</w:t>
      </w:r>
      <w:r w:rsidR="00DB7840">
        <w:t xml:space="preserve"> </w:t>
      </w:r>
      <w:r w:rsidRPr="00A17B2C">
        <w:t>defensa</w:t>
      </w:r>
      <w:r w:rsidR="00DB7840">
        <w:t xml:space="preserve"> </w:t>
      </w:r>
      <w:r w:rsidRPr="00A17B2C">
        <w:t>de</w:t>
      </w:r>
      <w:r w:rsidR="00DB7840">
        <w:t xml:space="preserve"> </w:t>
      </w:r>
      <w:r w:rsidRPr="00A17B2C">
        <w:t>los</w:t>
      </w:r>
      <w:r w:rsidR="00DB7840">
        <w:t xml:space="preserve"> Derechos Humanos</w:t>
      </w:r>
      <w:r w:rsidR="00C3084D" w:rsidRPr="00C3084D">
        <w:t>.</w:t>
      </w:r>
    </w:p>
    <w:p w14:paraId="78E0E2D0" w14:textId="77777777" w:rsidR="00864466" w:rsidRPr="0043350C" w:rsidRDefault="008B30F5" w:rsidP="00DB7840">
      <w:pPr>
        <w:pStyle w:val="Bala"/>
        <w:numPr>
          <w:ilvl w:val="0"/>
          <w:numId w:val="1"/>
        </w:numPr>
        <w:ind w:left="357" w:hanging="357"/>
      </w:pPr>
      <w:r>
        <w:t>C</w:t>
      </w:r>
      <w:r w:rsidR="00DB7840" w:rsidRPr="00DB7840">
        <w:t>uantificar</w:t>
      </w:r>
      <w:r w:rsidR="00B97319">
        <w:t xml:space="preserve"> </w:t>
      </w:r>
      <w:r w:rsidR="00DB7840" w:rsidRPr="00DB7840">
        <w:t>y</w:t>
      </w:r>
      <w:r w:rsidR="00B97319">
        <w:t xml:space="preserve"> </w:t>
      </w:r>
      <w:r w:rsidR="00DB7840" w:rsidRPr="00DB7840">
        <w:t>caracterizar</w:t>
      </w:r>
      <w:r w:rsidR="00B97319">
        <w:t xml:space="preserve"> </w:t>
      </w:r>
      <w:r w:rsidR="00DB7840" w:rsidRPr="00DB7840">
        <w:t>a</w:t>
      </w:r>
      <w:r w:rsidR="00B97319">
        <w:t xml:space="preserve">l AEO del </w:t>
      </w:r>
      <w:proofErr w:type="spellStart"/>
      <w:r w:rsidR="00B97319">
        <w:t>Pp</w:t>
      </w:r>
      <w:proofErr w:type="spellEnd"/>
      <w:r w:rsidR="00DB7840" w:rsidRPr="00DB7840">
        <w:t>,</w:t>
      </w:r>
      <w:r w:rsidR="00B97319">
        <w:t xml:space="preserve"> </w:t>
      </w:r>
      <w:r w:rsidR="00DB7840" w:rsidRPr="00DB7840">
        <w:t>incluida</w:t>
      </w:r>
      <w:r w:rsidR="00B97319">
        <w:t xml:space="preserve"> </w:t>
      </w:r>
      <w:r w:rsidR="00DB7840" w:rsidRPr="00DB7840">
        <w:t>su</w:t>
      </w:r>
      <w:r w:rsidR="00B97319">
        <w:t xml:space="preserve"> </w:t>
      </w:r>
      <w:r w:rsidR="00DB7840" w:rsidRPr="00DB7840">
        <w:t>ubicación</w:t>
      </w:r>
      <w:r w:rsidR="00B97319">
        <w:t xml:space="preserve"> </w:t>
      </w:r>
      <w:r w:rsidR="00DB7840" w:rsidRPr="00DB7840">
        <w:t>geográfica</w:t>
      </w:r>
      <w:r w:rsidR="00B97319">
        <w:t xml:space="preserve"> </w:t>
      </w:r>
      <w:r w:rsidR="00DB7840" w:rsidRPr="00DB7840">
        <w:t>o</w:t>
      </w:r>
      <w:r w:rsidR="00B97319">
        <w:t xml:space="preserve"> </w:t>
      </w:r>
      <w:r w:rsidR="00DB7840" w:rsidRPr="00DB7840">
        <w:t>territorial</w:t>
      </w:r>
      <w:r w:rsidR="00B97319">
        <w:t xml:space="preserve">. </w:t>
      </w:r>
      <w:r w:rsidR="00DB7840" w:rsidRPr="00DB7840">
        <w:t>De</w:t>
      </w:r>
      <w:r w:rsidR="00B97319">
        <w:t xml:space="preserve"> </w:t>
      </w:r>
      <w:r w:rsidR="00DB7840" w:rsidRPr="00DB7840">
        <w:t>manera</w:t>
      </w:r>
      <w:r w:rsidR="00B97319">
        <w:t xml:space="preserve"> </w:t>
      </w:r>
      <w:r w:rsidR="00DB7840" w:rsidRPr="00DB7840">
        <w:t>específica</w:t>
      </w:r>
      <w:r w:rsidR="00B97319">
        <w:t xml:space="preserve"> </w:t>
      </w:r>
      <w:r w:rsidR="00DB7840" w:rsidRPr="00DB7840">
        <w:t>se</w:t>
      </w:r>
      <w:r w:rsidR="00B97319">
        <w:t xml:space="preserve"> </w:t>
      </w:r>
      <w:r w:rsidR="00DB7840" w:rsidRPr="00DB7840">
        <w:t>sugiere</w:t>
      </w:r>
      <w:r w:rsidR="00B97319">
        <w:t xml:space="preserve"> </w:t>
      </w:r>
      <w:r w:rsidR="00DB7840" w:rsidRPr="00DB7840">
        <w:t>que,</w:t>
      </w:r>
      <w:r w:rsidR="00B97319">
        <w:t xml:space="preserve"> </w:t>
      </w:r>
      <w:r w:rsidR="00DB7840" w:rsidRPr="00DB7840">
        <w:t>con</w:t>
      </w:r>
      <w:r w:rsidR="00B97319">
        <w:t xml:space="preserve"> </w:t>
      </w:r>
      <w:r w:rsidR="00DB7840" w:rsidRPr="00DB7840">
        <w:t>base</w:t>
      </w:r>
      <w:r w:rsidR="00B97319">
        <w:t xml:space="preserve"> </w:t>
      </w:r>
      <w:r w:rsidR="00DB7840" w:rsidRPr="00DB7840">
        <w:t>en</w:t>
      </w:r>
      <w:r w:rsidR="00B97319">
        <w:t xml:space="preserve"> </w:t>
      </w:r>
      <w:r w:rsidR="00DB7840" w:rsidRPr="00DB7840">
        <w:t>los</w:t>
      </w:r>
      <w:r w:rsidR="00B97319">
        <w:t xml:space="preserve"> </w:t>
      </w:r>
      <w:r w:rsidR="00DB7840" w:rsidRPr="00DB7840">
        <w:t>registros</w:t>
      </w:r>
      <w:r w:rsidR="00B97319">
        <w:t xml:space="preserve"> </w:t>
      </w:r>
      <w:r w:rsidR="00DB7840" w:rsidRPr="00DB7840">
        <w:t>administrativos</w:t>
      </w:r>
      <w:r w:rsidR="00B97319">
        <w:t xml:space="preserve"> </w:t>
      </w:r>
      <w:r w:rsidR="00DB7840" w:rsidRPr="00DB7840">
        <w:t>con</w:t>
      </w:r>
      <w:r w:rsidR="00B97319">
        <w:t xml:space="preserve"> </w:t>
      </w:r>
      <w:r w:rsidR="00DB7840" w:rsidRPr="00DB7840">
        <w:t>que</w:t>
      </w:r>
      <w:r w:rsidR="00B97319">
        <w:t xml:space="preserve"> </w:t>
      </w:r>
      <w:r w:rsidR="00DB7840" w:rsidRPr="00DB7840">
        <w:t>cuenta</w:t>
      </w:r>
      <w:r w:rsidR="00B97319">
        <w:t xml:space="preserve"> </w:t>
      </w:r>
      <w:r w:rsidR="00DB7840" w:rsidRPr="00DB7840">
        <w:t>el</w:t>
      </w:r>
      <w:r w:rsidR="00B97319">
        <w:t xml:space="preserve"> </w:t>
      </w:r>
      <w:proofErr w:type="spellStart"/>
      <w:r w:rsidR="00B97319">
        <w:t>Pp</w:t>
      </w:r>
      <w:proofErr w:type="spellEnd"/>
      <w:r w:rsidR="00B97319">
        <w:t xml:space="preserve"> </w:t>
      </w:r>
      <w:r w:rsidR="00DB7840" w:rsidRPr="00DB7840">
        <w:t>así</w:t>
      </w:r>
      <w:r w:rsidR="00B97319">
        <w:t xml:space="preserve"> </w:t>
      </w:r>
      <w:r w:rsidR="00DB7840" w:rsidRPr="00DB7840">
        <w:t>como</w:t>
      </w:r>
      <w:r w:rsidR="00B97319">
        <w:t xml:space="preserve"> </w:t>
      </w:r>
      <w:r w:rsidR="00DB7840" w:rsidRPr="00DB7840">
        <w:t>en</w:t>
      </w:r>
      <w:r w:rsidR="00B97319">
        <w:t xml:space="preserve"> </w:t>
      </w:r>
      <w:r w:rsidR="00DB7840" w:rsidRPr="00DB7840">
        <w:t>la</w:t>
      </w:r>
      <w:r w:rsidR="00B97319">
        <w:t xml:space="preserve"> </w:t>
      </w:r>
      <w:r w:rsidR="00DB7840" w:rsidRPr="00DB7840">
        <w:t>información</w:t>
      </w:r>
      <w:r w:rsidR="00B97319">
        <w:t xml:space="preserve"> </w:t>
      </w:r>
      <w:r w:rsidR="00DB7840" w:rsidRPr="00DB7840">
        <w:t>de</w:t>
      </w:r>
      <w:r w:rsidR="00B97319">
        <w:t xml:space="preserve"> </w:t>
      </w:r>
      <w:r w:rsidR="00DB7840" w:rsidRPr="00DB7840">
        <w:t>los</w:t>
      </w:r>
      <w:r w:rsidR="00B97319">
        <w:t xml:space="preserve"> </w:t>
      </w:r>
      <w:r w:rsidR="00DB7840" w:rsidRPr="00DB7840">
        <w:t>diversos</w:t>
      </w:r>
      <w:r w:rsidR="00B97319">
        <w:t xml:space="preserve"> </w:t>
      </w:r>
      <w:r w:rsidR="00DB7840" w:rsidRPr="00DB7840">
        <w:t>sistemas</w:t>
      </w:r>
      <w:r w:rsidR="00B97319">
        <w:t xml:space="preserve"> </w:t>
      </w:r>
      <w:r w:rsidR="00DB7840" w:rsidRPr="00DB7840">
        <w:t>que</w:t>
      </w:r>
      <w:r w:rsidR="00B97319">
        <w:t xml:space="preserve"> maneja, </w:t>
      </w:r>
      <w:r w:rsidR="00DB7840" w:rsidRPr="00DB7840">
        <w:t>se</w:t>
      </w:r>
      <w:r w:rsidR="00B97319">
        <w:t xml:space="preserve"> </w:t>
      </w:r>
      <w:r w:rsidR="00DB7840" w:rsidRPr="00DB7840">
        <w:t>identifique</w:t>
      </w:r>
      <w:r w:rsidR="00B97319">
        <w:t xml:space="preserve"> </w:t>
      </w:r>
      <w:r w:rsidR="00DB7840" w:rsidRPr="00DB7840">
        <w:t>a</w:t>
      </w:r>
      <w:r w:rsidR="00B97319">
        <w:t xml:space="preserve"> </w:t>
      </w:r>
      <w:r w:rsidR="00DB7840" w:rsidRPr="00DB7840">
        <w:t>las</w:t>
      </w:r>
      <w:r w:rsidR="00B97319">
        <w:t xml:space="preserve"> </w:t>
      </w:r>
      <w:r w:rsidR="00DB7840" w:rsidRPr="00DB7840">
        <w:t>autoridades</w:t>
      </w:r>
      <w:r w:rsidR="00B97319">
        <w:t xml:space="preserve"> </w:t>
      </w:r>
      <w:r w:rsidR="00DB7840" w:rsidRPr="00DB7840">
        <w:t>de</w:t>
      </w:r>
      <w:r w:rsidR="00B97319">
        <w:t xml:space="preserve"> </w:t>
      </w:r>
      <w:r w:rsidR="00DB7840" w:rsidRPr="00DB7840">
        <w:t>los</w:t>
      </w:r>
      <w:r w:rsidR="00B97319">
        <w:t xml:space="preserve"> </w:t>
      </w:r>
      <w:r w:rsidR="00DB7840" w:rsidRPr="00DB7840">
        <w:t>tres</w:t>
      </w:r>
      <w:r w:rsidR="00B97319">
        <w:t xml:space="preserve"> </w:t>
      </w:r>
      <w:r w:rsidR="00DB7840" w:rsidRPr="00DB7840">
        <w:t>órdenes</w:t>
      </w:r>
      <w:r w:rsidR="00B97319">
        <w:t xml:space="preserve"> </w:t>
      </w:r>
      <w:r w:rsidR="00DB7840" w:rsidRPr="00DB7840">
        <w:t>de</w:t>
      </w:r>
      <w:r w:rsidR="00B97319">
        <w:t xml:space="preserve"> </w:t>
      </w:r>
      <w:r w:rsidR="00DB7840" w:rsidRPr="00DB7840">
        <w:t>gobierno</w:t>
      </w:r>
      <w:r w:rsidR="00B97319">
        <w:t xml:space="preserve"> </w:t>
      </w:r>
      <w:r w:rsidR="00DB7840" w:rsidRPr="00DB7840">
        <w:t>y</w:t>
      </w:r>
      <w:r w:rsidR="00B97319">
        <w:t xml:space="preserve"> </w:t>
      </w:r>
      <w:r w:rsidR="00DB7840" w:rsidRPr="00DB7840">
        <w:t>a</w:t>
      </w:r>
      <w:r w:rsidR="00B97319">
        <w:t xml:space="preserve"> </w:t>
      </w:r>
      <w:r w:rsidR="00DB7840" w:rsidRPr="00DB7840">
        <w:t>los</w:t>
      </w:r>
      <w:r w:rsidR="00B97319">
        <w:t xml:space="preserve"> </w:t>
      </w:r>
      <w:r w:rsidR="00DB7840" w:rsidRPr="00DB7840">
        <w:t>organismos</w:t>
      </w:r>
      <w:r w:rsidR="00B97319">
        <w:t xml:space="preserve"> </w:t>
      </w:r>
      <w:r w:rsidR="00DB7840" w:rsidRPr="00DB7840">
        <w:t>de</w:t>
      </w:r>
      <w:r w:rsidR="00B97319">
        <w:t xml:space="preserve"> </w:t>
      </w:r>
      <w:r w:rsidR="00DB7840" w:rsidRPr="00DB7840">
        <w:t>defensa</w:t>
      </w:r>
      <w:r w:rsidR="00B97319">
        <w:t xml:space="preserve"> </w:t>
      </w:r>
      <w:r w:rsidR="00DB7840" w:rsidRPr="00DB7840">
        <w:t>de</w:t>
      </w:r>
      <w:r w:rsidR="00B97319">
        <w:t xml:space="preserve"> </w:t>
      </w:r>
      <w:r>
        <w:t xml:space="preserve">Derechos Humanos </w:t>
      </w:r>
      <w:r w:rsidR="00DB7840" w:rsidRPr="00DB7840">
        <w:t>que</w:t>
      </w:r>
      <w:r w:rsidR="00B97319">
        <w:t xml:space="preserve"> </w:t>
      </w:r>
      <w:r w:rsidR="00DB7840" w:rsidRPr="00DB7840">
        <w:t>el</w:t>
      </w:r>
      <w:r w:rsidR="00B97319">
        <w:t xml:space="preserve"> </w:t>
      </w:r>
      <w:proofErr w:type="spellStart"/>
      <w:r w:rsidR="00DB7840" w:rsidRPr="00DB7840">
        <w:t>P</w:t>
      </w:r>
      <w:r w:rsidR="00B97319">
        <w:t>p</w:t>
      </w:r>
      <w:proofErr w:type="spellEnd"/>
      <w:r w:rsidR="00B97319">
        <w:t xml:space="preserve"> atiende (</w:t>
      </w:r>
      <w:r w:rsidR="00DB7840" w:rsidRPr="00DB7840">
        <w:t>con</w:t>
      </w:r>
      <w:r w:rsidR="00B97319">
        <w:t xml:space="preserve"> </w:t>
      </w:r>
      <w:r w:rsidR="00DB7840" w:rsidRPr="00DB7840">
        <w:t>los</w:t>
      </w:r>
      <w:r w:rsidR="00B97319">
        <w:t xml:space="preserve"> </w:t>
      </w:r>
      <w:r w:rsidR="00DB7840" w:rsidRPr="00DB7840">
        <w:t>que</w:t>
      </w:r>
      <w:r w:rsidR="00B97319">
        <w:t xml:space="preserve"> </w:t>
      </w:r>
      <w:r w:rsidR="00DB7840" w:rsidRPr="00DB7840">
        <w:t>se</w:t>
      </w:r>
      <w:r w:rsidR="00B97319">
        <w:t xml:space="preserve"> </w:t>
      </w:r>
      <w:r w:rsidR="00DB7840" w:rsidRPr="00DB7840">
        <w:t>coordina</w:t>
      </w:r>
      <w:r w:rsidR="00B97319">
        <w:t xml:space="preserve"> y </w:t>
      </w:r>
      <w:r w:rsidR="00DB7840" w:rsidRPr="00DB7840">
        <w:t>colabora</w:t>
      </w:r>
      <w:r w:rsidR="00B97319">
        <w:t xml:space="preserve">) </w:t>
      </w:r>
      <w:r w:rsidR="00DB7840" w:rsidRPr="00DB7840">
        <w:t>y</w:t>
      </w:r>
      <w:r w:rsidR="00B97319">
        <w:t xml:space="preserve"> </w:t>
      </w:r>
      <w:r w:rsidR="00DB7840" w:rsidRPr="00DB7840">
        <w:t>a</w:t>
      </w:r>
      <w:r w:rsidR="00B97319">
        <w:t xml:space="preserve"> </w:t>
      </w:r>
      <w:r w:rsidR="00DB7840" w:rsidRPr="00DB7840">
        <w:t>los</w:t>
      </w:r>
      <w:r w:rsidR="00B97319">
        <w:t xml:space="preserve"> </w:t>
      </w:r>
      <w:r w:rsidR="00DB7840" w:rsidRPr="00DB7840">
        <w:t>que</w:t>
      </w:r>
      <w:r w:rsidR="00B97319">
        <w:t xml:space="preserve"> </w:t>
      </w:r>
      <w:r w:rsidR="00DB7840" w:rsidRPr="00DB7840">
        <w:t>no,</w:t>
      </w:r>
      <w:r w:rsidR="00B97319">
        <w:t xml:space="preserve"> </w:t>
      </w:r>
      <w:r w:rsidR="00DB7840" w:rsidRPr="00DB7840">
        <w:t>de</w:t>
      </w:r>
      <w:r w:rsidR="00B97319">
        <w:t xml:space="preserve"> </w:t>
      </w:r>
      <w:r w:rsidR="00DB7840" w:rsidRPr="00DB7840">
        <w:t>tal</w:t>
      </w:r>
      <w:r w:rsidR="00B97319">
        <w:t xml:space="preserve"> </w:t>
      </w:r>
      <w:r w:rsidR="00DB7840" w:rsidRPr="00DB7840">
        <w:t>forma</w:t>
      </w:r>
      <w:r w:rsidR="00B97319">
        <w:t xml:space="preserve"> </w:t>
      </w:r>
      <w:r w:rsidR="00DB7840" w:rsidRPr="00DB7840">
        <w:t>que</w:t>
      </w:r>
      <w:r w:rsidR="00B97319">
        <w:t xml:space="preserve"> </w:t>
      </w:r>
      <w:r w:rsidR="00DB7840" w:rsidRPr="00DB7840">
        <w:t>se</w:t>
      </w:r>
      <w:r w:rsidR="00B97319">
        <w:t xml:space="preserve"> </w:t>
      </w:r>
      <w:r w:rsidR="00DB7840" w:rsidRPr="00DB7840">
        <w:t>pueda</w:t>
      </w:r>
      <w:r w:rsidR="00B97319">
        <w:t xml:space="preserve"> </w:t>
      </w:r>
      <w:r w:rsidR="00DB7840" w:rsidRPr="00DB7840">
        <w:t>elaborar</w:t>
      </w:r>
      <w:r w:rsidR="00B97319">
        <w:t xml:space="preserve"> </w:t>
      </w:r>
      <w:r w:rsidR="00DB7840" w:rsidRPr="00DB7840">
        <w:t>una</w:t>
      </w:r>
      <w:r w:rsidR="00B97319">
        <w:t xml:space="preserve"> </w:t>
      </w:r>
      <w:r w:rsidR="00DB7840" w:rsidRPr="00DB7840">
        <w:t>relación</w:t>
      </w:r>
      <w:r w:rsidR="00B97319">
        <w:t xml:space="preserve"> </w:t>
      </w:r>
      <w:r w:rsidR="00DB7840" w:rsidRPr="00DB7840">
        <w:t>del</w:t>
      </w:r>
      <w:r w:rsidR="005F6466">
        <w:t xml:space="preserve"> AEO d</w:t>
      </w:r>
      <w:r w:rsidR="00DB7840" w:rsidRPr="00DB7840">
        <w:t>el</w:t>
      </w:r>
      <w:r w:rsidR="00B97319">
        <w:t xml:space="preserve"> </w:t>
      </w:r>
      <w:proofErr w:type="spellStart"/>
      <w:r w:rsidR="00B97319">
        <w:t>Pp</w:t>
      </w:r>
      <w:proofErr w:type="spellEnd"/>
      <w:r w:rsidR="00B97319">
        <w:t xml:space="preserve"> </w:t>
      </w:r>
      <w:r w:rsidR="00DB7840" w:rsidRPr="00DB7840">
        <w:t>que</w:t>
      </w:r>
      <w:r w:rsidR="00B97319">
        <w:t xml:space="preserve"> </w:t>
      </w:r>
      <w:r w:rsidR="00DB7840" w:rsidRPr="00DB7840">
        <w:t>permita</w:t>
      </w:r>
      <w:r w:rsidR="00B97319">
        <w:t xml:space="preserve"> </w:t>
      </w:r>
      <w:r w:rsidR="00DB7840" w:rsidRPr="00DB7840">
        <w:t>su</w:t>
      </w:r>
      <w:r w:rsidR="00B97319">
        <w:t xml:space="preserve"> </w:t>
      </w:r>
      <w:r w:rsidR="00DB7840" w:rsidRPr="00DB7840">
        <w:t>cuantificación</w:t>
      </w:r>
      <w:r w:rsidR="00B97319">
        <w:t xml:space="preserve"> </w:t>
      </w:r>
      <w:r w:rsidR="00DB7840" w:rsidRPr="00DB7840">
        <w:t>y</w:t>
      </w:r>
      <w:r w:rsidR="00B97319">
        <w:t xml:space="preserve"> </w:t>
      </w:r>
      <w:r w:rsidR="00DB7840" w:rsidRPr="00DB7840">
        <w:t>caracterización.</w:t>
      </w:r>
      <w:r w:rsidR="00B97319">
        <w:t xml:space="preserve"> </w:t>
      </w:r>
      <w:r w:rsidR="00DB7840" w:rsidRPr="00DB7840">
        <w:t>Se</w:t>
      </w:r>
      <w:r w:rsidR="00B97319">
        <w:t xml:space="preserve"> </w:t>
      </w:r>
      <w:r w:rsidR="00DB7840" w:rsidRPr="00DB7840">
        <w:t>sugiere</w:t>
      </w:r>
      <w:r w:rsidR="00B97319">
        <w:t xml:space="preserve"> </w:t>
      </w:r>
      <w:r w:rsidR="00DB7840" w:rsidRPr="00DB7840">
        <w:t>también</w:t>
      </w:r>
      <w:r w:rsidR="00B97319">
        <w:t xml:space="preserve"> </w:t>
      </w:r>
      <w:r w:rsidR="00DB7840" w:rsidRPr="00DB7840">
        <w:t>que</w:t>
      </w:r>
      <w:r w:rsidR="00B97319">
        <w:t xml:space="preserve"> </w:t>
      </w:r>
      <w:r w:rsidR="00DB7840" w:rsidRPr="00DB7840">
        <w:t>en</w:t>
      </w:r>
      <w:r w:rsidR="00B97319">
        <w:t xml:space="preserve"> </w:t>
      </w:r>
      <w:r w:rsidR="00DB7840" w:rsidRPr="00DB7840">
        <w:t>el</w:t>
      </w:r>
      <w:r w:rsidR="00B97319">
        <w:t xml:space="preserve"> </w:t>
      </w:r>
      <w:r w:rsidR="00DB7840" w:rsidRPr="00DB7840">
        <w:t>documento</w:t>
      </w:r>
      <w:r w:rsidR="00B97319">
        <w:t xml:space="preserve"> </w:t>
      </w:r>
      <w:r w:rsidR="00DB7840" w:rsidRPr="00DB7840">
        <w:t>de</w:t>
      </w:r>
      <w:r w:rsidR="00B97319">
        <w:t xml:space="preserve"> </w:t>
      </w:r>
      <w:r w:rsidR="00DB7840" w:rsidRPr="00DB7840">
        <w:t>diagnóstico</w:t>
      </w:r>
      <w:r w:rsidR="00B97319">
        <w:t xml:space="preserve"> </w:t>
      </w:r>
      <w:r w:rsidR="00DB7840" w:rsidRPr="00DB7840">
        <w:t>se</w:t>
      </w:r>
      <w:r w:rsidR="00B97319">
        <w:t xml:space="preserve"> </w:t>
      </w:r>
      <w:r w:rsidR="00DB7840" w:rsidRPr="00DB7840">
        <w:t>haga</w:t>
      </w:r>
      <w:r w:rsidR="00B97319">
        <w:t xml:space="preserve"> </w:t>
      </w:r>
      <w:r w:rsidR="00DB7840" w:rsidRPr="00DB7840">
        <w:t>explícito</w:t>
      </w:r>
      <w:r w:rsidR="00B97319">
        <w:t xml:space="preserve"> </w:t>
      </w:r>
      <w:r w:rsidR="00DB7840" w:rsidRPr="00DB7840">
        <w:t>un</w:t>
      </w:r>
      <w:r w:rsidR="00B97319">
        <w:t xml:space="preserve"> </w:t>
      </w:r>
      <w:r w:rsidR="00DB7840" w:rsidRPr="00DB7840">
        <w:t>plazo</w:t>
      </w:r>
      <w:r w:rsidR="00B97319">
        <w:t xml:space="preserve"> </w:t>
      </w:r>
      <w:r w:rsidR="00DB7840" w:rsidRPr="00DB7840">
        <w:t>para</w:t>
      </w:r>
      <w:r w:rsidR="00B97319">
        <w:t xml:space="preserve"> </w:t>
      </w:r>
      <w:r w:rsidR="00DB7840" w:rsidRPr="00DB7840">
        <w:t>la</w:t>
      </w:r>
      <w:r w:rsidR="00B97319">
        <w:t xml:space="preserve"> </w:t>
      </w:r>
      <w:r w:rsidR="00DB7840" w:rsidRPr="00DB7840">
        <w:t>revisión</w:t>
      </w:r>
      <w:r w:rsidR="00B97319">
        <w:t xml:space="preserve"> </w:t>
      </w:r>
      <w:r w:rsidR="00DB7840" w:rsidRPr="00DB7840">
        <w:t>y</w:t>
      </w:r>
      <w:r w:rsidR="00B97319">
        <w:t xml:space="preserve"> </w:t>
      </w:r>
      <w:r w:rsidR="00DB7840" w:rsidRPr="00DB7840">
        <w:t>actualización</w:t>
      </w:r>
      <w:r w:rsidR="00B97319">
        <w:t xml:space="preserve"> </w:t>
      </w:r>
      <w:r w:rsidR="00DB7840" w:rsidRPr="00DB7840">
        <w:t>del</w:t>
      </w:r>
      <w:r w:rsidR="00B97319">
        <w:t xml:space="preserve"> AEO</w:t>
      </w:r>
      <w:r w:rsidR="00C3084D">
        <w:t>.</w:t>
      </w:r>
    </w:p>
    <w:p w14:paraId="666A3BDF" w14:textId="77777777" w:rsidR="00864466" w:rsidRPr="0043350C" w:rsidRDefault="00DB7840" w:rsidP="00DB7840">
      <w:pPr>
        <w:pStyle w:val="Bala"/>
        <w:numPr>
          <w:ilvl w:val="0"/>
          <w:numId w:val="1"/>
        </w:numPr>
        <w:ind w:left="357" w:hanging="357"/>
      </w:pPr>
      <w:r>
        <w:t>Elaborar u</w:t>
      </w:r>
      <w:r w:rsidRPr="00DB7840">
        <w:t>n</w:t>
      </w:r>
      <w:r w:rsidR="00B97319">
        <w:t xml:space="preserve"> </w:t>
      </w:r>
      <w:r w:rsidRPr="00DB7840">
        <w:t>documento</w:t>
      </w:r>
      <w:r w:rsidR="00B97319">
        <w:t xml:space="preserve"> </w:t>
      </w:r>
      <w:r w:rsidRPr="00DB7840">
        <w:t>de</w:t>
      </w:r>
      <w:r w:rsidR="00B97319">
        <w:t xml:space="preserve"> </w:t>
      </w:r>
      <w:r w:rsidRPr="00DB7840">
        <w:t>planeación</w:t>
      </w:r>
      <w:r w:rsidR="00B97319">
        <w:t xml:space="preserve"> </w:t>
      </w:r>
      <w:r w:rsidRPr="00DB7840">
        <w:t>estratégica</w:t>
      </w:r>
      <w:r w:rsidR="00B97319">
        <w:t xml:space="preserve"> </w:t>
      </w:r>
      <w:r w:rsidRPr="00DB7840">
        <w:t>específico</w:t>
      </w:r>
      <w:r w:rsidR="00B97319">
        <w:t xml:space="preserve"> </w:t>
      </w:r>
      <w:r w:rsidR="005F6466">
        <w:t>de</w:t>
      </w:r>
      <w:r w:rsidRPr="00DB7840">
        <w:t>l</w:t>
      </w:r>
      <w:r w:rsidR="00B97319">
        <w:t xml:space="preserve"> </w:t>
      </w:r>
      <w:proofErr w:type="spellStart"/>
      <w:r w:rsidR="005F6466">
        <w:t>Pp</w:t>
      </w:r>
      <w:proofErr w:type="spellEnd"/>
      <w:r w:rsidR="00B97319">
        <w:t xml:space="preserve"> </w:t>
      </w:r>
      <w:r w:rsidRPr="00DB7840">
        <w:t>que</w:t>
      </w:r>
      <w:r w:rsidR="00B97319">
        <w:t xml:space="preserve"> </w:t>
      </w:r>
      <w:r w:rsidRPr="00DB7840">
        <w:t>sea</w:t>
      </w:r>
      <w:r w:rsidR="00B97319">
        <w:t xml:space="preserve"> </w:t>
      </w:r>
      <w:r w:rsidRPr="00DB7840">
        <w:t>consistente</w:t>
      </w:r>
      <w:r w:rsidR="00B97319">
        <w:t xml:space="preserve"> </w:t>
      </w:r>
      <w:r w:rsidRPr="00DB7840">
        <w:t>con</w:t>
      </w:r>
      <w:r w:rsidR="00B97319">
        <w:t xml:space="preserve"> </w:t>
      </w:r>
      <w:r w:rsidRPr="00DB7840">
        <w:t>el</w:t>
      </w:r>
      <w:r w:rsidR="00B97319">
        <w:t xml:space="preserve"> </w:t>
      </w:r>
      <w:r w:rsidRPr="00DB7840">
        <w:t>P</w:t>
      </w:r>
      <w:r w:rsidR="006E3A85">
        <w:t xml:space="preserve">rograma </w:t>
      </w:r>
      <w:r w:rsidRPr="00DB7840">
        <w:t>N</w:t>
      </w:r>
      <w:r w:rsidR="006E3A85">
        <w:t xml:space="preserve">acional de </w:t>
      </w:r>
      <w:r w:rsidRPr="00DB7840">
        <w:t>D</w:t>
      </w:r>
      <w:r w:rsidR="006E3A85">
        <w:t xml:space="preserve">erechos </w:t>
      </w:r>
      <w:r w:rsidRPr="00DB7840">
        <w:t>H</w:t>
      </w:r>
      <w:r w:rsidR="006E3A85">
        <w:t>umanos</w:t>
      </w:r>
      <w:r w:rsidR="00155450">
        <w:t xml:space="preserve"> y</w:t>
      </w:r>
      <w:r w:rsidR="00B97319">
        <w:t xml:space="preserve"> </w:t>
      </w:r>
      <w:r w:rsidRPr="00DB7840">
        <w:t>que</w:t>
      </w:r>
      <w:r w:rsidR="00B97319">
        <w:t xml:space="preserve"> </w:t>
      </w:r>
      <w:r w:rsidRPr="00DB7840">
        <w:t>incluya</w:t>
      </w:r>
      <w:r w:rsidR="00B97319">
        <w:t xml:space="preserve"> </w:t>
      </w:r>
      <w:r w:rsidRPr="00DB7840">
        <w:t>únicamente</w:t>
      </w:r>
      <w:r w:rsidR="00B97319">
        <w:t xml:space="preserve"> </w:t>
      </w:r>
      <w:r w:rsidRPr="00DB7840">
        <w:t>los</w:t>
      </w:r>
      <w:r w:rsidR="00B97319">
        <w:t xml:space="preserve"> </w:t>
      </w:r>
      <w:r w:rsidRPr="00DB7840">
        <w:t>resultados</w:t>
      </w:r>
      <w:r w:rsidR="00B97319">
        <w:t xml:space="preserve"> </w:t>
      </w:r>
      <w:r w:rsidRPr="00DB7840">
        <w:t>a</w:t>
      </w:r>
      <w:r w:rsidR="00B97319">
        <w:t xml:space="preserve"> </w:t>
      </w:r>
      <w:r w:rsidRPr="00DB7840">
        <w:t>alcanzar</w:t>
      </w:r>
      <w:r w:rsidR="00B97319">
        <w:t xml:space="preserve"> </w:t>
      </w:r>
      <w:r w:rsidRPr="00DB7840">
        <w:t>a</w:t>
      </w:r>
      <w:r w:rsidR="00B97319">
        <w:t xml:space="preserve"> </w:t>
      </w:r>
      <w:r w:rsidRPr="00DB7840">
        <w:t>mediano</w:t>
      </w:r>
      <w:r w:rsidR="00B97319">
        <w:t xml:space="preserve"> </w:t>
      </w:r>
      <w:r w:rsidRPr="00DB7840">
        <w:t>y</w:t>
      </w:r>
      <w:r w:rsidR="00B97319">
        <w:t xml:space="preserve"> </w:t>
      </w:r>
      <w:r w:rsidRPr="00DB7840">
        <w:t>largo</w:t>
      </w:r>
      <w:r w:rsidR="00B97319">
        <w:t xml:space="preserve"> </w:t>
      </w:r>
      <w:r w:rsidRPr="00DB7840">
        <w:t>plazos</w:t>
      </w:r>
      <w:r w:rsidR="00B97319">
        <w:t xml:space="preserve"> </w:t>
      </w:r>
      <w:r w:rsidRPr="00DB7840">
        <w:t>por</w:t>
      </w:r>
      <w:r w:rsidR="00B97319">
        <w:t xml:space="preserve"> </w:t>
      </w:r>
      <w:r w:rsidRPr="00DB7840">
        <w:t>el</w:t>
      </w:r>
      <w:r w:rsidR="00B97319">
        <w:t xml:space="preserve"> </w:t>
      </w:r>
      <w:r w:rsidR="00723CCA">
        <w:t>Pp</w:t>
      </w:r>
      <w:r w:rsidRPr="00DB7840">
        <w:t>.</w:t>
      </w:r>
      <w:r>
        <w:t xml:space="preserve"> </w:t>
      </w:r>
      <w:r w:rsidRPr="00DB7840">
        <w:t>Incorporar</w:t>
      </w:r>
      <w:r w:rsidR="00B97319">
        <w:t xml:space="preserve"> </w:t>
      </w:r>
      <w:r w:rsidRPr="00DB7840">
        <w:t>las</w:t>
      </w:r>
      <w:r w:rsidR="00B97319">
        <w:t xml:space="preserve"> </w:t>
      </w:r>
      <w:r w:rsidRPr="00DB7840">
        <w:t>características</w:t>
      </w:r>
      <w:r w:rsidR="00B97319">
        <w:t xml:space="preserve"> </w:t>
      </w:r>
      <w:r w:rsidRPr="00DB7840">
        <w:t>del</w:t>
      </w:r>
      <w:r w:rsidR="00B97319">
        <w:t xml:space="preserve"> </w:t>
      </w:r>
      <w:r w:rsidR="00723CCA">
        <w:t xml:space="preserve">AEO atendida y </w:t>
      </w:r>
      <w:r w:rsidRPr="00DB7840">
        <w:t>no</w:t>
      </w:r>
      <w:r w:rsidR="00B97319">
        <w:t xml:space="preserve"> </w:t>
      </w:r>
      <w:r w:rsidRPr="00DB7840">
        <w:t>atendida,</w:t>
      </w:r>
      <w:r w:rsidR="00B97319">
        <w:t xml:space="preserve"> </w:t>
      </w:r>
      <w:r w:rsidRPr="00DB7840">
        <w:t>justificando</w:t>
      </w:r>
      <w:r w:rsidR="00B97319">
        <w:t xml:space="preserve"> </w:t>
      </w:r>
      <w:r w:rsidRPr="00DB7840">
        <w:t>las</w:t>
      </w:r>
      <w:r w:rsidR="00884494">
        <w:t xml:space="preserve"> </w:t>
      </w:r>
      <w:r w:rsidRPr="00DB7840">
        <w:t>razones</w:t>
      </w:r>
      <w:r w:rsidR="00B97319">
        <w:t xml:space="preserve"> </w:t>
      </w:r>
      <w:r w:rsidRPr="00DB7840">
        <w:t>por</w:t>
      </w:r>
      <w:r w:rsidR="00B97319">
        <w:t xml:space="preserve"> </w:t>
      </w:r>
      <w:r w:rsidRPr="00DB7840">
        <w:t>las</w:t>
      </w:r>
      <w:r w:rsidR="00B97319">
        <w:t xml:space="preserve"> </w:t>
      </w:r>
      <w:r w:rsidRPr="00DB7840">
        <w:t>cuales</w:t>
      </w:r>
      <w:r w:rsidR="00B97319">
        <w:t xml:space="preserve"> </w:t>
      </w:r>
      <w:r w:rsidRPr="00DB7840">
        <w:t>ésta</w:t>
      </w:r>
      <w:r w:rsidR="00B97319">
        <w:t xml:space="preserve"> </w:t>
      </w:r>
      <w:r w:rsidRPr="00DB7840">
        <w:t>última</w:t>
      </w:r>
      <w:r w:rsidR="00B97319">
        <w:t xml:space="preserve"> </w:t>
      </w:r>
      <w:r w:rsidRPr="00DB7840">
        <w:t>aún</w:t>
      </w:r>
      <w:r w:rsidR="00B97319">
        <w:t xml:space="preserve"> </w:t>
      </w:r>
      <w:r w:rsidRPr="00DB7840">
        <w:t>no</w:t>
      </w:r>
      <w:r w:rsidR="00B97319">
        <w:t xml:space="preserve"> </w:t>
      </w:r>
      <w:r w:rsidRPr="00DB7840">
        <w:t>recibe</w:t>
      </w:r>
      <w:r w:rsidR="00B97319">
        <w:t xml:space="preserve"> </w:t>
      </w:r>
      <w:r w:rsidRPr="00DB7840">
        <w:t>atención</w:t>
      </w:r>
      <w:r w:rsidR="00884494">
        <w:t>.</w:t>
      </w:r>
    </w:p>
    <w:p w14:paraId="1487D306" w14:textId="77777777" w:rsidR="00E84F65" w:rsidRDefault="00DB7840" w:rsidP="00DB7840">
      <w:pPr>
        <w:pStyle w:val="Bala"/>
        <w:numPr>
          <w:ilvl w:val="0"/>
          <w:numId w:val="1"/>
        </w:numPr>
        <w:ind w:left="357" w:hanging="357"/>
      </w:pPr>
      <w:r>
        <w:t>Elaborar u</w:t>
      </w:r>
      <w:r w:rsidRPr="00DB7840">
        <w:t>n</w:t>
      </w:r>
      <w:r w:rsidR="00B97319">
        <w:t xml:space="preserve"> </w:t>
      </w:r>
      <w:r w:rsidRPr="00DB7840">
        <w:t>documento</w:t>
      </w:r>
      <w:r w:rsidR="00B97319">
        <w:t xml:space="preserve"> </w:t>
      </w:r>
      <w:r w:rsidRPr="00DB7840">
        <w:t>con</w:t>
      </w:r>
      <w:r w:rsidR="00B97319">
        <w:t xml:space="preserve"> </w:t>
      </w:r>
      <w:r w:rsidRPr="00DB7840">
        <w:t>la</w:t>
      </w:r>
      <w:r w:rsidR="00B97319">
        <w:t xml:space="preserve"> </w:t>
      </w:r>
      <w:r w:rsidRPr="00DB7840">
        <w:t>estrategia</w:t>
      </w:r>
      <w:r w:rsidR="00B97319">
        <w:t xml:space="preserve"> </w:t>
      </w:r>
      <w:r w:rsidRPr="00DB7840">
        <w:t>de</w:t>
      </w:r>
      <w:r w:rsidR="00B97319">
        <w:t xml:space="preserve"> </w:t>
      </w:r>
      <w:r w:rsidRPr="00DB7840">
        <w:t>cobertura,</w:t>
      </w:r>
      <w:r w:rsidR="00B97319">
        <w:t xml:space="preserve"> </w:t>
      </w:r>
      <w:r w:rsidRPr="00DB7840">
        <w:t>con</w:t>
      </w:r>
      <w:r w:rsidR="00B97319">
        <w:t xml:space="preserve"> </w:t>
      </w:r>
      <w:r w:rsidRPr="00DB7840">
        <w:t>las</w:t>
      </w:r>
      <w:r w:rsidR="00B97319">
        <w:t xml:space="preserve"> </w:t>
      </w:r>
      <w:r w:rsidRPr="00DB7840">
        <w:t>características</w:t>
      </w:r>
      <w:r w:rsidR="00B97319">
        <w:t xml:space="preserve"> </w:t>
      </w:r>
      <w:r w:rsidRPr="00DB7840">
        <w:t>de</w:t>
      </w:r>
      <w:r w:rsidR="006E3A85">
        <w:t>l</w:t>
      </w:r>
      <w:r w:rsidR="00B97319">
        <w:t xml:space="preserve"> </w:t>
      </w:r>
      <w:proofErr w:type="spellStart"/>
      <w:r w:rsidR="006E3A85">
        <w:t>AEPo</w:t>
      </w:r>
      <w:proofErr w:type="spellEnd"/>
      <w:r w:rsidRPr="00DB7840">
        <w:t>,</w:t>
      </w:r>
      <w:r w:rsidR="00B97319">
        <w:t xml:space="preserve"> </w:t>
      </w:r>
      <w:r w:rsidRPr="00DB7840">
        <w:t>los</w:t>
      </w:r>
      <w:r w:rsidR="00B97319">
        <w:t xml:space="preserve"> </w:t>
      </w:r>
      <w:r w:rsidRPr="00DB7840">
        <w:t>criterios</w:t>
      </w:r>
      <w:r w:rsidR="00B97319">
        <w:t xml:space="preserve"> </w:t>
      </w:r>
      <w:r w:rsidRPr="00DB7840">
        <w:t>de</w:t>
      </w:r>
      <w:r w:rsidR="00B97319">
        <w:t xml:space="preserve"> </w:t>
      </w:r>
      <w:r w:rsidRPr="00DB7840">
        <w:t>identificación</w:t>
      </w:r>
      <w:r w:rsidR="00B97319">
        <w:t xml:space="preserve"> </w:t>
      </w:r>
      <w:r w:rsidRPr="00DB7840">
        <w:t>para</w:t>
      </w:r>
      <w:r w:rsidR="00B97319">
        <w:t xml:space="preserve"> </w:t>
      </w:r>
      <w:r w:rsidR="006E3A85">
        <w:t>su</w:t>
      </w:r>
      <w:r w:rsidR="00B97319">
        <w:t xml:space="preserve"> </w:t>
      </w:r>
      <w:r w:rsidRPr="00DB7840">
        <w:t>atención,</w:t>
      </w:r>
      <w:r w:rsidR="00B97319">
        <w:t xml:space="preserve"> </w:t>
      </w:r>
      <w:r w:rsidRPr="00DB7840">
        <w:t>metas</w:t>
      </w:r>
      <w:r w:rsidR="00B97319">
        <w:t xml:space="preserve"> </w:t>
      </w:r>
      <w:r w:rsidRPr="00DB7840">
        <w:t>de</w:t>
      </w:r>
      <w:r w:rsidR="00B97319">
        <w:t xml:space="preserve"> </w:t>
      </w:r>
      <w:r w:rsidRPr="00DB7840">
        <w:t>crecimiento</w:t>
      </w:r>
      <w:r w:rsidR="00B97319">
        <w:t xml:space="preserve"> </w:t>
      </w:r>
      <w:r w:rsidRPr="00DB7840">
        <w:t>en</w:t>
      </w:r>
      <w:r w:rsidR="00B97319">
        <w:t xml:space="preserve"> </w:t>
      </w:r>
      <w:r w:rsidRPr="00DB7840">
        <w:t>el</w:t>
      </w:r>
      <w:r w:rsidR="00B97319">
        <w:t xml:space="preserve"> </w:t>
      </w:r>
      <w:r w:rsidRPr="00DB7840">
        <w:t>mediano</w:t>
      </w:r>
      <w:r w:rsidR="00B97319">
        <w:t xml:space="preserve"> </w:t>
      </w:r>
      <w:r w:rsidRPr="00DB7840">
        <w:t>plazo,</w:t>
      </w:r>
      <w:r w:rsidR="00B97319">
        <w:t xml:space="preserve"> </w:t>
      </w:r>
      <w:r w:rsidRPr="00DB7840">
        <w:t>entre</w:t>
      </w:r>
      <w:r w:rsidR="00B97319">
        <w:t xml:space="preserve"> </w:t>
      </w:r>
      <w:r w:rsidRPr="00DB7840">
        <w:t>otros</w:t>
      </w:r>
      <w:r w:rsidR="00B97319">
        <w:t xml:space="preserve"> </w:t>
      </w:r>
      <w:r w:rsidRPr="00DB7840">
        <w:t>elementos</w:t>
      </w:r>
      <w:r w:rsidR="00E84F65">
        <w:t>.</w:t>
      </w:r>
    </w:p>
    <w:p w14:paraId="39B74E11" w14:textId="77777777" w:rsidR="00864466" w:rsidRPr="0043350C" w:rsidRDefault="00B97319" w:rsidP="00DB7840">
      <w:pPr>
        <w:pStyle w:val="Bala"/>
        <w:numPr>
          <w:ilvl w:val="0"/>
          <w:numId w:val="1"/>
        </w:numPr>
        <w:ind w:left="357" w:hanging="357"/>
      </w:pPr>
      <w:r w:rsidRPr="00DB7840">
        <w:t>I</w:t>
      </w:r>
      <w:r w:rsidR="00DB7840" w:rsidRPr="00DB7840">
        <w:t>ncorporar</w:t>
      </w:r>
      <w:r>
        <w:t xml:space="preserve"> </w:t>
      </w:r>
      <w:r w:rsidR="00DB7840" w:rsidRPr="00DB7840">
        <w:t>un</w:t>
      </w:r>
      <w:r>
        <w:t xml:space="preserve"> </w:t>
      </w:r>
      <w:r w:rsidR="00DB7840" w:rsidRPr="00DB7840">
        <w:t>apartado</w:t>
      </w:r>
      <w:r>
        <w:t xml:space="preserve"> </w:t>
      </w:r>
      <w:r w:rsidR="00DB7840" w:rsidRPr="00DB7840">
        <w:t>que</w:t>
      </w:r>
      <w:r>
        <w:t xml:space="preserve"> </w:t>
      </w:r>
      <w:r w:rsidR="00DB7840" w:rsidRPr="00DB7840">
        <w:t>clasifique</w:t>
      </w:r>
      <w:r>
        <w:t xml:space="preserve"> </w:t>
      </w:r>
      <w:r w:rsidR="00DB7840" w:rsidRPr="00DB7840">
        <w:t>al</w:t>
      </w:r>
      <w:r>
        <w:t xml:space="preserve"> </w:t>
      </w:r>
      <w:proofErr w:type="spellStart"/>
      <w:r w:rsidR="007533E9">
        <w:t>AEPo</w:t>
      </w:r>
      <w:proofErr w:type="spellEnd"/>
      <w:r w:rsidR="00C25D5B">
        <w:t xml:space="preserve"> </w:t>
      </w:r>
      <w:r w:rsidR="00DB7840" w:rsidRPr="00DB7840">
        <w:t>(autoridades</w:t>
      </w:r>
      <w:r>
        <w:t xml:space="preserve"> </w:t>
      </w:r>
      <w:r w:rsidR="00DB7840" w:rsidRPr="00DB7840">
        <w:t>de</w:t>
      </w:r>
      <w:r>
        <w:t xml:space="preserve"> </w:t>
      </w:r>
      <w:r w:rsidR="00DB7840" w:rsidRPr="00DB7840">
        <w:t>los</w:t>
      </w:r>
      <w:r>
        <w:t xml:space="preserve"> </w:t>
      </w:r>
      <w:r w:rsidR="00DB7840" w:rsidRPr="00DB7840">
        <w:t>tres</w:t>
      </w:r>
      <w:r>
        <w:t xml:space="preserve"> </w:t>
      </w:r>
      <w:r w:rsidR="00DB7840" w:rsidRPr="00DB7840">
        <w:t>órdenes</w:t>
      </w:r>
      <w:r>
        <w:t xml:space="preserve"> </w:t>
      </w:r>
      <w:r w:rsidR="00DB7840" w:rsidRPr="00DB7840">
        <w:t>de</w:t>
      </w:r>
      <w:r>
        <w:t xml:space="preserve"> </w:t>
      </w:r>
      <w:r w:rsidR="00DB7840" w:rsidRPr="00DB7840">
        <w:t>gobierno</w:t>
      </w:r>
      <w:r>
        <w:t xml:space="preserve"> </w:t>
      </w:r>
      <w:r w:rsidR="00DB7840" w:rsidRPr="00DB7840">
        <w:t>y</w:t>
      </w:r>
      <w:r>
        <w:t xml:space="preserve"> </w:t>
      </w:r>
      <w:r w:rsidR="00DB7840" w:rsidRPr="00DB7840">
        <w:t>organismos</w:t>
      </w:r>
      <w:r>
        <w:t xml:space="preserve"> </w:t>
      </w:r>
      <w:r w:rsidR="00DB7840" w:rsidRPr="00DB7840">
        <w:t>de</w:t>
      </w:r>
      <w:r>
        <w:t xml:space="preserve"> </w:t>
      </w:r>
      <w:r w:rsidR="00DB7840" w:rsidRPr="00DB7840">
        <w:t>defensa</w:t>
      </w:r>
      <w:r>
        <w:t xml:space="preserve"> </w:t>
      </w:r>
      <w:r w:rsidR="00DB7840" w:rsidRPr="00DB7840">
        <w:t>de</w:t>
      </w:r>
      <w:r>
        <w:t xml:space="preserve"> </w:t>
      </w:r>
      <w:r w:rsidR="00DB7840" w:rsidRPr="00DB7840">
        <w:t>los</w:t>
      </w:r>
      <w:r>
        <w:t xml:space="preserve"> </w:t>
      </w:r>
      <w:r w:rsidR="00DB7840" w:rsidRPr="00DB7840">
        <w:t>D</w:t>
      </w:r>
      <w:r w:rsidR="006E3A85">
        <w:t xml:space="preserve">erechos </w:t>
      </w:r>
      <w:r w:rsidR="00DB7840" w:rsidRPr="00DB7840">
        <w:t>H</w:t>
      </w:r>
      <w:r w:rsidR="006E3A85">
        <w:t>umanos</w:t>
      </w:r>
      <w:r w:rsidR="00DB7840" w:rsidRPr="00DB7840">
        <w:t>)</w:t>
      </w:r>
      <w:r>
        <w:t xml:space="preserve">, </w:t>
      </w:r>
      <w:r w:rsidR="007533E9">
        <w:t xml:space="preserve">al AEO </w:t>
      </w:r>
      <w:r w:rsidR="00DB7840" w:rsidRPr="00DB7840">
        <w:t>y</w:t>
      </w:r>
      <w:r>
        <w:t xml:space="preserve"> </w:t>
      </w:r>
      <w:r w:rsidR="007533E9">
        <w:t>al AEA</w:t>
      </w:r>
      <w:r w:rsidR="00DB7840" w:rsidRPr="00DB7840">
        <w:t>.</w:t>
      </w:r>
      <w:r w:rsidR="00C25D5B">
        <w:t xml:space="preserve"> </w:t>
      </w:r>
      <w:r w:rsidR="007533E9">
        <w:t>S</w:t>
      </w:r>
      <w:r w:rsidR="00DB7840" w:rsidRPr="00DB7840">
        <w:t>e</w:t>
      </w:r>
      <w:r w:rsidR="00C25D5B">
        <w:t xml:space="preserve"> </w:t>
      </w:r>
      <w:r w:rsidR="00DB7840" w:rsidRPr="00DB7840">
        <w:t>sugiere</w:t>
      </w:r>
      <w:r>
        <w:t xml:space="preserve"> </w:t>
      </w:r>
      <w:r w:rsidR="007533E9">
        <w:t>sistematizar</w:t>
      </w:r>
      <w:r>
        <w:t xml:space="preserve"> </w:t>
      </w:r>
      <w:r w:rsidR="007533E9">
        <w:t>l</w:t>
      </w:r>
      <w:r w:rsidR="00DB7840" w:rsidRPr="00DB7840">
        <w:t>a</w:t>
      </w:r>
      <w:r w:rsidR="007533E9">
        <w:t xml:space="preserve"> información a</w:t>
      </w:r>
      <w:r>
        <w:t xml:space="preserve"> </w:t>
      </w:r>
      <w:r w:rsidR="00DB7840" w:rsidRPr="00DB7840">
        <w:t>fin</w:t>
      </w:r>
      <w:r>
        <w:t xml:space="preserve"> </w:t>
      </w:r>
      <w:r w:rsidR="00DB7840" w:rsidRPr="00DB7840">
        <w:t>de</w:t>
      </w:r>
      <w:r>
        <w:t xml:space="preserve"> </w:t>
      </w:r>
      <w:r w:rsidR="00DB7840" w:rsidRPr="00DB7840">
        <w:t>conocer</w:t>
      </w:r>
      <w:r w:rsidR="00C25D5B">
        <w:t xml:space="preserve"> </w:t>
      </w:r>
      <w:r w:rsidR="00DB7840" w:rsidRPr="00DB7840">
        <w:t>la</w:t>
      </w:r>
      <w:r>
        <w:t xml:space="preserve"> </w:t>
      </w:r>
      <w:r w:rsidR="00DB7840" w:rsidRPr="00DB7840">
        <w:t>demanda</w:t>
      </w:r>
      <w:r>
        <w:t xml:space="preserve"> </w:t>
      </w:r>
      <w:r w:rsidR="00DB7840" w:rsidRPr="00DB7840">
        <w:t>total</w:t>
      </w:r>
      <w:r>
        <w:t xml:space="preserve"> </w:t>
      </w:r>
      <w:r w:rsidR="00DB7840" w:rsidRPr="00DB7840">
        <w:t>de</w:t>
      </w:r>
      <w:r>
        <w:t xml:space="preserve"> </w:t>
      </w:r>
      <w:r w:rsidR="00DB7840" w:rsidRPr="00DB7840">
        <w:t>cada</w:t>
      </w:r>
      <w:r>
        <w:t xml:space="preserve"> </w:t>
      </w:r>
      <w:r w:rsidR="00DB7840" w:rsidRPr="00DB7840">
        <w:t>entregable.</w:t>
      </w:r>
    </w:p>
    <w:p w14:paraId="483AC78E" w14:textId="77777777" w:rsidR="00864466" w:rsidRPr="0043350C" w:rsidRDefault="00C25D5B" w:rsidP="00DB7840">
      <w:pPr>
        <w:pStyle w:val="Bala"/>
        <w:numPr>
          <w:ilvl w:val="0"/>
          <w:numId w:val="1"/>
        </w:numPr>
        <w:ind w:left="357" w:hanging="357"/>
      </w:pPr>
      <w:r>
        <w:t xml:space="preserve">Concluir </w:t>
      </w:r>
      <w:r w:rsidR="00DB7840" w:rsidRPr="00DB7840">
        <w:t>el</w:t>
      </w:r>
      <w:r>
        <w:t xml:space="preserve"> </w:t>
      </w:r>
      <w:r w:rsidR="00DB7840" w:rsidRPr="00DB7840">
        <w:t>proceso</w:t>
      </w:r>
      <w:r>
        <w:t xml:space="preserve"> </w:t>
      </w:r>
      <w:r w:rsidR="00DB7840" w:rsidRPr="00DB7840">
        <w:t>de</w:t>
      </w:r>
      <w:r>
        <w:t xml:space="preserve"> </w:t>
      </w:r>
      <w:r w:rsidR="00DB7840" w:rsidRPr="00DB7840">
        <w:t>elaboración</w:t>
      </w:r>
      <w:r>
        <w:t xml:space="preserve"> </w:t>
      </w:r>
      <w:r w:rsidR="00DB7840" w:rsidRPr="00DB7840">
        <w:t>y</w:t>
      </w:r>
      <w:r>
        <w:t xml:space="preserve"> </w:t>
      </w:r>
      <w:r w:rsidR="00DB7840" w:rsidRPr="00DB7840">
        <w:t>aprobación</w:t>
      </w:r>
      <w:r>
        <w:t xml:space="preserve"> de </w:t>
      </w:r>
      <w:r w:rsidR="00DB7840" w:rsidRPr="00DB7840">
        <w:t>los</w:t>
      </w:r>
      <w:r>
        <w:t xml:space="preserve"> </w:t>
      </w:r>
      <w:r w:rsidR="00DB7840" w:rsidRPr="00DB7840">
        <w:t>manuales</w:t>
      </w:r>
      <w:r>
        <w:t xml:space="preserve"> </w:t>
      </w:r>
      <w:r w:rsidR="00DB7840" w:rsidRPr="00DB7840">
        <w:t>de</w:t>
      </w:r>
      <w:r>
        <w:t xml:space="preserve"> </w:t>
      </w:r>
      <w:r w:rsidR="00DB7840" w:rsidRPr="00DB7840">
        <w:t>operación</w:t>
      </w:r>
      <w:r>
        <w:t xml:space="preserve"> </w:t>
      </w:r>
      <w:r w:rsidR="00DB7840" w:rsidRPr="00DB7840">
        <w:t>y</w:t>
      </w:r>
      <w:r>
        <w:t xml:space="preserve"> </w:t>
      </w:r>
      <w:r w:rsidR="00DB7840" w:rsidRPr="00DB7840">
        <w:t>organización</w:t>
      </w:r>
      <w:r>
        <w:t xml:space="preserve"> </w:t>
      </w:r>
      <w:r w:rsidR="00DB7840" w:rsidRPr="00DB7840">
        <w:t>específicos</w:t>
      </w:r>
      <w:r>
        <w:t xml:space="preserve"> </w:t>
      </w:r>
      <w:r w:rsidR="00DB7840" w:rsidRPr="00DB7840">
        <w:t>de</w:t>
      </w:r>
      <w:r>
        <w:t xml:space="preserve"> </w:t>
      </w:r>
      <w:r w:rsidR="00DB7840" w:rsidRPr="00DB7840">
        <w:t>todas</w:t>
      </w:r>
      <w:r>
        <w:t xml:space="preserve"> </w:t>
      </w:r>
      <w:r w:rsidR="00DB7840" w:rsidRPr="00DB7840">
        <w:t>las</w:t>
      </w:r>
      <w:r>
        <w:t xml:space="preserve"> </w:t>
      </w:r>
      <w:r w:rsidR="00DB7840" w:rsidRPr="00DB7840">
        <w:t>UR</w:t>
      </w:r>
      <w:r>
        <w:t xml:space="preserve"> </w:t>
      </w:r>
      <w:r w:rsidR="00DB7840" w:rsidRPr="00DB7840">
        <w:t>del</w:t>
      </w:r>
      <w:r>
        <w:t xml:space="preserve"> </w:t>
      </w:r>
      <w:r w:rsidR="002442A9">
        <w:t>Pp</w:t>
      </w:r>
      <w:r w:rsidR="00864466" w:rsidRPr="0043350C">
        <w:t>.</w:t>
      </w:r>
    </w:p>
    <w:p w14:paraId="12066336" w14:textId="77777777" w:rsidR="002442A9" w:rsidRDefault="00DB7840" w:rsidP="00B97319">
      <w:pPr>
        <w:pStyle w:val="Bala"/>
        <w:numPr>
          <w:ilvl w:val="0"/>
          <w:numId w:val="1"/>
        </w:numPr>
        <w:ind w:left="357" w:hanging="357"/>
      </w:pPr>
      <w:r>
        <w:t>Definir</w:t>
      </w:r>
      <w:r w:rsidR="00C25D5B">
        <w:t xml:space="preserve"> </w:t>
      </w:r>
      <w:r>
        <w:t>las</w:t>
      </w:r>
      <w:r w:rsidR="00C25D5B">
        <w:t xml:space="preserve"> </w:t>
      </w:r>
      <w:r>
        <w:t>metas</w:t>
      </w:r>
      <w:r w:rsidR="00C25D5B">
        <w:t xml:space="preserve"> </w:t>
      </w:r>
      <w:r>
        <w:t>de</w:t>
      </w:r>
      <w:r w:rsidR="00C25D5B">
        <w:t xml:space="preserve"> </w:t>
      </w:r>
      <w:r>
        <w:t>los</w:t>
      </w:r>
      <w:r w:rsidR="00C25D5B">
        <w:t xml:space="preserve"> </w:t>
      </w:r>
      <w:r>
        <w:t>indicadores</w:t>
      </w:r>
      <w:r w:rsidR="00C25D5B">
        <w:t xml:space="preserve"> </w:t>
      </w:r>
      <w:r>
        <w:t>con</w:t>
      </w:r>
      <w:r w:rsidR="00C25D5B">
        <w:t xml:space="preserve"> </w:t>
      </w:r>
      <w:r>
        <w:t>mayor</w:t>
      </w:r>
      <w:r w:rsidR="00C25D5B">
        <w:t xml:space="preserve"> </w:t>
      </w:r>
      <w:r>
        <w:t>precisión.</w:t>
      </w:r>
      <w:r w:rsidR="00C25D5B">
        <w:t xml:space="preserve"> </w:t>
      </w:r>
      <w:r>
        <w:t>Usar</w:t>
      </w:r>
      <w:r w:rsidR="00C25D5B">
        <w:t xml:space="preserve"> </w:t>
      </w:r>
      <w:r>
        <w:t>la</w:t>
      </w:r>
      <w:r w:rsidR="00C25D5B">
        <w:t xml:space="preserve"> </w:t>
      </w:r>
      <w:r>
        <w:t>información</w:t>
      </w:r>
      <w:r w:rsidR="00C25D5B">
        <w:t xml:space="preserve"> </w:t>
      </w:r>
      <w:r>
        <w:t>disponible</w:t>
      </w:r>
      <w:r w:rsidR="00C25D5B">
        <w:t xml:space="preserve"> a </w:t>
      </w:r>
      <w:r>
        <w:t>la</w:t>
      </w:r>
      <w:r w:rsidR="00C25D5B">
        <w:t xml:space="preserve"> </w:t>
      </w:r>
      <w:r>
        <w:t>fecha</w:t>
      </w:r>
      <w:r w:rsidR="00C25D5B">
        <w:t xml:space="preserve"> </w:t>
      </w:r>
      <w:r>
        <w:t>para</w:t>
      </w:r>
      <w:r w:rsidR="00C25D5B">
        <w:t xml:space="preserve"> </w:t>
      </w:r>
      <w:r>
        <w:t>cuantificar</w:t>
      </w:r>
      <w:r w:rsidR="00C25D5B">
        <w:t xml:space="preserve"> </w:t>
      </w:r>
      <w:r>
        <w:t>de</w:t>
      </w:r>
      <w:r w:rsidR="00C25D5B">
        <w:t xml:space="preserve"> </w:t>
      </w:r>
      <w:r>
        <w:t>mejor</w:t>
      </w:r>
      <w:r w:rsidR="00C25D5B">
        <w:t xml:space="preserve"> </w:t>
      </w:r>
      <w:r>
        <w:t>manera</w:t>
      </w:r>
      <w:r w:rsidR="00C25D5B">
        <w:t xml:space="preserve"> </w:t>
      </w:r>
      <w:r>
        <w:t>la</w:t>
      </w:r>
      <w:r w:rsidR="00C25D5B">
        <w:t xml:space="preserve"> </w:t>
      </w:r>
      <w:r>
        <w:t>meta</w:t>
      </w:r>
      <w:r w:rsidR="00C25D5B">
        <w:t xml:space="preserve"> </w:t>
      </w:r>
      <w:r>
        <w:t>de</w:t>
      </w:r>
      <w:r w:rsidR="00C25D5B">
        <w:t xml:space="preserve"> </w:t>
      </w:r>
      <w:r>
        <w:t>cada</w:t>
      </w:r>
      <w:r w:rsidR="00C25D5B">
        <w:t xml:space="preserve"> </w:t>
      </w:r>
      <w:r>
        <w:t>indicador.</w:t>
      </w:r>
    </w:p>
    <w:p w14:paraId="1A18D32E" w14:textId="77777777" w:rsidR="00864466" w:rsidRDefault="00B97319" w:rsidP="00B97319">
      <w:pPr>
        <w:pStyle w:val="Bala"/>
        <w:numPr>
          <w:ilvl w:val="0"/>
          <w:numId w:val="1"/>
        </w:numPr>
        <w:ind w:left="357" w:hanging="357"/>
      </w:pPr>
      <w:r w:rsidRPr="00B97319">
        <w:t>Agregar</w:t>
      </w:r>
      <w:r w:rsidR="00C25D5B">
        <w:t xml:space="preserve"> </w:t>
      </w:r>
      <w:r w:rsidRPr="00B97319">
        <w:t>en</w:t>
      </w:r>
      <w:r w:rsidR="00C25D5B">
        <w:t xml:space="preserve"> </w:t>
      </w:r>
      <w:r w:rsidRPr="00B97319">
        <w:t>la</w:t>
      </w:r>
      <w:r w:rsidR="00C25D5B">
        <w:t xml:space="preserve"> </w:t>
      </w:r>
      <w:r w:rsidRPr="00B97319">
        <w:t>página</w:t>
      </w:r>
      <w:r w:rsidR="00C25D5B">
        <w:t xml:space="preserve"> </w:t>
      </w:r>
      <w:r w:rsidRPr="00B97319">
        <w:t>de</w:t>
      </w:r>
      <w:r w:rsidR="00C25D5B">
        <w:t xml:space="preserve"> </w:t>
      </w:r>
      <w:r w:rsidRPr="00B97319">
        <w:t>la</w:t>
      </w:r>
      <w:r w:rsidR="00C25D5B">
        <w:t xml:space="preserve"> </w:t>
      </w:r>
      <w:r w:rsidR="002442A9">
        <w:t>Secretaría de Gobern</w:t>
      </w:r>
      <w:r w:rsidR="00955645">
        <w:t>ación</w:t>
      </w:r>
      <w:r w:rsidR="002442A9">
        <w:t xml:space="preserve"> </w:t>
      </w:r>
      <w:r w:rsidRPr="00B97319">
        <w:t>un</w:t>
      </w:r>
      <w:r w:rsidR="00C25D5B">
        <w:t xml:space="preserve"> </w:t>
      </w:r>
      <w:r w:rsidRPr="00B97319">
        <w:t>apartado</w:t>
      </w:r>
      <w:r w:rsidR="00C25D5B">
        <w:t xml:space="preserve"> </w:t>
      </w:r>
      <w:r w:rsidRPr="00B97319">
        <w:t>de</w:t>
      </w:r>
      <w:r w:rsidR="00C25D5B">
        <w:t xml:space="preserve"> </w:t>
      </w:r>
      <w:r w:rsidRPr="00B97319">
        <w:t>información</w:t>
      </w:r>
      <w:r w:rsidR="00C25D5B">
        <w:t xml:space="preserve"> </w:t>
      </w:r>
      <w:r w:rsidR="002442A9">
        <w:t>del</w:t>
      </w:r>
      <w:r w:rsidR="00C25D5B">
        <w:t xml:space="preserve"> </w:t>
      </w:r>
      <w:proofErr w:type="spellStart"/>
      <w:r w:rsidRPr="00B97319">
        <w:t>Pp</w:t>
      </w:r>
      <w:proofErr w:type="spellEnd"/>
      <w:r w:rsidRPr="00B97319">
        <w:t>,</w:t>
      </w:r>
      <w:r w:rsidR="00C25D5B">
        <w:t xml:space="preserve"> </w:t>
      </w:r>
      <w:r w:rsidRPr="00B97319">
        <w:t>donde</w:t>
      </w:r>
      <w:r w:rsidR="00C25D5B">
        <w:t xml:space="preserve"> </w:t>
      </w:r>
      <w:r w:rsidRPr="00B97319">
        <w:t>se</w:t>
      </w:r>
      <w:r w:rsidR="00C25D5B">
        <w:t xml:space="preserve"> </w:t>
      </w:r>
      <w:r w:rsidRPr="00B97319">
        <w:t>dé</w:t>
      </w:r>
      <w:r w:rsidR="00C25D5B">
        <w:t xml:space="preserve"> </w:t>
      </w:r>
      <w:r w:rsidRPr="00B97319">
        <w:t>cuenta</w:t>
      </w:r>
      <w:r w:rsidR="00C25D5B">
        <w:t xml:space="preserve"> </w:t>
      </w:r>
      <w:r w:rsidRPr="00B97319">
        <w:t>de</w:t>
      </w:r>
      <w:r w:rsidR="00C25D5B">
        <w:t xml:space="preserve"> </w:t>
      </w:r>
      <w:r w:rsidRPr="00B97319">
        <w:t>sus</w:t>
      </w:r>
      <w:r w:rsidR="00C25D5B">
        <w:t xml:space="preserve"> </w:t>
      </w:r>
      <w:r w:rsidRPr="00B97319">
        <w:t>principales</w:t>
      </w:r>
      <w:r w:rsidR="00C25D5B">
        <w:t xml:space="preserve"> objetivos </w:t>
      </w:r>
      <w:r w:rsidRPr="00B97319">
        <w:t>y</w:t>
      </w:r>
      <w:r w:rsidR="00C25D5B">
        <w:t xml:space="preserve"> </w:t>
      </w:r>
      <w:r w:rsidRPr="00B97319">
        <w:t>metas,</w:t>
      </w:r>
      <w:r w:rsidR="00C25D5B">
        <w:t xml:space="preserve"> </w:t>
      </w:r>
      <w:r w:rsidRPr="00B97319">
        <w:t>de</w:t>
      </w:r>
      <w:r w:rsidR="00C25D5B">
        <w:t xml:space="preserve"> </w:t>
      </w:r>
      <w:r w:rsidRPr="00B97319">
        <w:t>los</w:t>
      </w:r>
      <w:r w:rsidR="00C25D5B">
        <w:t xml:space="preserve"> </w:t>
      </w:r>
      <w:r w:rsidRPr="00B97319">
        <w:t>bienes</w:t>
      </w:r>
      <w:r w:rsidR="00C25D5B">
        <w:t xml:space="preserve"> </w:t>
      </w:r>
      <w:r w:rsidRPr="00B97319">
        <w:t>y</w:t>
      </w:r>
      <w:r w:rsidR="00C25D5B">
        <w:t xml:space="preserve"> </w:t>
      </w:r>
      <w:r w:rsidRPr="00B97319">
        <w:t>servicios</w:t>
      </w:r>
      <w:r w:rsidR="00C25D5B">
        <w:t xml:space="preserve"> </w:t>
      </w:r>
      <w:r w:rsidRPr="00B97319">
        <w:t>que</w:t>
      </w:r>
      <w:r w:rsidR="00C25D5B">
        <w:t xml:space="preserve"> </w:t>
      </w:r>
      <w:r w:rsidRPr="00B97319">
        <w:t>entregan</w:t>
      </w:r>
      <w:r w:rsidR="00C25D5B">
        <w:t xml:space="preserve"> </w:t>
      </w:r>
      <w:r w:rsidRPr="00B97319">
        <w:t>y</w:t>
      </w:r>
      <w:r w:rsidR="00C25D5B">
        <w:t xml:space="preserve"> </w:t>
      </w:r>
      <w:r w:rsidRPr="00B97319">
        <w:t>las</w:t>
      </w:r>
      <w:r w:rsidR="00C25D5B">
        <w:t xml:space="preserve"> </w:t>
      </w:r>
      <w:r w:rsidRPr="00B97319">
        <w:t>actividades</w:t>
      </w:r>
      <w:r w:rsidR="00C25D5B">
        <w:t xml:space="preserve"> </w:t>
      </w:r>
      <w:r w:rsidRPr="00B97319">
        <w:t>que</w:t>
      </w:r>
      <w:r w:rsidR="00C25D5B">
        <w:t xml:space="preserve"> </w:t>
      </w:r>
      <w:r w:rsidRPr="00B97319">
        <w:t>desarrollan,</w:t>
      </w:r>
      <w:r w:rsidR="00C25D5B">
        <w:t xml:space="preserve"> </w:t>
      </w:r>
      <w:r w:rsidRPr="00B97319">
        <w:t>así</w:t>
      </w:r>
      <w:r w:rsidR="00C25D5B">
        <w:t xml:space="preserve"> </w:t>
      </w:r>
      <w:r w:rsidRPr="00B97319">
        <w:t>como</w:t>
      </w:r>
      <w:r w:rsidR="00C25D5B">
        <w:t xml:space="preserve"> </w:t>
      </w:r>
      <w:r w:rsidRPr="00B97319">
        <w:t>de</w:t>
      </w:r>
      <w:r w:rsidR="00C25D5B">
        <w:t xml:space="preserve"> </w:t>
      </w:r>
      <w:r w:rsidRPr="00B97319">
        <w:t>su</w:t>
      </w:r>
      <w:r w:rsidR="00C25D5B">
        <w:t xml:space="preserve"> </w:t>
      </w:r>
      <w:r w:rsidRPr="00B97319">
        <w:t>marco</w:t>
      </w:r>
      <w:r w:rsidR="00C25D5B">
        <w:t xml:space="preserve"> </w:t>
      </w:r>
      <w:r w:rsidRPr="00B97319">
        <w:t>normativo</w:t>
      </w:r>
      <w:r w:rsidR="00C25D5B">
        <w:t xml:space="preserve"> </w:t>
      </w:r>
      <w:r w:rsidRPr="00B97319">
        <w:t>y</w:t>
      </w:r>
      <w:r w:rsidR="00C25D5B">
        <w:t xml:space="preserve"> </w:t>
      </w:r>
      <w:r w:rsidRPr="00B97319">
        <w:t>conceptual</w:t>
      </w:r>
      <w:r w:rsidR="00C3084D" w:rsidRPr="00C3084D">
        <w:t>.</w:t>
      </w:r>
      <w:r w:rsidR="002442A9" w:rsidRPr="002442A9">
        <w:t xml:space="preserve"> </w:t>
      </w:r>
      <w:r w:rsidR="002442A9" w:rsidRPr="00B97319">
        <w:t>En</w:t>
      </w:r>
      <w:r w:rsidR="002442A9">
        <w:t xml:space="preserve"> </w:t>
      </w:r>
      <w:r w:rsidR="002442A9" w:rsidRPr="00B97319">
        <w:t>el</w:t>
      </w:r>
      <w:r w:rsidR="002442A9">
        <w:t xml:space="preserve"> </w:t>
      </w:r>
      <w:r w:rsidR="002442A9" w:rsidRPr="00B97319">
        <w:t>caso</w:t>
      </w:r>
      <w:r w:rsidR="002442A9">
        <w:t xml:space="preserve"> </w:t>
      </w:r>
      <w:r w:rsidR="002442A9" w:rsidRPr="00B97319">
        <w:t>del</w:t>
      </w:r>
      <w:r w:rsidR="002442A9">
        <w:t xml:space="preserve"> indicador de f</w:t>
      </w:r>
      <w:r w:rsidR="002442A9" w:rsidRPr="00B97319">
        <w:t>in,</w:t>
      </w:r>
      <w:r w:rsidR="002442A9">
        <w:t xml:space="preserve"> </w:t>
      </w:r>
      <w:r w:rsidR="002442A9" w:rsidRPr="00B97319">
        <w:t>se</w:t>
      </w:r>
      <w:r w:rsidR="002442A9">
        <w:t xml:space="preserve"> </w:t>
      </w:r>
      <w:r w:rsidR="002442A9" w:rsidRPr="00B97319">
        <w:t>sugiere</w:t>
      </w:r>
      <w:r w:rsidR="002442A9">
        <w:t xml:space="preserve"> </w:t>
      </w:r>
      <w:r w:rsidR="002442A9" w:rsidRPr="00B97319">
        <w:t>incluir</w:t>
      </w:r>
      <w:r w:rsidR="002442A9">
        <w:t xml:space="preserve"> </w:t>
      </w:r>
      <w:r w:rsidR="002442A9" w:rsidRPr="00B97319">
        <w:t>un</w:t>
      </w:r>
      <w:r w:rsidR="002442A9">
        <w:t xml:space="preserve">o </w:t>
      </w:r>
      <w:r w:rsidR="002442A9" w:rsidRPr="00B97319">
        <w:t>solo</w:t>
      </w:r>
      <w:r w:rsidR="002442A9">
        <w:t xml:space="preserve"> </w:t>
      </w:r>
      <w:r w:rsidR="002442A9" w:rsidRPr="00B97319">
        <w:t>para</w:t>
      </w:r>
      <w:r w:rsidR="002442A9">
        <w:t xml:space="preserve"> </w:t>
      </w:r>
      <w:r w:rsidR="002442A9" w:rsidRPr="00B97319">
        <w:t>dar</w:t>
      </w:r>
      <w:r w:rsidR="002442A9">
        <w:t xml:space="preserve"> </w:t>
      </w:r>
      <w:r w:rsidR="002442A9" w:rsidRPr="00B97319">
        <w:t>seguimiento.</w:t>
      </w:r>
      <w:r w:rsidR="002442A9">
        <w:t xml:space="preserve"> </w:t>
      </w:r>
      <w:r w:rsidR="002442A9" w:rsidRPr="00B97319">
        <w:t>Se</w:t>
      </w:r>
      <w:r w:rsidR="002442A9">
        <w:t xml:space="preserve"> </w:t>
      </w:r>
      <w:r w:rsidR="002442A9" w:rsidRPr="00B97319">
        <w:t>recomienda</w:t>
      </w:r>
      <w:r w:rsidR="002442A9">
        <w:t xml:space="preserve"> </w:t>
      </w:r>
      <w:r w:rsidR="002442A9" w:rsidRPr="00B97319">
        <w:t>conservar</w:t>
      </w:r>
      <w:r w:rsidR="002442A9">
        <w:t xml:space="preserve"> </w:t>
      </w:r>
      <w:r w:rsidR="002442A9" w:rsidRPr="00B97319">
        <w:t>el</w:t>
      </w:r>
      <w:r w:rsidR="002442A9">
        <w:t xml:space="preserve"> </w:t>
      </w:r>
      <w:r w:rsidR="002442A9" w:rsidRPr="00B97319">
        <w:lastRenderedPageBreak/>
        <w:t>indicador</w:t>
      </w:r>
      <w:r w:rsidR="002442A9">
        <w:t xml:space="preserve"> </w:t>
      </w:r>
      <w:r w:rsidR="002442A9" w:rsidRPr="00B97319">
        <w:t>sectorial</w:t>
      </w:r>
      <w:r w:rsidR="002442A9">
        <w:t xml:space="preserve"> “</w:t>
      </w:r>
      <w:r w:rsidR="002442A9" w:rsidRPr="00B97319">
        <w:t>Reducción</w:t>
      </w:r>
      <w:r w:rsidR="002442A9">
        <w:t xml:space="preserve"> </w:t>
      </w:r>
      <w:r w:rsidR="002442A9" w:rsidRPr="00B97319">
        <w:t>de</w:t>
      </w:r>
      <w:r w:rsidR="002442A9">
        <w:t xml:space="preserve"> </w:t>
      </w:r>
      <w:r w:rsidR="002442A9" w:rsidRPr="00B97319">
        <w:t>recomendaciones</w:t>
      </w:r>
      <w:r w:rsidR="002442A9">
        <w:t xml:space="preserve"> </w:t>
      </w:r>
      <w:r w:rsidR="002442A9" w:rsidRPr="00B97319">
        <w:t>dirigidas</w:t>
      </w:r>
      <w:r w:rsidR="002442A9">
        <w:t xml:space="preserve"> </w:t>
      </w:r>
      <w:r w:rsidR="002442A9" w:rsidRPr="00B97319">
        <w:t>a</w:t>
      </w:r>
      <w:r w:rsidR="002442A9">
        <w:t xml:space="preserve"> </w:t>
      </w:r>
      <w:r w:rsidR="002442A9" w:rsidRPr="00B97319">
        <w:t>la</w:t>
      </w:r>
      <w:r w:rsidR="002442A9">
        <w:t xml:space="preserve"> </w:t>
      </w:r>
      <w:r w:rsidR="002442A9" w:rsidRPr="00B97319">
        <w:t>Administración</w:t>
      </w:r>
      <w:r w:rsidR="002442A9">
        <w:t xml:space="preserve"> </w:t>
      </w:r>
      <w:r w:rsidR="002442A9" w:rsidRPr="00B97319">
        <w:t>Pública</w:t>
      </w:r>
      <w:r w:rsidR="002442A9">
        <w:t xml:space="preserve"> </w:t>
      </w:r>
      <w:r w:rsidR="002442A9" w:rsidRPr="00B97319">
        <w:t>Federal</w:t>
      </w:r>
      <w:r w:rsidR="002442A9">
        <w:t>”</w:t>
      </w:r>
      <w:r w:rsidR="002442A9" w:rsidRPr="00B97319">
        <w:t>,</w:t>
      </w:r>
      <w:r w:rsidR="002442A9">
        <w:t xml:space="preserve"> </w:t>
      </w:r>
      <w:r w:rsidR="002442A9" w:rsidRPr="00B97319">
        <w:t>agregando</w:t>
      </w:r>
      <w:r w:rsidR="002442A9">
        <w:t xml:space="preserve"> </w:t>
      </w:r>
      <w:r w:rsidR="002442A9" w:rsidRPr="00B97319">
        <w:t>su</w:t>
      </w:r>
      <w:r w:rsidR="002442A9">
        <w:t xml:space="preserve"> </w:t>
      </w:r>
      <w:r w:rsidR="002442A9" w:rsidRPr="00B97319">
        <w:t>ficha</w:t>
      </w:r>
      <w:r w:rsidR="002442A9">
        <w:t xml:space="preserve"> </w:t>
      </w:r>
      <w:r w:rsidR="002442A9" w:rsidRPr="00B97319">
        <w:t>técnica</w:t>
      </w:r>
      <w:r w:rsidR="002442A9">
        <w:t xml:space="preserve"> </w:t>
      </w:r>
      <w:r w:rsidR="002442A9" w:rsidRPr="00B97319">
        <w:t>en</w:t>
      </w:r>
      <w:r w:rsidR="002442A9">
        <w:t xml:space="preserve"> </w:t>
      </w:r>
      <w:r w:rsidR="002442A9" w:rsidRPr="00B97319">
        <w:t>la</w:t>
      </w:r>
      <w:r w:rsidR="002442A9">
        <w:t xml:space="preserve"> </w:t>
      </w:r>
      <w:r w:rsidR="002442A9" w:rsidRPr="00B97319">
        <w:t>documentación</w:t>
      </w:r>
      <w:r w:rsidR="002442A9">
        <w:t xml:space="preserve"> </w:t>
      </w:r>
      <w:r w:rsidR="002442A9" w:rsidRPr="00B97319">
        <w:t>de</w:t>
      </w:r>
      <w:r w:rsidR="002442A9">
        <w:t xml:space="preserve"> </w:t>
      </w:r>
      <w:r w:rsidR="002442A9" w:rsidRPr="00B97319">
        <w:t>la</w:t>
      </w:r>
      <w:r w:rsidR="002442A9">
        <w:t xml:space="preserve"> </w:t>
      </w:r>
      <w:r w:rsidR="002442A9" w:rsidRPr="00B97319">
        <w:t>MIR.</w:t>
      </w:r>
    </w:p>
    <w:p w14:paraId="456A46E7" w14:textId="77777777" w:rsidR="00C3084D" w:rsidRDefault="00DB7840" w:rsidP="002442A9">
      <w:pPr>
        <w:pStyle w:val="Bala"/>
        <w:numPr>
          <w:ilvl w:val="0"/>
          <w:numId w:val="1"/>
        </w:numPr>
        <w:ind w:left="357" w:hanging="357"/>
      </w:pPr>
      <w:r w:rsidRPr="00DB7840">
        <w:t>Desarrollar</w:t>
      </w:r>
      <w:r w:rsidR="00C25D5B">
        <w:t xml:space="preserve"> </w:t>
      </w:r>
      <w:r w:rsidRPr="00DB7840">
        <w:t>instrumentos</w:t>
      </w:r>
      <w:r w:rsidR="00C25D5B">
        <w:t xml:space="preserve"> </w:t>
      </w:r>
      <w:r w:rsidRPr="00DB7840">
        <w:t>que</w:t>
      </w:r>
      <w:r w:rsidR="00C25D5B">
        <w:t xml:space="preserve"> </w:t>
      </w:r>
      <w:r w:rsidRPr="00DB7840">
        <w:t>midan</w:t>
      </w:r>
      <w:r w:rsidR="00C25D5B">
        <w:t xml:space="preserve"> </w:t>
      </w:r>
      <w:r w:rsidRPr="00DB7840">
        <w:t>sistemática</w:t>
      </w:r>
      <w:r w:rsidR="00C25D5B">
        <w:t xml:space="preserve"> </w:t>
      </w:r>
      <w:r w:rsidRPr="00DB7840">
        <w:t>y</w:t>
      </w:r>
      <w:r w:rsidR="00C25D5B">
        <w:t xml:space="preserve"> </w:t>
      </w:r>
      <w:r w:rsidRPr="00DB7840">
        <w:t>periódica</w:t>
      </w:r>
      <w:r w:rsidR="002442A9">
        <w:t>mente</w:t>
      </w:r>
      <w:r w:rsidR="00C25D5B">
        <w:t xml:space="preserve"> </w:t>
      </w:r>
      <w:r w:rsidRPr="00DB7840">
        <w:t>la</w:t>
      </w:r>
      <w:r w:rsidR="00C25D5B">
        <w:t xml:space="preserve"> </w:t>
      </w:r>
      <w:r w:rsidRPr="00DB7840">
        <w:t>satisfacción</w:t>
      </w:r>
      <w:r w:rsidR="00C25D5B">
        <w:t xml:space="preserve"> </w:t>
      </w:r>
      <w:r w:rsidRPr="00DB7840">
        <w:t>del</w:t>
      </w:r>
      <w:r w:rsidR="00C25D5B">
        <w:t xml:space="preserve"> </w:t>
      </w:r>
      <w:r w:rsidR="002442A9">
        <w:t xml:space="preserve">AEO </w:t>
      </w:r>
      <w:r w:rsidRPr="00DB7840">
        <w:t>del</w:t>
      </w:r>
      <w:r w:rsidR="00C25D5B">
        <w:t xml:space="preserve"> </w:t>
      </w:r>
      <w:r w:rsidR="002442A9">
        <w:t>Pp</w:t>
      </w:r>
      <w:r w:rsidR="00C3084D">
        <w:t>.</w:t>
      </w:r>
    </w:p>
    <w:p w14:paraId="192EF8CB" w14:textId="77777777" w:rsidR="00864466" w:rsidRPr="0043350C" w:rsidRDefault="00864466" w:rsidP="00864466">
      <w:pPr>
        <w:pStyle w:val="Bala"/>
        <w:ind w:left="357" w:hanging="357"/>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864466" w:rsidRPr="0043350C" w14:paraId="5FD383D7" w14:textId="77777777" w:rsidTr="008A4C87">
        <w:tc>
          <w:tcPr>
            <w:tcW w:w="749" w:type="pct"/>
            <w:vAlign w:val="center"/>
          </w:tcPr>
          <w:p w14:paraId="3A0B344D" w14:textId="77777777" w:rsidR="00864466" w:rsidRPr="0043350C" w:rsidRDefault="00864466" w:rsidP="008A4C87">
            <w:pPr>
              <w:spacing w:before="20" w:after="0"/>
              <w:ind w:left="170"/>
              <w:rPr>
                <w:b/>
                <w:sz w:val="16"/>
                <w:lang w:val="es-ES"/>
              </w:rPr>
            </w:pPr>
            <w:r w:rsidRPr="0043350C">
              <w:rPr>
                <w:b/>
                <w:sz w:val="16"/>
                <w:lang w:val="es-ES"/>
              </w:rPr>
              <w:t>Evaluador Externo:</w:t>
            </w:r>
          </w:p>
        </w:tc>
        <w:tc>
          <w:tcPr>
            <w:tcW w:w="4251" w:type="pct"/>
            <w:gridSpan w:val="3"/>
          </w:tcPr>
          <w:p w14:paraId="5AE23C6C" w14:textId="77777777" w:rsidR="00864466" w:rsidRPr="0043350C" w:rsidRDefault="00864466" w:rsidP="008A4C87">
            <w:pPr>
              <w:spacing w:before="20" w:after="0"/>
              <w:ind w:left="113"/>
              <w:rPr>
                <w:sz w:val="16"/>
                <w:lang w:val="es-ES"/>
              </w:rPr>
            </w:pPr>
            <w:r w:rsidRPr="0043350C">
              <w:rPr>
                <w:sz w:val="16"/>
                <w:lang w:val="es-ES"/>
              </w:rPr>
              <w:t xml:space="preserve">1. Instancia Evaluadora: </w:t>
            </w:r>
            <w:r w:rsidR="00456005">
              <w:rPr>
                <w:sz w:val="16"/>
                <w:lang w:val="es-ES"/>
              </w:rPr>
              <w:t>Facultad de Economía de la UNAM</w:t>
            </w:r>
          </w:p>
          <w:p w14:paraId="3434DBE5" w14:textId="77777777" w:rsidR="00864466" w:rsidRPr="0043350C" w:rsidRDefault="00864466" w:rsidP="008A4C87">
            <w:pPr>
              <w:spacing w:before="20" w:after="0"/>
              <w:ind w:left="113"/>
              <w:rPr>
                <w:sz w:val="16"/>
                <w:lang w:val="es-ES"/>
              </w:rPr>
            </w:pPr>
            <w:r w:rsidRPr="0043350C">
              <w:rPr>
                <w:sz w:val="16"/>
                <w:lang w:val="es-ES"/>
              </w:rPr>
              <w:t xml:space="preserve">2. Coordinador de la Evaluación: </w:t>
            </w:r>
            <w:r w:rsidR="00612723">
              <w:rPr>
                <w:sz w:val="16"/>
                <w:lang w:val="es-ES"/>
              </w:rPr>
              <w:t>Miguel Ángel González Guadarrama</w:t>
            </w:r>
          </w:p>
          <w:p w14:paraId="6AE49FCE" w14:textId="77777777" w:rsidR="00864466" w:rsidRPr="0043350C" w:rsidRDefault="00864466" w:rsidP="00456005">
            <w:pPr>
              <w:spacing w:before="20" w:after="0"/>
              <w:ind w:left="113"/>
              <w:rPr>
                <w:sz w:val="16"/>
                <w:lang w:val="es-ES"/>
              </w:rPr>
            </w:pPr>
            <w:r w:rsidRPr="0043350C">
              <w:rPr>
                <w:sz w:val="16"/>
                <w:lang w:val="es-ES"/>
              </w:rPr>
              <w:t>3. Forma de contratación</w:t>
            </w:r>
            <w:r w:rsidR="00993F6E">
              <w:rPr>
                <w:sz w:val="16"/>
                <w:lang w:val="es-ES"/>
              </w:rPr>
              <w:t>:</w:t>
            </w:r>
            <w:r w:rsidR="00BC1734">
              <w:rPr>
                <w:sz w:val="16"/>
                <w:lang w:val="es-ES"/>
              </w:rPr>
              <w:t xml:space="preserve"> </w:t>
            </w:r>
            <w:r w:rsidR="00456005">
              <w:rPr>
                <w:sz w:val="16"/>
                <w:lang w:val="es-ES"/>
              </w:rPr>
              <w:t xml:space="preserve">No </w:t>
            </w:r>
            <w:r w:rsidR="00456005" w:rsidRPr="001B12A5">
              <w:rPr>
                <w:sz w:val="16"/>
                <w:szCs w:val="16"/>
                <w:lang w:val="es-ES"/>
              </w:rPr>
              <w:t>disponible</w:t>
            </w:r>
            <w:r w:rsidR="00456005" w:rsidRPr="001B12A5">
              <w:rPr>
                <w:rStyle w:val="Refdenotaalpie"/>
                <w:sz w:val="16"/>
                <w:szCs w:val="16"/>
                <w:lang w:val="es-ES"/>
              </w:rPr>
              <w:footnoteReference w:id="9"/>
            </w:r>
            <w:r w:rsidR="001B12A5" w:rsidRPr="001B12A5">
              <w:rPr>
                <w:sz w:val="16"/>
                <w:szCs w:val="16"/>
                <w:vertAlign w:val="superscript"/>
              </w:rPr>
              <w:t>_/</w:t>
            </w:r>
          </w:p>
        </w:tc>
      </w:tr>
      <w:tr w:rsidR="00864466" w:rsidRPr="0043350C" w14:paraId="6102F414" w14:textId="77777777" w:rsidTr="008A4C87">
        <w:tc>
          <w:tcPr>
            <w:tcW w:w="749" w:type="pct"/>
            <w:vAlign w:val="center"/>
          </w:tcPr>
          <w:p w14:paraId="5075BF6C" w14:textId="77777777" w:rsidR="00864466" w:rsidRPr="0043350C" w:rsidRDefault="00864466" w:rsidP="008A4C87">
            <w:pPr>
              <w:spacing w:before="20" w:after="0"/>
              <w:ind w:left="170"/>
              <w:rPr>
                <w:b/>
                <w:sz w:val="16"/>
                <w:lang w:val="es-ES"/>
              </w:rPr>
            </w:pPr>
          </w:p>
        </w:tc>
        <w:tc>
          <w:tcPr>
            <w:tcW w:w="4251" w:type="pct"/>
            <w:gridSpan w:val="3"/>
          </w:tcPr>
          <w:p w14:paraId="503D76CA" w14:textId="77777777" w:rsidR="00864466" w:rsidRPr="0043350C" w:rsidRDefault="00864466" w:rsidP="008A4C87">
            <w:pPr>
              <w:spacing w:before="20" w:after="0"/>
              <w:ind w:left="113"/>
              <w:rPr>
                <w:sz w:val="16"/>
                <w:lang w:val="es-ES"/>
              </w:rPr>
            </w:pPr>
          </w:p>
        </w:tc>
      </w:tr>
      <w:tr w:rsidR="00864466" w:rsidRPr="0043350C" w14:paraId="74185C2F" w14:textId="77777777" w:rsidTr="00993F6E">
        <w:tc>
          <w:tcPr>
            <w:tcW w:w="749" w:type="pct"/>
            <w:vAlign w:val="center"/>
          </w:tcPr>
          <w:p w14:paraId="495A9528" w14:textId="77777777" w:rsidR="00864466" w:rsidRPr="0043350C" w:rsidRDefault="00864466" w:rsidP="00993F6E">
            <w:pPr>
              <w:spacing w:before="20" w:after="0"/>
              <w:ind w:left="170"/>
              <w:rPr>
                <w:b/>
                <w:sz w:val="16"/>
                <w:lang w:val="es-ES"/>
              </w:rPr>
            </w:pPr>
            <w:r w:rsidRPr="0043350C">
              <w:rPr>
                <w:b/>
                <w:sz w:val="16"/>
                <w:lang w:val="es-ES"/>
              </w:rPr>
              <w:t>Costo:</w:t>
            </w:r>
          </w:p>
        </w:tc>
        <w:tc>
          <w:tcPr>
            <w:tcW w:w="1113" w:type="pct"/>
            <w:vAlign w:val="center"/>
          </w:tcPr>
          <w:p w14:paraId="3318FCF8" w14:textId="77777777" w:rsidR="00864466" w:rsidRPr="0043350C" w:rsidRDefault="00612723" w:rsidP="00612723">
            <w:pPr>
              <w:spacing w:before="20" w:after="0"/>
              <w:ind w:left="113"/>
              <w:rPr>
                <w:sz w:val="16"/>
                <w:lang w:val="es-ES"/>
              </w:rPr>
            </w:pPr>
            <w:r>
              <w:rPr>
                <w:sz w:val="16"/>
                <w:lang w:val="es-ES"/>
              </w:rPr>
              <w:t>$700</w:t>
            </w:r>
            <w:r w:rsidR="00EA52E6" w:rsidRPr="00EA52E6">
              <w:rPr>
                <w:sz w:val="16"/>
                <w:lang w:val="es-ES"/>
              </w:rPr>
              <w:t>,</w:t>
            </w:r>
            <w:r>
              <w:rPr>
                <w:sz w:val="16"/>
                <w:lang w:val="es-ES"/>
              </w:rPr>
              <w:t>00</w:t>
            </w:r>
            <w:r w:rsidR="00EA52E6" w:rsidRPr="00EA52E6">
              <w:rPr>
                <w:sz w:val="16"/>
                <w:lang w:val="es-ES"/>
              </w:rPr>
              <w:t>0.00</w:t>
            </w:r>
            <w:r w:rsidR="00EA52E6">
              <w:rPr>
                <w:sz w:val="16"/>
                <w:lang w:val="es-ES"/>
              </w:rPr>
              <w:t xml:space="preserve"> </w:t>
            </w:r>
            <w:r>
              <w:rPr>
                <w:sz w:val="16"/>
                <w:lang w:val="es-ES"/>
              </w:rPr>
              <w:t>no causó IVA</w:t>
            </w:r>
          </w:p>
        </w:tc>
        <w:tc>
          <w:tcPr>
            <w:tcW w:w="904" w:type="pct"/>
            <w:vAlign w:val="center"/>
          </w:tcPr>
          <w:p w14:paraId="60AD7CF9" w14:textId="77777777" w:rsidR="00864466" w:rsidRPr="0043350C" w:rsidRDefault="00864466" w:rsidP="00993F6E">
            <w:pPr>
              <w:spacing w:before="20" w:after="0"/>
              <w:ind w:left="170"/>
              <w:rPr>
                <w:b/>
                <w:sz w:val="16"/>
                <w:lang w:val="es-ES"/>
              </w:rPr>
            </w:pPr>
            <w:r w:rsidRPr="0043350C">
              <w:rPr>
                <w:b/>
                <w:sz w:val="16"/>
                <w:lang w:val="es-ES"/>
              </w:rPr>
              <w:t>Fuente de Financiamiento:</w:t>
            </w:r>
          </w:p>
        </w:tc>
        <w:tc>
          <w:tcPr>
            <w:tcW w:w="2234" w:type="pct"/>
            <w:vAlign w:val="center"/>
          </w:tcPr>
          <w:p w14:paraId="7AA05636" w14:textId="77777777" w:rsidR="00864466" w:rsidRPr="00C3084D" w:rsidRDefault="00864466" w:rsidP="00993F6E">
            <w:pPr>
              <w:spacing w:before="20" w:after="0"/>
              <w:ind w:left="113"/>
              <w:rPr>
                <w:sz w:val="16"/>
                <w:lang w:val="es-ES"/>
              </w:rPr>
            </w:pPr>
            <w:r w:rsidRPr="00C3084D">
              <w:rPr>
                <w:sz w:val="16"/>
                <w:lang w:val="es-ES"/>
              </w:rPr>
              <w:t>Recursos fiscales</w:t>
            </w:r>
          </w:p>
        </w:tc>
      </w:tr>
      <w:tr w:rsidR="00864466" w:rsidRPr="0043350C" w14:paraId="1A8CAE41" w14:textId="77777777" w:rsidTr="00993F6E">
        <w:tc>
          <w:tcPr>
            <w:tcW w:w="749" w:type="pct"/>
            <w:tcBorders>
              <w:bottom w:val="single" w:sz="4" w:space="0" w:color="auto"/>
            </w:tcBorders>
            <w:vAlign w:val="bottom"/>
          </w:tcPr>
          <w:p w14:paraId="65957FF7" w14:textId="77777777" w:rsidR="00864466" w:rsidRPr="0043350C" w:rsidRDefault="00864466" w:rsidP="008A4C87">
            <w:pPr>
              <w:spacing w:before="20" w:after="0"/>
              <w:ind w:left="170"/>
              <w:rPr>
                <w:b/>
                <w:sz w:val="16"/>
                <w:szCs w:val="16"/>
                <w:lang w:val="es-ES" w:eastAsia="en-US"/>
              </w:rPr>
            </w:pPr>
            <w:r w:rsidRPr="0043350C">
              <w:rPr>
                <w:b/>
                <w:sz w:val="16"/>
                <w:szCs w:val="16"/>
                <w:lang w:val="es-ES" w:eastAsia="en-US"/>
              </w:rPr>
              <w:t>Coordinación de la Evaluación:</w:t>
            </w:r>
          </w:p>
        </w:tc>
        <w:tc>
          <w:tcPr>
            <w:tcW w:w="1113" w:type="pct"/>
            <w:tcBorders>
              <w:bottom w:val="single" w:sz="4" w:space="0" w:color="auto"/>
            </w:tcBorders>
            <w:vAlign w:val="center"/>
          </w:tcPr>
          <w:p w14:paraId="335B218A" w14:textId="77777777" w:rsidR="00864466" w:rsidRPr="0043350C" w:rsidRDefault="00864466" w:rsidP="008A4C87">
            <w:pPr>
              <w:spacing w:after="0"/>
              <w:jc w:val="center"/>
              <w:rPr>
                <w:rFonts w:eastAsia="Times New Roman" w:cs="Arial"/>
                <w:sz w:val="14"/>
                <w:szCs w:val="14"/>
                <w:lang w:val="es-ES"/>
              </w:rPr>
            </w:pPr>
            <w:r w:rsidRPr="005E2AAE">
              <w:rPr>
                <w:rFonts w:eastAsia="Times New Roman" w:cs="Arial"/>
                <w:sz w:val="16"/>
                <w:szCs w:val="14"/>
                <w:lang w:val="es-ES"/>
              </w:rPr>
              <w:t>SHCP</w:t>
            </w:r>
          </w:p>
        </w:tc>
        <w:tc>
          <w:tcPr>
            <w:tcW w:w="904" w:type="pct"/>
            <w:tcBorders>
              <w:bottom w:val="single" w:sz="4" w:space="0" w:color="auto"/>
            </w:tcBorders>
            <w:vAlign w:val="center"/>
          </w:tcPr>
          <w:p w14:paraId="4A2279CF" w14:textId="77777777" w:rsidR="00864466" w:rsidRPr="0043350C" w:rsidRDefault="00864466" w:rsidP="00993F6E">
            <w:pPr>
              <w:spacing w:before="20" w:after="0"/>
              <w:ind w:left="170"/>
              <w:rPr>
                <w:b/>
                <w:sz w:val="16"/>
                <w:szCs w:val="16"/>
                <w:lang w:val="es-ES" w:eastAsia="en-US"/>
              </w:rPr>
            </w:pPr>
            <w:r w:rsidRPr="0043350C">
              <w:rPr>
                <w:b/>
                <w:sz w:val="16"/>
                <w:szCs w:val="16"/>
                <w:lang w:val="es-ES" w:eastAsia="en-US"/>
              </w:rPr>
              <w:t>Informe completo:</w:t>
            </w:r>
          </w:p>
        </w:tc>
        <w:tc>
          <w:tcPr>
            <w:tcW w:w="2234" w:type="pct"/>
            <w:tcBorders>
              <w:bottom w:val="single" w:sz="4" w:space="0" w:color="auto"/>
            </w:tcBorders>
            <w:vAlign w:val="center"/>
          </w:tcPr>
          <w:p w14:paraId="27A7C966" w14:textId="77777777" w:rsidR="00864466" w:rsidRPr="0043350C" w:rsidRDefault="00864466" w:rsidP="00993F6E">
            <w:pPr>
              <w:spacing w:before="20" w:after="0"/>
              <w:ind w:left="113"/>
              <w:rPr>
                <w:rFonts w:eastAsia="Times New Roman"/>
                <w:sz w:val="16"/>
                <w:szCs w:val="16"/>
                <w:lang w:val="es-ES" w:eastAsia="en-US"/>
              </w:rPr>
            </w:pPr>
            <w:r w:rsidRPr="0043350C">
              <w:rPr>
                <w:rFonts w:eastAsia="Times New Roman"/>
                <w:sz w:val="16"/>
                <w:szCs w:val="16"/>
                <w:lang w:val="es-ES" w:eastAsia="en-US"/>
              </w:rPr>
              <w:t>Disponible en:</w:t>
            </w:r>
          </w:p>
          <w:p w14:paraId="6AE627AB" w14:textId="77777777" w:rsidR="00864466" w:rsidRPr="0043350C" w:rsidRDefault="00864466" w:rsidP="00993F6E">
            <w:pPr>
              <w:spacing w:before="20" w:after="0"/>
              <w:ind w:left="113"/>
              <w:rPr>
                <w:rFonts w:eastAsia="Times New Roman"/>
                <w:sz w:val="16"/>
                <w:szCs w:val="16"/>
                <w:lang w:val="es-ES" w:eastAsia="en-US"/>
              </w:rPr>
            </w:pPr>
            <w:r w:rsidRPr="0043350C">
              <w:rPr>
                <w:rFonts w:eastAsia="Times New Roman"/>
                <w:sz w:val="16"/>
                <w:szCs w:val="16"/>
                <w:lang w:val="es-ES" w:eastAsia="en-US"/>
              </w:rPr>
              <w:t>http://www.transparenciapresupuestaria.gob.mx/</w:t>
            </w:r>
          </w:p>
        </w:tc>
      </w:tr>
    </w:tbl>
    <w:p w14:paraId="2205B314" w14:textId="77777777" w:rsidR="00690D8D" w:rsidRPr="0043350C" w:rsidRDefault="00690D8D" w:rsidP="00690D8D"/>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690D8D" w:rsidRPr="0043350C" w14:paraId="41CBE770" w14:textId="77777777" w:rsidTr="00C14BE7">
        <w:trPr>
          <w:trHeight w:val="392"/>
          <w:jc w:val="center"/>
        </w:trPr>
        <w:tc>
          <w:tcPr>
            <w:tcW w:w="10173" w:type="dxa"/>
            <w:gridSpan w:val="5"/>
            <w:shd w:val="clear" w:color="auto" w:fill="D6E3BC" w:themeFill="accent3" w:themeFillTint="66"/>
            <w:vAlign w:val="center"/>
          </w:tcPr>
          <w:p w14:paraId="4FB3DA56" w14:textId="77777777" w:rsidR="00690D8D" w:rsidRPr="00D72319" w:rsidRDefault="00690D8D" w:rsidP="00B451CA">
            <w:pPr>
              <w:pStyle w:val="CABEZA"/>
              <w:ind w:left="0"/>
              <w:rPr>
                <w:lang w:val="es-MX"/>
              </w:rPr>
            </w:pPr>
            <w:r w:rsidRPr="00D72319">
              <w:rPr>
                <w:lang w:val="es-MX"/>
              </w:rPr>
              <w:br w:type="page"/>
              <w:t>Ramo 1</w:t>
            </w:r>
            <w:r w:rsidR="00C4673C" w:rsidRPr="00D72319">
              <w:rPr>
                <w:lang w:val="es-MX"/>
              </w:rPr>
              <w:t>3</w:t>
            </w:r>
            <w:r w:rsidRPr="00D72319">
              <w:rPr>
                <w:lang w:val="es-MX"/>
              </w:rPr>
              <w:t xml:space="preserve">. </w:t>
            </w:r>
            <w:r w:rsidR="00C4673C" w:rsidRPr="00D72319">
              <w:rPr>
                <w:lang w:val="es-MX"/>
              </w:rPr>
              <w:t>Marina</w:t>
            </w:r>
          </w:p>
        </w:tc>
      </w:tr>
      <w:tr w:rsidR="00690D8D" w:rsidRPr="0043350C" w14:paraId="07430EFE" w14:textId="77777777" w:rsidTr="00C14BE7">
        <w:trPr>
          <w:jc w:val="center"/>
        </w:trPr>
        <w:tc>
          <w:tcPr>
            <w:tcW w:w="1359" w:type="dxa"/>
            <w:shd w:val="clear" w:color="auto" w:fill="D9D9D9" w:themeFill="background1" w:themeFillShade="D9"/>
          </w:tcPr>
          <w:p w14:paraId="467A977E" w14:textId="77777777" w:rsidR="00690D8D" w:rsidRPr="00D72319" w:rsidRDefault="00690D8D" w:rsidP="00C14BE7">
            <w:pPr>
              <w:spacing w:before="20"/>
              <w:rPr>
                <w:b/>
                <w:sz w:val="16"/>
                <w:lang w:val="es-ES"/>
              </w:rPr>
            </w:pPr>
            <w:r w:rsidRPr="00D72319">
              <w:rPr>
                <w:b/>
                <w:sz w:val="16"/>
                <w:lang w:val="es-ES"/>
              </w:rPr>
              <w:t xml:space="preserve">Clave del </w:t>
            </w:r>
            <w:proofErr w:type="spellStart"/>
            <w:r w:rsidRPr="00D72319">
              <w:rPr>
                <w:b/>
                <w:sz w:val="16"/>
                <w:lang w:val="es-ES"/>
              </w:rPr>
              <w:t>Pp</w:t>
            </w:r>
            <w:proofErr w:type="spellEnd"/>
            <w:r w:rsidRPr="00D72319">
              <w:rPr>
                <w:b/>
                <w:sz w:val="16"/>
                <w:lang w:val="es-ES"/>
              </w:rPr>
              <w:t>:</w:t>
            </w:r>
          </w:p>
        </w:tc>
        <w:tc>
          <w:tcPr>
            <w:tcW w:w="734" w:type="dxa"/>
            <w:shd w:val="clear" w:color="auto" w:fill="D9D9D9" w:themeFill="background1" w:themeFillShade="D9"/>
          </w:tcPr>
          <w:p w14:paraId="68129483" w14:textId="77777777" w:rsidR="00690D8D" w:rsidRPr="00D72319" w:rsidRDefault="00C4673C" w:rsidP="00C4673C">
            <w:pPr>
              <w:contextualSpacing/>
              <w:rPr>
                <w:sz w:val="16"/>
                <w:szCs w:val="16"/>
                <w:lang w:val="es-ES" w:eastAsia="en-US"/>
              </w:rPr>
            </w:pPr>
            <w:r w:rsidRPr="00D72319">
              <w:rPr>
                <w:sz w:val="16"/>
                <w:szCs w:val="16"/>
                <w:lang w:val="es-ES" w:eastAsia="en-US"/>
              </w:rPr>
              <w:t>A</w:t>
            </w:r>
            <w:r w:rsidR="00690D8D" w:rsidRPr="00D72319">
              <w:rPr>
                <w:sz w:val="16"/>
                <w:szCs w:val="16"/>
                <w:lang w:val="es-ES" w:eastAsia="en-US"/>
              </w:rPr>
              <w:t>0</w:t>
            </w:r>
            <w:r w:rsidRPr="00D72319">
              <w:rPr>
                <w:sz w:val="16"/>
                <w:szCs w:val="16"/>
                <w:lang w:val="es-ES" w:eastAsia="en-US"/>
              </w:rPr>
              <w:t>06</w:t>
            </w:r>
          </w:p>
        </w:tc>
        <w:tc>
          <w:tcPr>
            <w:tcW w:w="1701" w:type="dxa"/>
            <w:gridSpan w:val="2"/>
            <w:shd w:val="clear" w:color="auto" w:fill="D9D9D9" w:themeFill="background1" w:themeFillShade="D9"/>
          </w:tcPr>
          <w:p w14:paraId="2BD85A54" w14:textId="77777777" w:rsidR="00690D8D" w:rsidRPr="00D72319" w:rsidRDefault="00690D8D" w:rsidP="00C14BE7">
            <w:pPr>
              <w:spacing w:before="20"/>
              <w:rPr>
                <w:b/>
                <w:sz w:val="16"/>
                <w:lang w:val="es-ES"/>
              </w:rPr>
            </w:pPr>
            <w:r w:rsidRPr="00D72319">
              <w:rPr>
                <w:b/>
                <w:sz w:val="16"/>
                <w:lang w:val="es-ES"/>
              </w:rPr>
              <w:t>Denominación:</w:t>
            </w:r>
          </w:p>
        </w:tc>
        <w:tc>
          <w:tcPr>
            <w:tcW w:w="6379" w:type="dxa"/>
            <w:shd w:val="clear" w:color="auto" w:fill="D9D9D9" w:themeFill="background1" w:themeFillShade="D9"/>
          </w:tcPr>
          <w:p w14:paraId="260E2235" w14:textId="77777777" w:rsidR="00690D8D" w:rsidRPr="00D72319" w:rsidRDefault="00C4673C" w:rsidP="00C14BE7">
            <w:pPr>
              <w:contextualSpacing/>
              <w:rPr>
                <w:sz w:val="16"/>
                <w:szCs w:val="16"/>
                <w:lang w:val="es-ES" w:eastAsia="en-US"/>
              </w:rPr>
            </w:pPr>
            <w:r w:rsidRPr="00D72319">
              <w:rPr>
                <w:sz w:val="16"/>
                <w:szCs w:val="16"/>
                <w:lang w:val="es-ES" w:eastAsia="en-US"/>
              </w:rPr>
              <w:t>Sistema Educativo naval y programa de becas</w:t>
            </w:r>
          </w:p>
        </w:tc>
      </w:tr>
      <w:tr w:rsidR="00690D8D" w:rsidRPr="0043350C" w14:paraId="463BD2D3" w14:textId="77777777" w:rsidTr="00C14BE7">
        <w:trPr>
          <w:jc w:val="center"/>
        </w:trPr>
        <w:tc>
          <w:tcPr>
            <w:tcW w:w="2778" w:type="dxa"/>
            <w:gridSpan w:val="3"/>
          </w:tcPr>
          <w:p w14:paraId="32A2E18B" w14:textId="77777777" w:rsidR="00690D8D" w:rsidRPr="00D72319" w:rsidRDefault="00690D8D" w:rsidP="00C14BE7">
            <w:pPr>
              <w:spacing w:before="20"/>
              <w:rPr>
                <w:b/>
                <w:sz w:val="16"/>
                <w:lang w:val="es-ES"/>
              </w:rPr>
            </w:pPr>
            <w:r w:rsidRPr="00D72319">
              <w:rPr>
                <w:b/>
                <w:sz w:val="16"/>
                <w:lang w:val="es-ES"/>
              </w:rPr>
              <w:t>Unidad Administrativa:</w:t>
            </w:r>
          </w:p>
        </w:tc>
        <w:tc>
          <w:tcPr>
            <w:tcW w:w="7395" w:type="dxa"/>
            <w:gridSpan w:val="2"/>
          </w:tcPr>
          <w:p w14:paraId="2DB35EF9" w14:textId="77777777" w:rsidR="00D72319" w:rsidRPr="00D72319" w:rsidRDefault="00D72319" w:rsidP="00D72319">
            <w:pPr>
              <w:autoSpaceDE w:val="0"/>
              <w:autoSpaceDN w:val="0"/>
              <w:adjustRightInd w:val="0"/>
              <w:spacing w:after="0"/>
              <w:rPr>
                <w:rFonts w:eastAsia="Times New Roman"/>
                <w:sz w:val="16"/>
                <w:szCs w:val="16"/>
                <w:lang w:val="es-MX" w:eastAsia="en-US"/>
              </w:rPr>
            </w:pPr>
            <w:r w:rsidRPr="00D72319">
              <w:rPr>
                <w:rFonts w:eastAsia="Times New Roman"/>
                <w:sz w:val="16"/>
                <w:szCs w:val="16"/>
                <w:lang w:val="es-MX" w:eastAsia="en-US"/>
              </w:rPr>
              <w:t>Universidad Naval</w:t>
            </w:r>
          </w:p>
          <w:p w14:paraId="554F4940" w14:textId="77777777" w:rsidR="00D72319" w:rsidRPr="00D72319" w:rsidRDefault="00D72319" w:rsidP="00D72319">
            <w:pPr>
              <w:autoSpaceDE w:val="0"/>
              <w:autoSpaceDN w:val="0"/>
              <w:adjustRightInd w:val="0"/>
              <w:spacing w:after="0"/>
              <w:rPr>
                <w:rFonts w:eastAsia="Times New Roman"/>
                <w:sz w:val="16"/>
                <w:szCs w:val="16"/>
                <w:lang w:val="es-MX" w:eastAsia="en-US"/>
              </w:rPr>
            </w:pPr>
            <w:r w:rsidRPr="00D72319">
              <w:rPr>
                <w:rFonts w:eastAsia="Times New Roman"/>
                <w:sz w:val="16"/>
                <w:szCs w:val="16"/>
                <w:lang w:val="es-MX" w:eastAsia="en-US"/>
              </w:rPr>
              <w:t>Dirección General de Recursos Humanos</w:t>
            </w:r>
          </w:p>
          <w:p w14:paraId="5DBA1170" w14:textId="77777777" w:rsidR="00690D8D" w:rsidRPr="00D72319" w:rsidRDefault="00D72319" w:rsidP="00D72319">
            <w:pPr>
              <w:spacing w:after="0"/>
              <w:rPr>
                <w:rFonts w:eastAsia="Times New Roman"/>
                <w:sz w:val="16"/>
                <w:szCs w:val="16"/>
                <w:lang w:val="es-MX" w:eastAsia="en-US"/>
              </w:rPr>
            </w:pPr>
            <w:r w:rsidRPr="00D72319">
              <w:rPr>
                <w:rFonts w:eastAsia="Times New Roman"/>
                <w:sz w:val="16"/>
                <w:szCs w:val="16"/>
                <w:lang w:val="es-MX" w:eastAsia="en-US"/>
              </w:rPr>
              <w:t>Unidad de Promoción y Protección de los Derechos Humanos</w:t>
            </w:r>
          </w:p>
        </w:tc>
      </w:tr>
      <w:tr w:rsidR="00690D8D" w:rsidRPr="0043350C" w14:paraId="17839948" w14:textId="77777777" w:rsidTr="00C14BE7">
        <w:trPr>
          <w:jc w:val="center"/>
        </w:trPr>
        <w:tc>
          <w:tcPr>
            <w:tcW w:w="2778" w:type="dxa"/>
            <w:gridSpan w:val="3"/>
          </w:tcPr>
          <w:p w14:paraId="0013BA07" w14:textId="77777777" w:rsidR="00690D8D" w:rsidRPr="00D72319" w:rsidRDefault="00690D8D" w:rsidP="00C14BE7">
            <w:pPr>
              <w:spacing w:before="20"/>
              <w:rPr>
                <w:b/>
                <w:sz w:val="16"/>
                <w:lang w:val="es-ES"/>
              </w:rPr>
            </w:pPr>
            <w:r w:rsidRPr="00D72319">
              <w:rPr>
                <w:b/>
                <w:sz w:val="16"/>
                <w:lang w:val="es-ES"/>
              </w:rPr>
              <w:t>Responsable:</w:t>
            </w:r>
          </w:p>
        </w:tc>
        <w:tc>
          <w:tcPr>
            <w:tcW w:w="7395" w:type="dxa"/>
            <w:gridSpan w:val="2"/>
          </w:tcPr>
          <w:p w14:paraId="0FD45C10" w14:textId="77777777" w:rsidR="00D72319" w:rsidRPr="00D72319" w:rsidRDefault="00D72319" w:rsidP="00D72319">
            <w:pPr>
              <w:spacing w:after="0"/>
              <w:rPr>
                <w:rFonts w:eastAsia="Times New Roman"/>
                <w:sz w:val="16"/>
                <w:szCs w:val="16"/>
                <w:lang w:val="es-MX" w:eastAsia="en-US"/>
              </w:rPr>
            </w:pPr>
            <w:r w:rsidRPr="00D72319">
              <w:rPr>
                <w:rFonts w:eastAsia="Times New Roman"/>
                <w:sz w:val="16"/>
                <w:szCs w:val="16"/>
                <w:lang w:val="es-MX" w:eastAsia="en-US"/>
              </w:rPr>
              <w:t>Luis Orozco Inclán</w:t>
            </w:r>
          </w:p>
          <w:p w14:paraId="60DC8A29" w14:textId="77777777" w:rsidR="00D72319" w:rsidRPr="00D72319" w:rsidRDefault="00D72319" w:rsidP="00D72319">
            <w:pPr>
              <w:spacing w:after="0"/>
              <w:rPr>
                <w:rFonts w:eastAsia="Times New Roman"/>
                <w:sz w:val="16"/>
                <w:szCs w:val="16"/>
                <w:lang w:val="es-MX" w:eastAsia="en-US"/>
              </w:rPr>
            </w:pPr>
            <w:r w:rsidRPr="00D72319">
              <w:rPr>
                <w:rFonts w:eastAsia="Times New Roman"/>
                <w:sz w:val="16"/>
                <w:szCs w:val="16"/>
                <w:lang w:val="es-MX" w:eastAsia="en-US"/>
              </w:rPr>
              <w:t>Rafael Adolfo Suarez González</w:t>
            </w:r>
          </w:p>
          <w:p w14:paraId="07AD1ECF" w14:textId="77777777" w:rsidR="00690D8D" w:rsidRPr="00D72319" w:rsidRDefault="00D72319" w:rsidP="00D72319">
            <w:pPr>
              <w:spacing w:after="0"/>
              <w:rPr>
                <w:sz w:val="16"/>
                <w:lang w:val="es-ES"/>
              </w:rPr>
            </w:pPr>
            <w:r w:rsidRPr="00D72319">
              <w:rPr>
                <w:rFonts w:eastAsia="Times New Roman"/>
                <w:sz w:val="16"/>
                <w:szCs w:val="16"/>
                <w:lang w:val="es-MX" w:eastAsia="en-US"/>
              </w:rPr>
              <w:t>Hilario Duran Tiburcio</w:t>
            </w:r>
          </w:p>
        </w:tc>
      </w:tr>
      <w:tr w:rsidR="00690D8D" w:rsidRPr="0043350C" w14:paraId="16D6EE62" w14:textId="77777777" w:rsidTr="00C14BE7">
        <w:trPr>
          <w:jc w:val="center"/>
        </w:trPr>
        <w:tc>
          <w:tcPr>
            <w:tcW w:w="2778" w:type="dxa"/>
            <w:gridSpan w:val="3"/>
            <w:tcBorders>
              <w:bottom w:val="single" w:sz="4" w:space="0" w:color="auto"/>
            </w:tcBorders>
            <w:shd w:val="clear" w:color="auto" w:fill="D9D9D9" w:themeFill="background1" w:themeFillShade="D9"/>
          </w:tcPr>
          <w:p w14:paraId="2E9C2DD5" w14:textId="77777777" w:rsidR="00690D8D" w:rsidRPr="00D72319" w:rsidRDefault="00690D8D" w:rsidP="00C14BE7">
            <w:pPr>
              <w:spacing w:before="20"/>
              <w:rPr>
                <w:b/>
                <w:sz w:val="16"/>
                <w:lang w:val="es-ES"/>
              </w:rPr>
            </w:pPr>
            <w:r w:rsidRPr="00D72319">
              <w:rPr>
                <w:b/>
                <w:sz w:val="16"/>
                <w:lang w:val="es-ES"/>
              </w:rPr>
              <w:t>Tipo de Evaluación:</w:t>
            </w:r>
          </w:p>
        </w:tc>
        <w:tc>
          <w:tcPr>
            <w:tcW w:w="7395" w:type="dxa"/>
            <w:gridSpan w:val="2"/>
            <w:tcBorders>
              <w:bottom w:val="single" w:sz="4" w:space="0" w:color="auto"/>
            </w:tcBorders>
            <w:shd w:val="clear" w:color="auto" w:fill="D9D9D9" w:themeFill="background1" w:themeFillShade="D9"/>
          </w:tcPr>
          <w:p w14:paraId="38971394" w14:textId="77777777" w:rsidR="00690D8D" w:rsidRPr="00D72319" w:rsidRDefault="00690D8D" w:rsidP="00C14BE7">
            <w:pPr>
              <w:spacing w:before="20"/>
              <w:rPr>
                <w:sz w:val="16"/>
                <w:lang w:val="es-ES"/>
              </w:rPr>
            </w:pPr>
            <w:r w:rsidRPr="00D72319">
              <w:rPr>
                <w:sz w:val="16"/>
                <w:lang w:val="es-ES"/>
              </w:rPr>
              <w:t>Consistencia y Resultados, PAE 2017</w:t>
            </w:r>
          </w:p>
        </w:tc>
      </w:tr>
    </w:tbl>
    <w:p w14:paraId="4E83E25E" w14:textId="77777777" w:rsidR="00690D8D" w:rsidRPr="0043350C" w:rsidRDefault="00690D8D" w:rsidP="00690D8D"/>
    <w:p w14:paraId="349015E7" w14:textId="77777777" w:rsidR="00690D8D" w:rsidRPr="0043350C" w:rsidRDefault="00690D8D" w:rsidP="00690D8D">
      <w:pPr>
        <w:spacing w:line="250" w:lineRule="exact"/>
        <w:jc w:val="both"/>
        <w:rPr>
          <w:rFonts w:eastAsia="Times New Roman" w:cs="Arial"/>
          <w:b/>
          <w:szCs w:val="20"/>
          <w:lang w:val="es-ES"/>
        </w:rPr>
      </w:pPr>
      <w:r w:rsidRPr="0043350C">
        <w:rPr>
          <w:rFonts w:eastAsia="Times New Roman" w:cs="Arial"/>
          <w:b/>
          <w:szCs w:val="20"/>
          <w:lang w:val="es-ES"/>
        </w:rPr>
        <w:t xml:space="preserve">Descripción del </w:t>
      </w:r>
      <w:proofErr w:type="spellStart"/>
      <w:r w:rsidRPr="0043350C">
        <w:rPr>
          <w:rFonts w:eastAsia="Times New Roman" w:cs="Arial"/>
          <w:b/>
          <w:szCs w:val="20"/>
          <w:lang w:val="es-ES"/>
        </w:rPr>
        <w:t>Pp</w:t>
      </w:r>
      <w:proofErr w:type="spellEnd"/>
    </w:p>
    <w:p w14:paraId="16A50C06" w14:textId="77777777" w:rsidR="00D72319" w:rsidRDefault="00D72319" w:rsidP="00D72319">
      <w:pPr>
        <w:pStyle w:val="Cdetexto"/>
      </w:pPr>
      <w:r>
        <w:t xml:space="preserve">El </w:t>
      </w:r>
      <w:proofErr w:type="spellStart"/>
      <w:r>
        <w:t>Pp</w:t>
      </w:r>
      <w:proofErr w:type="spellEnd"/>
      <w:r>
        <w:t xml:space="preserve"> es el resultado de la fusión de tres programas</w:t>
      </w:r>
      <w:r w:rsidR="00394E3B">
        <w:t xml:space="preserve"> del Ramo 13</w:t>
      </w:r>
      <w:r>
        <w:t>: A006 Administración y fomento de la educación naval, R010 Programa de Becas para los hijos del personal de las Fuerzas Armadas en Activo y R011 Programa de Becas de nivel secundaria para los hijos del personal de las Fuerzas Armadas.</w:t>
      </w:r>
    </w:p>
    <w:p w14:paraId="54CAF222" w14:textId="77777777" w:rsidR="00D72319" w:rsidRDefault="00D72319" w:rsidP="00D72319">
      <w:pPr>
        <w:pStyle w:val="Cdetexto"/>
      </w:pPr>
      <w:r>
        <w:t xml:space="preserve">El </w:t>
      </w:r>
      <w:r w:rsidRPr="00DB1819">
        <w:t xml:space="preserve">problema que </w:t>
      </w:r>
      <w:r>
        <w:t xml:space="preserve">atiende el </w:t>
      </w:r>
      <w:proofErr w:type="spellStart"/>
      <w:r>
        <w:t>Pp</w:t>
      </w:r>
      <w:proofErr w:type="spellEnd"/>
      <w:r>
        <w:t xml:space="preserve"> se define como</w:t>
      </w:r>
      <w:r w:rsidRPr="00DB1819">
        <w:t xml:space="preserve"> “</w:t>
      </w:r>
      <w:r w:rsidRPr="00710556">
        <w:t>Sistema Educativo Naval y Programa de Becas, rezagado</w:t>
      </w:r>
      <w:r w:rsidRPr="00DB1819">
        <w:t>”</w:t>
      </w:r>
      <w:r>
        <w:t>.</w:t>
      </w:r>
    </w:p>
    <w:p w14:paraId="08B7E5C9" w14:textId="77777777" w:rsidR="00D72319" w:rsidRPr="0043350C" w:rsidRDefault="00D72319" w:rsidP="00D72319">
      <w:pPr>
        <w:pStyle w:val="Cdetexto"/>
      </w:pPr>
      <w:r w:rsidRPr="0043350C">
        <w:t xml:space="preserve">El fin del </w:t>
      </w:r>
      <w:proofErr w:type="spellStart"/>
      <w:r w:rsidRPr="0043350C">
        <w:t>Pp</w:t>
      </w:r>
      <w:proofErr w:type="spellEnd"/>
      <w:r w:rsidRPr="0043350C">
        <w:t xml:space="preserve"> se definió como “</w:t>
      </w:r>
      <w:r w:rsidRPr="00710556">
        <w:t>Fortalecimiento del Sistema Educativo Naval</w:t>
      </w:r>
      <w:r>
        <w:t>”</w:t>
      </w:r>
      <w:r w:rsidR="00843B5B">
        <w:t>.</w:t>
      </w:r>
    </w:p>
    <w:p w14:paraId="11F704EC" w14:textId="77777777" w:rsidR="00D72319" w:rsidRPr="0043350C" w:rsidRDefault="00D72319" w:rsidP="00D72319">
      <w:pPr>
        <w:pStyle w:val="Cdetexto"/>
      </w:pPr>
      <w:r w:rsidRPr="0043350C">
        <w:t xml:space="preserve">El propósito del </w:t>
      </w:r>
      <w:proofErr w:type="spellStart"/>
      <w:r w:rsidRPr="0043350C">
        <w:t>Pp</w:t>
      </w:r>
      <w:proofErr w:type="spellEnd"/>
      <w:r w:rsidRPr="0043350C">
        <w:t xml:space="preserve"> es “</w:t>
      </w:r>
      <w:r w:rsidRPr="00710556">
        <w:t>Evaluar</w:t>
      </w:r>
      <w:r>
        <w:t xml:space="preserve"> a los planteles educativos navales con la metodología para la evaluación de la calidad educativa” y su componente es “Incentivos otorgados al personal naval para elevar la moral”</w:t>
      </w:r>
      <w:r w:rsidRPr="0043350C">
        <w:t>.</w:t>
      </w:r>
    </w:p>
    <w:p w14:paraId="4C848E5A" w14:textId="77777777" w:rsidR="00D72319" w:rsidRDefault="00D72319" w:rsidP="00D72319">
      <w:pPr>
        <w:pStyle w:val="Cdetexto"/>
      </w:pPr>
      <w:r>
        <w:t xml:space="preserve">La </w:t>
      </w:r>
      <w:proofErr w:type="spellStart"/>
      <w:r>
        <w:t>PPo</w:t>
      </w:r>
      <w:proofErr w:type="spellEnd"/>
      <w:r>
        <w:t xml:space="preserve"> está definida como los egresados de los Establecimientos Educativos Navales, los beneficiarios del programa de becas y las mujeres y hombres que se capacitan en Equidad de Género.</w:t>
      </w:r>
    </w:p>
    <w:p w14:paraId="1455EA84" w14:textId="77777777" w:rsidR="00D72319" w:rsidRDefault="00394E3B" w:rsidP="00D72319">
      <w:pPr>
        <w:pStyle w:val="Cdetexto"/>
      </w:pPr>
      <w:r w:rsidRPr="00394E3B">
        <w:lastRenderedPageBreak/>
        <w:t>A su vez, la PO está dividida en tres grupos</w:t>
      </w:r>
      <w:r w:rsidR="00B451CA">
        <w:t xml:space="preserve">: los alumnos inscritos en los </w:t>
      </w:r>
      <w:r w:rsidRPr="00394E3B">
        <w:t>Establecimientos Educativos navales, los hijos del personal naval en edad escolar, y todo el personal naval que se capacita en Equidad de Género.</w:t>
      </w:r>
    </w:p>
    <w:p w14:paraId="3F1278EF" w14:textId="77777777" w:rsidR="00690D8D" w:rsidRPr="0043350C" w:rsidRDefault="00D72319" w:rsidP="00D72319">
      <w:pPr>
        <w:pStyle w:val="Cdetexto"/>
      </w:pPr>
      <w:r w:rsidRPr="00FA2CAE">
        <w:t xml:space="preserve">El </w:t>
      </w:r>
      <w:proofErr w:type="spellStart"/>
      <w:r w:rsidRPr="00FA2CAE">
        <w:t>Pp</w:t>
      </w:r>
      <w:proofErr w:type="spellEnd"/>
      <w:r w:rsidRPr="00FA2CAE">
        <w:t xml:space="preserve"> está alineado a la Meta Nacional </w:t>
      </w:r>
      <w:r>
        <w:t>I.</w:t>
      </w:r>
      <w:r w:rsidRPr="00F81318">
        <w:t xml:space="preserve"> </w:t>
      </w:r>
      <w:r>
        <w:t xml:space="preserve">México en Paz </w:t>
      </w:r>
      <w:r w:rsidRPr="00FA2CAE">
        <w:t xml:space="preserve">del </w:t>
      </w:r>
      <w:r>
        <w:t xml:space="preserve">PND </w:t>
      </w:r>
      <w:r w:rsidR="00394E3B">
        <w:t xml:space="preserve">a través del Objetivo 1.2. Garantizar la Seguridad Nacional, </w:t>
      </w:r>
      <w:r>
        <w:t>y</w:t>
      </w:r>
      <w:r w:rsidRPr="00FA2CAE">
        <w:t xml:space="preserve"> al </w:t>
      </w:r>
      <w:r w:rsidRPr="00FD0C35">
        <w:t xml:space="preserve">Programa </w:t>
      </w:r>
      <w:r w:rsidRPr="00710556">
        <w:t>Sectorial de Marina 2013-2018</w:t>
      </w:r>
      <w:r w:rsidR="00B451CA">
        <w:t xml:space="preserve"> (PSM)</w:t>
      </w:r>
      <w:r>
        <w:t>,</w:t>
      </w:r>
      <w:r w:rsidRPr="00FD0C35">
        <w:t xml:space="preserve"> </w:t>
      </w:r>
      <w:r>
        <w:t xml:space="preserve">mediante el </w:t>
      </w:r>
      <w:r w:rsidR="00843B5B">
        <w:t>O</w:t>
      </w:r>
      <w:r>
        <w:t xml:space="preserve">bjetivo 4. </w:t>
      </w:r>
      <w:r w:rsidRPr="00710556">
        <w:t>Modernizar los procesos, sistemas y la infraestructur</w:t>
      </w:r>
      <w:r>
        <w:t xml:space="preserve">a institucional para fortalecer </w:t>
      </w:r>
      <w:r w:rsidRPr="00710556">
        <w:t>el Poder Naval de la Federación</w:t>
      </w:r>
      <w:r>
        <w:t>.</w:t>
      </w:r>
    </w:p>
    <w:p w14:paraId="42B63E64" w14:textId="77777777" w:rsidR="00690D8D" w:rsidRPr="0043350C" w:rsidRDefault="00690D8D" w:rsidP="00690D8D">
      <w:pPr>
        <w:spacing w:line="250" w:lineRule="exact"/>
        <w:jc w:val="both"/>
        <w:rPr>
          <w:rFonts w:eastAsia="Times New Roman" w:cs="Arial"/>
          <w:b/>
          <w:szCs w:val="20"/>
          <w:lang w:val="es-ES"/>
        </w:rPr>
      </w:pPr>
      <w:r w:rsidRPr="0043350C">
        <w:rPr>
          <w:rFonts w:eastAsia="Times New Roman" w:cs="Arial"/>
          <w:b/>
          <w:szCs w:val="20"/>
          <w:lang w:val="es-ES"/>
        </w:rPr>
        <w:t>Principales Hallazgos</w:t>
      </w:r>
    </w:p>
    <w:p w14:paraId="64846CCD" w14:textId="77777777" w:rsidR="00690D8D" w:rsidRPr="0043350C" w:rsidRDefault="00690D8D" w:rsidP="00690D8D">
      <w:pPr>
        <w:spacing w:line="250" w:lineRule="exact"/>
        <w:jc w:val="both"/>
        <w:rPr>
          <w:i/>
          <w:lang w:val="es-ES"/>
        </w:rPr>
      </w:pPr>
      <w:r w:rsidRPr="0043350C">
        <w:rPr>
          <w:i/>
          <w:lang w:val="es-ES"/>
        </w:rPr>
        <w:t>Diseño:</w:t>
      </w:r>
    </w:p>
    <w:p w14:paraId="474ED295" w14:textId="77777777" w:rsidR="00D72319" w:rsidRDefault="00D72319" w:rsidP="00D72319">
      <w:pPr>
        <w:pStyle w:val="Cdetexto"/>
      </w:pPr>
      <w:r>
        <w:t>El planteamiento del problema es claro y se cuenta con un documento</w:t>
      </w:r>
      <w:r w:rsidR="00843B5B">
        <w:t xml:space="preserve"> de</w:t>
      </w:r>
      <w:r>
        <w:t xml:space="preserve"> diagnóstico que lo describe apropiadamente, así como sus causas y efectos, e identifica claramente a la </w:t>
      </w:r>
      <w:proofErr w:type="spellStart"/>
      <w:r>
        <w:t>PPo</w:t>
      </w:r>
      <w:proofErr w:type="spellEnd"/>
      <w:r>
        <w:t xml:space="preserve"> y a la PO.</w:t>
      </w:r>
    </w:p>
    <w:p w14:paraId="35F17D5D" w14:textId="77777777" w:rsidR="00D72319" w:rsidRDefault="00D72319" w:rsidP="00D72319">
      <w:pPr>
        <w:pStyle w:val="Cdetexto"/>
      </w:pPr>
      <w:r>
        <w:t xml:space="preserve">La modalidad presupuestaria del </w:t>
      </w:r>
      <w:proofErr w:type="spellStart"/>
      <w:r>
        <w:t>Pp</w:t>
      </w:r>
      <w:proofErr w:type="spellEnd"/>
      <w:r>
        <w:t xml:space="preserve"> es consistente con el problema.</w:t>
      </w:r>
    </w:p>
    <w:p w14:paraId="0C632D75" w14:textId="77777777" w:rsidR="00D72319" w:rsidRDefault="00D72319" w:rsidP="00D72319">
      <w:pPr>
        <w:pStyle w:val="Cdetexto"/>
      </w:pPr>
      <w:r>
        <w:t xml:space="preserve">La MIR presenta lógica tanto vertical como horizontal; el logro de cada uno de los objetivos contribuye al logro del fin superior. </w:t>
      </w:r>
    </w:p>
    <w:p w14:paraId="53D39EB8" w14:textId="77777777" w:rsidR="00D72319" w:rsidRDefault="00D72319" w:rsidP="00D72319">
      <w:pPr>
        <w:spacing w:line="250" w:lineRule="exact"/>
        <w:jc w:val="both"/>
      </w:pPr>
      <w:r>
        <w:t>Los indicadores de la MIR cuentan con fichas técnicas</w:t>
      </w:r>
      <w:r w:rsidR="00394E3B">
        <w:t xml:space="preserve"> con todas las características establecidas; las metas planteadas</w:t>
      </w:r>
      <w:r>
        <w:t xml:space="preserve"> </w:t>
      </w:r>
      <w:r w:rsidR="00394E3B">
        <w:t xml:space="preserve">cuentan, a su vez, </w:t>
      </w:r>
      <w:r>
        <w:t>con unidad de medida, están orientadas a impulsar el desempeño y son factibles de alcanzar.</w:t>
      </w:r>
    </w:p>
    <w:p w14:paraId="787CE20A" w14:textId="77777777" w:rsidR="00690D8D" w:rsidRPr="0043350C" w:rsidRDefault="00690D8D" w:rsidP="00D72319">
      <w:pPr>
        <w:spacing w:line="250" w:lineRule="exact"/>
        <w:jc w:val="both"/>
        <w:rPr>
          <w:i/>
          <w:lang w:val="es-ES"/>
        </w:rPr>
      </w:pPr>
      <w:r w:rsidRPr="0043350C">
        <w:rPr>
          <w:i/>
          <w:lang w:val="es-ES"/>
        </w:rPr>
        <w:t>Planeación y Orientación a Resultados:</w:t>
      </w:r>
    </w:p>
    <w:p w14:paraId="69F89ABB" w14:textId="77777777" w:rsidR="00690D8D" w:rsidRPr="0043350C" w:rsidRDefault="00D72319" w:rsidP="000B0D73">
      <w:pPr>
        <w:pStyle w:val="Cdetexto"/>
      </w:pPr>
      <w:r w:rsidRPr="00697DEE">
        <w:t xml:space="preserve">El </w:t>
      </w:r>
      <w:proofErr w:type="spellStart"/>
      <w:r w:rsidRPr="00697DEE">
        <w:t>Pp</w:t>
      </w:r>
      <w:proofErr w:type="spellEnd"/>
      <w:r w:rsidRPr="00697DEE">
        <w:t xml:space="preserve"> </w:t>
      </w:r>
      <w:r>
        <w:t xml:space="preserve">cuenta con un plan estratégico reflejado en el </w:t>
      </w:r>
      <w:proofErr w:type="gramStart"/>
      <w:r w:rsidR="00B451CA">
        <w:t xml:space="preserve">PSM </w:t>
      </w:r>
      <w:r>
        <w:t>,</w:t>
      </w:r>
      <w:proofErr w:type="gramEnd"/>
      <w:r>
        <w:t xml:space="preserve"> así como con un programa anual de trabajo</w:t>
      </w:r>
      <w:r w:rsidR="00187E08">
        <w:t xml:space="preserve"> (</w:t>
      </w:r>
      <w:r>
        <w:t>Programa de Activid</w:t>
      </w:r>
      <w:r w:rsidR="00B941A1">
        <w:t>ades de la Secretaría de Marina</w:t>
      </w:r>
      <w:r w:rsidR="00187E08">
        <w:t>)</w:t>
      </w:r>
      <w:r>
        <w:t xml:space="preserve">, el cual contiene las actividades relevantes para alcanzar las metas y </w:t>
      </w:r>
      <w:r w:rsidR="00187E08">
        <w:t>lograr</w:t>
      </w:r>
      <w:r>
        <w:t xml:space="preserve"> el propósito del </w:t>
      </w:r>
      <w:proofErr w:type="spellStart"/>
      <w:r>
        <w:t>Pp</w:t>
      </w:r>
      <w:proofErr w:type="spellEnd"/>
      <w:r>
        <w:t>; el avance en dichas metas se revisa y actualiza en forma trimestral y anual.</w:t>
      </w:r>
    </w:p>
    <w:p w14:paraId="0154F6F1" w14:textId="77777777" w:rsidR="00690D8D" w:rsidRPr="0043350C" w:rsidRDefault="00690D8D" w:rsidP="00690D8D">
      <w:pPr>
        <w:spacing w:before="240" w:line="250" w:lineRule="exact"/>
        <w:jc w:val="both"/>
        <w:rPr>
          <w:i/>
          <w:lang w:val="es-ES"/>
        </w:rPr>
      </w:pPr>
      <w:r w:rsidRPr="0043350C">
        <w:rPr>
          <w:i/>
          <w:szCs w:val="22"/>
        </w:rPr>
        <w:t>Cobertura y Focalización:</w:t>
      </w:r>
    </w:p>
    <w:p w14:paraId="33922A75" w14:textId="77777777" w:rsidR="00690D8D" w:rsidRPr="0043350C" w:rsidRDefault="00D72319" w:rsidP="00690D8D">
      <w:pPr>
        <w:pStyle w:val="Cdetexto"/>
      </w:pPr>
      <w:r>
        <w:t xml:space="preserve">La </w:t>
      </w:r>
      <w:proofErr w:type="spellStart"/>
      <w:r>
        <w:t>PPo</w:t>
      </w:r>
      <w:proofErr w:type="spellEnd"/>
      <w:r>
        <w:t xml:space="preserve"> y la PO están definidas, cuentan con unidad de medida y estadísticos históricos, poseen una metodología para su cuantificación y las cifras se actualizan trimestralmente, por lo cual s</w:t>
      </w:r>
      <w:r w:rsidR="00955645">
        <w:t>on</w:t>
      </w:r>
      <w:r>
        <w:t xml:space="preserve"> </w:t>
      </w:r>
      <w:r w:rsidR="00B941A1">
        <w:t>útil</w:t>
      </w:r>
      <w:r w:rsidR="00955645">
        <w:t>es</w:t>
      </w:r>
      <w:r>
        <w:t xml:space="preserve"> para dar seguimiento al desempeño del Pp. Además, se cuenta con una estrategia de cobertura.</w:t>
      </w:r>
    </w:p>
    <w:p w14:paraId="0973991C" w14:textId="77777777" w:rsidR="00690D8D" w:rsidRDefault="00690D8D" w:rsidP="00690D8D">
      <w:pPr>
        <w:spacing w:before="240" w:line="250" w:lineRule="exact"/>
        <w:contextualSpacing/>
        <w:jc w:val="both"/>
        <w:rPr>
          <w:i/>
          <w:szCs w:val="18"/>
        </w:rPr>
      </w:pPr>
      <w:r w:rsidRPr="0043350C">
        <w:rPr>
          <w:i/>
          <w:szCs w:val="18"/>
        </w:rPr>
        <w:t>Operación:</w:t>
      </w:r>
    </w:p>
    <w:p w14:paraId="32C5748B" w14:textId="77777777" w:rsidR="00690D8D" w:rsidRDefault="00D72319" w:rsidP="00690D8D">
      <w:pPr>
        <w:pStyle w:val="Cdetexto"/>
      </w:pPr>
      <w:r w:rsidRPr="00697DEE">
        <w:t xml:space="preserve">El </w:t>
      </w:r>
      <w:proofErr w:type="spellStart"/>
      <w:r w:rsidRPr="00697DEE">
        <w:t>Pp</w:t>
      </w:r>
      <w:proofErr w:type="spellEnd"/>
      <w:r w:rsidRPr="00697DEE">
        <w:t xml:space="preserve"> </w:t>
      </w:r>
      <w:r>
        <w:t>cuenta con la información necesaria para conocer la demanda de los componentes entregados, además existen procedimientos claros y explícitos para el registro de las solicitudes de beneficiarios, así como para la entrega de los incentivos.</w:t>
      </w:r>
    </w:p>
    <w:p w14:paraId="5C14BE84" w14:textId="77777777" w:rsidR="00D72319" w:rsidRPr="0043350C" w:rsidRDefault="00187E08" w:rsidP="00690D8D">
      <w:pPr>
        <w:pStyle w:val="Cdetexto"/>
      </w:pPr>
      <w:r>
        <w:t xml:space="preserve">Por otra parte, el </w:t>
      </w:r>
      <w:proofErr w:type="spellStart"/>
      <w:r>
        <w:t>Pp</w:t>
      </w:r>
      <w:proofErr w:type="spellEnd"/>
      <w:r>
        <w:t xml:space="preserve"> cue</w:t>
      </w:r>
      <w:r w:rsidR="00D72319">
        <w:t xml:space="preserve">nta con varios sistemas informáticos internos que permiten </w:t>
      </w:r>
      <w:r w:rsidR="00937043">
        <w:t xml:space="preserve">hacer más eficiente y </w:t>
      </w:r>
      <w:r w:rsidR="00D72319">
        <w:t>transparent</w:t>
      </w:r>
      <w:r w:rsidR="00955645">
        <w:t>e</w:t>
      </w:r>
      <w:r w:rsidR="00D72319">
        <w:t xml:space="preserve"> la gestión de los incentivos.</w:t>
      </w:r>
    </w:p>
    <w:p w14:paraId="22DDB11F" w14:textId="77777777" w:rsidR="00690D8D" w:rsidRPr="0043350C" w:rsidRDefault="00690D8D" w:rsidP="00690D8D">
      <w:pPr>
        <w:pStyle w:val="Cdetexto"/>
      </w:pPr>
      <w:r w:rsidRPr="0043350C">
        <w:rPr>
          <w:i/>
          <w:szCs w:val="22"/>
        </w:rPr>
        <w:t>Percepción de la Población Atendida:</w:t>
      </w:r>
    </w:p>
    <w:p w14:paraId="2DE0C848" w14:textId="77777777" w:rsidR="00690D8D" w:rsidRDefault="00D72319" w:rsidP="00690D8D">
      <w:pPr>
        <w:pStyle w:val="Cdetexto"/>
      </w:pPr>
      <w:r>
        <w:t xml:space="preserve">El </w:t>
      </w:r>
      <w:proofErr w:type="spellStart"/>
      <w:r>
        <w:t>Pp</w:t>
      </w:r>
      <w:proofErr w:type="spellEnd"/>
      <w:r>
        <w:t xml:space="preserve"> cuenta con instrumentos para medir la satisfacción de los usuarios a través de sistemas informáticos ligados a su portal de internet</w:t>
      </w:r>
      <w:r w:rsidR="00955645">
        <w:t>;</w:t>
      </w:r>
      <w:r>
        <w:t xml:space="preserve"> además se utilizan otros instrumentos como </w:t>
      </w:r>
      <w:r w:rsidRPr="006A13D1">
        <w:t xml:space="preserve">encuestas de salida y </w:t>
      </w:r>
      <w:r>
        <w:t xml:space="preserve">de </w:t>
      </w:r>
      <w:r w:rsidRPr="006A13D1">
        <w:t>opinión</w:t>
      </w:r>
      <w:r>
        <w:t>.</w:t>
      </w:r>
    </w:p>
    <w:p w14:paraId="3B7EB4E2" w14:textId="77777777" w:rsidR="005854F3" w:rsidRDefault="005854F3" w:rsidP="00690D8D">
      <w:pPr>
        <w:pStyle w:val="Cdetexto"/>
        <w:rPr>
          <w:i/>
          <w:szCs w:val="22"/>
        </w:rPr>
      </w:pPr>
    </w:p>
    <w:p w14:paraId="06EE095D" w14:textId="77777777" w:rsidR="005854F3" w:rsidRDefault="005854F3" w:rsidP="00690D8D">
      <w:pPr>
        <w:pStyle w:val="Cdetexto"/>
        <w:rPr>
          <w:i/>
          <w:szCs w:val="22"/>
        </w:rPr>
      </w:pPr>
    </w:p>
    <w:p w14:paraId="237039B7" w14:textId="77777777" w:rsidR="00690D8D" w:rsidRPr="0043350C" w:rsidRDefault="00690D8D" w:rsidP="00690D8D">
      <w:pPr>
        <w:pStyle w:val="Cdetexto"/>
        <w:rPr>
          <w:i/>
          <w:szCs w:val="22"/>
        </w:rPr>
      </w:pPr>
      <w:r w:rsidRPr="0043350C">
        <w:rPr>
          <w:i/>
          <w:szCs w:val="22"/>
        </w:rPr>
        <w:lastRenderedPageBreak/>
        <w:t>Medición de Resultados:</w:t>
      </w:r>
    </w:p>
    <w:p w14:paraId="2362E6DE" w14:textId="77777777" w:rsidR="00D72319" w:rsidRDefault="00D72319" w:rsidP="00D72319">
      <w:pPr>
        <w:pStyle w:val="Cdetexto"/>
      </w:pPr>
      <w:r>
        <w:t xml:space="preserve">En relación al tema de becas, el </w:t>
      </w:r>
      <w:proofErr w:type="spellStart"/>
      <w:r>
        <w:t>Pp</w:t>
      </w:r>
      <w:proofErr w:type="spellEnd"/>
      <w:r>
        <w:t xml:space="preserve"> no cuenta con indicadores en la MIR, </w:t>
      </w:r>
      <w:r w:rsidR="00937043">
        <w:t>aun cuando</w:t>
      </w:r>
      <w:r w:rsidR="006F4A52">
        <w:t xml:space="preserve"> </w:t>
      </w:r>
      <w:r>
        <w:t>existen indicadores relacionados al Sistema Educativo Naval a través de la Universidad Naval.</w:t>
      </w:r>
    </w:p>
    <w:p w14:paraId="243F8DC5" w14:textId="77777777" w:rsidR="00D72319" w:rsidRDefault="00D72319" w:rsidP="00D72319">
      <w:pPr>
        <w:pStyle w:val="Cdetexto"/>
      </w:pPr>
      <w:r>
        <w:t>Los principales resultados a nivel de fin en el indicador "Porcentaje de Fortalecimiento del Sistema Educativo Naval” son</w:t>
      </w:r>
      <w:r w:rsidR="00D76AAA">
        <w:t xml:space="preserve"> los siguientes:</w:t>
      </w:r>
      <w:r>
        <w:t xml:space="preserve"> la creación de la Universidad Naval, la creación del Modelo Educativo Naval, la inscripción en el Programa Nacional de Posgrados de Calidad </w:t>
      </w:r>
      <w:r w:rsidR="00B941A1">
        <w:t>(</w:t>
      </w:r>
      <w:r>
        <w:t xml:space="preserve">del </w:t>
      </w:r>
      <w:r w:rsidR="00B941A1" w:rsidRPr="00B84AF6">
        <w:t>Consejo Nacional de Ciencia y Tecnología</w:t>
      </w:r>
      <w:r w:rsidR="00B941A1">
        <w:t xml:space="preserve">) </w:t>
      </w:r>
      <w:r>
        <w:t>de las Maestrías en Ciencia Política, Seguridad Nacional y de Administración Naval, y las Especialidades de Comunicaciones Navales, de Electrónica Naval y la de Informática.</w:t>
      </w:r>
    </w:p>
    <w:p w14:paraId="352E7E1B" w14:textId="77777777" w:rsidR="00690D8D" w:rsidRPr="0043350C" w:rsidRDefault="00D72319" w:rsidP="00D72319">
      <w:pPr>
        <w:pStyle w:val="Cdetexto"/>
      </w:pPr>
      <w:r>
        <w:t>A nivel de propósito en el indicador “Establecimientos educativos navales evaluados, con la metodología para la evaluación de la calidad educativa”, se tienen los siguientes resultados: las evaluaciones de la calidad educativa en la Escuela Médico Naval y de la Heroica Escuela Naval Militar.</w:t>
      </w:r>
    </w:p>
    <w:p w14:paraId="53A8ACD8" w14:textId="77777777" w:rsidR="00690D8D" w:rsidRPr="0043350C" w:rsidRDefault="00690D8D" w:rsidP="00690D8D">
      <w:pPr>
        <w:spacing w:line="250" w:lineRule="exact"/>
        <w:jc w:val="both"/>
        <w:rPr>
          <w:rFonts w:eastAsia="Times New Roman" w:cs="Arial"/>
          <w:b/>
          <w:szCs w:val="20"/>
          <w:lang w:val="es-ES"/>
        </w:rPr>
      </w:pPr>
      <w:r w:rsidRPr="0043350C">
        <w:rPr>
          <w:rFonts w:eastAsia="Times New Roman" w:cs="Arial"/>
          <w:b/>
          <w:szCs w:val="20"/>
          <w:lang w:val="es-ES"/>
        </w:rPr>
        <w:t>Principales Recomendaciones</w:t>
      </w:r>
    </w:p>
    <w:p w14:paraId="08FBCEE9" w14:textId="77777777" w:rsidR="00724FB9" w:rsidRDefault="00B941A1" w:rsidP="00724FB9">
      <w:pPr>
        <w:pStyle w:val="Bala"/>
        <w:numPr>
          <w:ilvl w:val="0"/>
          <w:numId w:val="1"/>
        </w:numPr>
        <w:ind w:left="357" w:hanging="357"/>
      </w:pPr>
      <w:r>
        <w:t>Incrementar el número de actividades consideradas en la MIR para fortalecer las que ya se tienen identificadas</w:t>
      </w:r>
      <w:r w:rsidR="00D72319">
        <w:t>.</w:t>
      </w:r>
    </w:p>
    <w:p w14:paraId="3F3D7E76" w14:textId="77777777" w:rsidR="00D72319" w:rsidRDefault="00D72319" w:rsidP="00D72319">
      <w:pPr>
        <w:pStyle w:val="Bala"/>
        <w:numPr>
          <w:ilvl w:val="0"/>
          <w:numId w:val="1"/>
        </w:numPr>
        <w:ind w:left="357" w:hanging="357"/>
      </w:pPr>
      <w:r>
        <w:t xml:space="preserve">Considerar </w:t>
      </w:r>
      <w:r w:rsidR="00BC6E40">
        <w:t xml:space="preserve">en la planeación del </w:t>
      </w:r>
      <w:proofErr w:type="spellStart"/>
      <w:r w:rsidR="00BC6E40">
        <w:t>Pp</w:t>
      </w:r>
      <w:proofErr w:type="spellEnd"/>
      <w:r w:rsidR="00BC6E40">
        <w:t xml:space="preserve"> </w:t>
      </w:r>
      <w:r>
        <w:t>posibles recortes presupuestales.</w:t>
      </w:r>
      <w:r w:rsidRPr="0043350C">
        <w:t xml:space="preserve"> </w:t>
      </w:r>
    </w:p>
    <w:p w14:paraId="35294916" w14:textId="77777777" w:rsidR="00D72319" w:rsidRDefault="00D72319" w:rsidP="00D72319">
      <w:pPr>
        <w:pStyle w:val="Bala"/>
        <w:numPr>
          <w:ilvl w:val="0"/>
          <w:numId w:val="1"/>
        </w:numPr>
        <w:ind w:left="357" w:hanging="357"/>
      </w:pPr>
      <w:r>
        <w:t xml:space="preserve">Incluir indicadores en la MIR que contemplen la información relacionada </w:t>
      </w:r>
      <w:r w:rsidR="00B941A1">
        <w:t>con</w:t>
      </w:r>
      <w:r>
        <w:t xml:space="preserve"> becas</w:t>
      </w:r>
      <w:r w:rsidR="00B5461B">
        <w:t>;</w:t>
      </w:r>
      <w:r>
        <w:t xml:space="preserve"> a nivel </w:t>
      </w:r>
      <w:r w:rsidR="00B5461B">
        <w:t xml:space="preserve">de </w:t>
      </w:r>
      <w:r>
        <w:t>componente se proponen dos: “Número de egresados de los establecimientos educativos navales de formación” y “Número de planes y programas de estudios revisados y actualizados de los diferentes establecimientos educativos navales”</w:t>
      </w:r>
      <w:r w:rsidR="00B5461B">
        <w:t>.</w:t>
      </w:r>
    </w:p>
    <w:p w14:paraId="0BE5B121" w14:textId="77777777" w:rsidR="00690D8D" w:rsidRPr="0043350C" w:rsidRDefault="00690D8D" w:rsidP="00690D8D">
      <w:pPr>
        <w:pStyle w:val="Bala"/>
        <w:ind w:left="357" w:hanging="357"/>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690D8D" w:rsidRPr="0043350C" w14:paraId="7DC37C55" w14:textId="77777777" w:rsidTr="00C14BE7">
        <w:tc>
          <w:tcPr>
            <w:tcW w:w="749" w:type="pct"/>
            <w:vAlign w:val="center"/>
          </w:tcPr>
          <w:p w14:paraId="05C8F431" w14:textId="77777777" w:rsidR="00690D8D" w:rsidRPr="0043350C" w:rsidRDefault="00690D8D" w:rsidP="00C14BE7">
            <w:pPr>
              <w:spacing w:before="20" w:after="0"/>
              <w:ind w:left="170"/>
              <w:rPr>
                <w:b/>
                <w:sz w:val="16"/>
                <w:lang w:val="es-ES"/>
              </w:rPr>
            </w:pPr>
            <w:r w:rsidRPr="0043350C">
              <w:rPr>
                <w:b/>
                <w:sz w:val="16"/>
                <w:lang w:val="es-ES"/>
              </w:rPr>
              <w:t>Evaluador Externo:</w:t>
            </w:r>
          </w:p>
        </w:tc>
        <w:tc>
          <w:tcPr>
            <w:tcW w:w="4251" w:type="pct"/>
            <w:gridSpan w:val="3"/>
          </w:tcPr>
          <w:p w14:paraId="094CADEE" w14:textId="77777777" w:rsidR="00690D8D" w:rsidRPr="0043350C" w:rsidRDefault="00690D8D" w:rsidP="00850438">
            <w:pPr>
              <w:spacing w:before="20" w:after="0"/>
              <w:ind w:left="113"/>
              <w:rPr>
                <w:sz w:val="16"/>
                <w:lang w:val="es-ES"/>
              </w:rPr>
            </w:pPr>
            <w:r w:rsidRPr="0043350C">
              <w:rPr>
                <w:sz w:val="16"/>
                <w:lang w:val="es-ES"/>
              </w:rPr>
              <w:t xml:space="preserve">1. Instancia Evaluadora: </w:t>
            </w:r>
            <w:r w:rsidR="00D72319" w:rsidRPr="00996FD5">
              <w:rPr>
                <w:sz w:val="16"/>
                <w:lang w:val="es-ES"/>
              </w:rPr>
              <w:t>Carlos Eduardo Herrera Avendaño</w:t>
            </w:r>
          </w:p>
          <w:p w14:paraId="5DB94ACB" w14:textId="77777777" w:rsidR="00690D8D" w:rsidRPr="0043350C" w:rsidRDefault="00690D8D" w:rsidP="00850438">
            <w:pPr>
              <w:spacing w:before="20" w:after="0"/>
              <w:ind w:left="113"/>
              <w:rPr>
                <w:sz w:val="16"/>
                <w:lang w:val="es-ES"/>
              </w:rPr>
            </w:pPr>
            <w:r w:rsidRPr="0043350C">
              <w:rPr>
                <w:sz w:val="16"/>
                <w:lang w:val="es-ES"/>
              </w:rPr>
              <w:t xml:space="preserve">2. Coordinador de la Evaluación: </w:t>
            </w:r>
            <w:r w:rsidR="00D72319" w:rsidRPr="00996FD5">
              <w:rPr>
                <w:sz w:val="16"/>
                <w:lang w:val="es-ES"/>
              </w:rPr>
              <w:t>Carlos Eduardo Herrera Avendaño</w:t>
            </w:r>
          </w:p>
          <w:p w14:paraId="28772497" w14:textId="77777777" w:rsidR="00690D8D" w:rsidRPr="0043350C" w:rsidRDefault="00690D8D" w:rsidP="00EA52E6">
            <w:pPr>
              <w:spacing w:before="20" w:after="0"/>
              <w:ind w:left="113"/>
              <w:rPr>
                <w:sz w:val="16"/>
                <w:lang w:val="es-ES"/>
              </w:rPr>
            </w:pPr>
            <w:r w:rsidRPr="0043350C">
              <w:rPr>
                <w:sz w:val="16"/>
                <w:lang w:val="es-ES"/>
              </w:rPr>
              <w:t xml:space="preserve">3. Forma de contratación: </w:t>
            </w:r>
            <w:r w:rsidR="00D72319">
              <w:rPr>
                <w:sz w:val="16"/>
                <w:lang w:val="es-ES"/>
              </w:rPr>
              <w:t>Adjudicación Directa</w:t>
            </w:r>
          </w:p>
        </w:tc>
      </w:tr>
      <w:tr w:rsidR="00690D8D" w:rsidRPr="0043350C" w14:paraId="5F2A3345" w14:textId="77777777" w:rsidTr="00C14BE7">
        <w:tc>
          <w:tcPr>
            <w:tcW w:w="749" w:type="pct"/>
            <w:vAlign w:val="center"/>
          </w:tcPr>
          <w:p w14:paraId="4F85D405" w14:textId="77777777" w:rsidR="00690D8D" w:rsidRPr="0043350C" w:rsidRDefault="00690D8D" w:rsidP="00C14BE7">
            <w:pPr>
              <w:spacing w:before="20" w:after="0"/>
              <w:ind w:left="170"/>
              <w:rPr>
                <w:b/>
                <w:sz w:val="16"/>
                <w:lang w:val="es-ES"/>
              </w:rPr>
            </w:pPr>
          </w:p>
        </w:tc>
        <w:tc>
          <w:tcPr>
            <w:tcW w:w="4251" w:type="pct"/>
            <w:gridSpan w:val="3"/>
          </w:tcPr>
          <w:p w14:paraId="5C23A97E" w14:textId="77777777" w:rsidR="00690D8D" w:rsidRPr="0043350C" w:rsidRDefault="00690D8D" w:rsidP="00C14BE7">
            <w:pPr>
              <w:spacing w:before="20" w:after="0"/>
              <w:ind w:left="113"/>
              <w:rPr>
                <w:sz w:val="16"/>
                <w:lang w:val="es-ES"/>
              </w:rPr>
            </w:pPr>
          </w:p>
        </w:tc>
      </w:tr>
      <w:tr w:rsidR="00690D8D" w:rsidRPr="0043350C" w14:paraId="370959D7" w14:textId="77777777" w:rsidTr="00993F6E">
        <w:tc>
          <w:tcPr>
            <w:tcW w:w="749" w:type="pct"/>
            <w:vAlign w:val="center"/>
          </w:tcPr>
          <w:p w14:paraId="70FDB881" w14:textId="77777777" w:rsidR="00690D8D" w:rsidRPr="0043350C" w:rsidRDefault="00690D8D" w:rsidP="00993F6E">
            <w:pPr>
              <w:spacing w:before="20" w:after="0"/>
              <w:ind w:left="170"/>
              <w:rPr>
                <w:b/>
                <w:sz w:val="16"/>
                <w:lang w:val="es-ES"/>
              </w:rPr>
            </w:pPr>
            <w:r w:rsidRPr="0043350C">
              <w:rPr>
                <w:b/>
                <w:sz w:val="16"/>
                <w:lang w:val="es-ES"/>
              </w:rPr>
              <w:t>Costo:</w:t>
            </w:r>
          </w:p>
        </w:tc>
        <w:tc>
          <w:tcPr>
            <w:tcW w:w="1113" w:type="pct"/>
            <w:vAlign w:val="bottom"/>
          </w:tcPr>
          <w:p w14:paraId="509C0FEB" w14:textId="77777777" w:rsidR="00690D8D" w:rsidRPr="0043350C" w:rsidRDefault="00690D8D" w:rsidP="00D72319">
            <w:pPr>
              <w:spacing w:before="20" w:after="0"/>
              <w:ind w:left="113"/>
              <w:rPr>
                <w:sz w:val="16"/>
                <w:lang w:val="es-ES"/>
              </w:rPr>
            </w:pPr>
            <w:r w:rsidRPr="0043350C">
              <w:rPr>
                <w:sz w:val="16"/>
                <w:lang w:val="es-ES"/>
              </w:rPr>
              <w:t>$</w:t>
            </w:r>
            <w:r w:rsidR="00D72319">
              <w:rPr>
                <w:sz w:val="16"/>
                <w:lang w:val="es-ES"/>
              </w:rPr>
              <w:t>245</w:t>
            </w:r>
            <w:r w:rsidR="00850438">
              <w:rPr>
                <w:sz w:val="16"/>
                <w:lang w:val="es-ES"/>
              </w:rPr>
              <w:t>,</w:t>
            </w:r>
            <w:r w:rsidR="00D72319">
              <w:rPr>
                <w:sz w:val="16"/>
                <w:lang w:val="es-ES"/>
              </w:rPr>
              <w:t>0</w:t>
            </w:r>
            <w:r w:rsidR="00850438">
              <w:rPr>
                <w:sz w:val="16"/>
                <w:lang w:val="es-ES"/>
              </w:rPr>
              <w:t>00.00</w:t>
            </w:r>
            <w:r>
              <w:rPr>
                <w:sz w:val="16"/>
                <w:lang w:val="es-ES"/>
              </w:rPr>
              <w:t xml:space="preserve"> </w:t>
            </w:r>
            <w:r w:rsidR="00C846D9">
              <w:rPr>
                <w:sz w:val="16"/>
                <w:lang w:val="es-ES"/>
              </w:rPr>
              <w:t>IVA</w:t>
            </w:r>
            <w:r w:rsidR="00EA52E6">
              <w:rPr>
                <w:sz w:val="16"/>
                <w:lang w:val="es-ES"/>
              </w:rPr>
              <w:t xml:space="preserve"> incluido</w:t>
            </w:r>
          </w:p>
        </w:tc>
        <w:tc>
          <w:tcPr>
            <w:tcW w:w="904" w:type="pct"/>
            <w:vAlign w:val="bottom"/>
          </w:tcPr>
          <w:p w14:paraId="0E1B894F" w14:textId="77777777" w:rsidR="00690D8D" w:rsidRPr="0043350C" w:rsidRDefault="00690D8D" w:rsidP="00C14BE7">
            <w:pPr>
              <w:spacing w:before="20" w:after="0"/>
              <w:ind w:left="170"/>
              <w:rPr>
                <w:b/>
                <w:sz w:val="16"/>
                <w:lang w:val="es-ES"/>
              </w:rPr>
            </w:pPr>
            <w:r w:rsidRPr="0043350C">
              <w:rPr>
                <w:b/>
                <w:sz w:val="16"/>
                <w:lang w:val="es-ES"/>
              </w:rPr>
              <w:t>Fuente de Financiamiento:</w:t>
            </w:r>
          </w:p>
        </w:tc>
        <w:tc>
          <w:tcPr>
            <w:tcW w:w="2234" w:type="pct"/>
            <w:vAlign w:val="center"/>
          </w:tcPr>
          <w:p w14:paraId="516F547E" w14:textId="77777777" w:rsidR="00690D8D" w:rsidRPr="00C3084D" w:rsidRDefault="00690D8D" w:rsidP="00C14BE7">
            <w:pPr>
              <w:spacing w:before="20" w:after="0"/>
              <w:ind w:left="113"/>
              <w:rPr>
                <w:sz w:val="16"/>
                <w:lang w:val="es-ES"/>
              </w:rPr>
            </w:pPr>
            <w:r w:rsidRPr="00C3084D">
              <w:rPr>
                <w:sz w:val="16"/>
                <w:lang w:val="es-ES"/>
              </w:rPr>
              <w:t>Recursos fiscales</w:t>
            </w:r>
          </w:p>
        </w:tc>
      </w:tr>
      <w:tr w:rsidR="00690D8D" w:rsidRPr="0043350C" w14:paraId="01AB9496" w14:textId="77777777" w:rsidTr="00993F6E">
        <w:tc>
          <w:tcPr>
            <w:tcW w:w="749" w:type="pct"/>
            <w:tcBorders>
              <w:bottom w:val="single" w:sz="4" w:space="0" w:color="auto"/>
            </w:tcBorders>
            <w:vAlign w:val="center"/>
          </w:tcPr>
          <w:p w14:paraId="7CC84E71" w14:textId="77777777" w:rsidR="00690D8D" w:rsidRPr="0043350C" w:rsidRDefault="00690D8D" w:rsidP="00993F6E">
            <w:pPr>
              <w:spacing w:before="20" w:after="0"/>
              <w:ind w:left="170"/>
              <w:rPr>
                <w:b/>
                <w:sz w:val="16"/>
                <w:szCs w:val="16"/>
                <w:lang w:val="es-ES" w:eastAsia="en-US"/>
              </w:rPr>
            </w:pPr>
            <w:r w:rsidRPr="0043350C">
              <w:rPr>
                <w:b/>
                <w:sz w:val="16"/>
                <w:szCs w:val="16"/>
                <w:lang w:val="es-ES" w:eastAsia="en-US"/>
              </w:rPr>
              <w:t>Coordinación de la Evaluación:</w:t>
            </w:r>
          </w:p>
        </w:tc>
        <w:tc>
          <w:tcPr>
            <w:tcW w:w="1113" w:type="pct"/>
            <w:tcBorders>
              <w:bottom w:val="single" w:sz="4" w:space="0" w:color="auto"/>
            </w:tcBorders>
            <w:vAlign w:val="center"/>
          </w:tcPr>
          <w:p w14:paraId="2B762DE1" w14:textId="77777777" w:rsidR="00690D8D" w:rsidRPr="0043350C" w:rsidRDefault="00690D8D" w:rsidP="00C14BE7">
            <w:pPr>
              <w:spacing w:after="0"/>
              <w:jc w:val="center"/>
              <w:rPr>
                <w:rFonts w:eastAsia="Times New Roman" w:cs="Arial"/>
                <w:sz w:val="14"/>
                <w:szCs w:val="14"/>
                <w:lang w:val="es-ES"/>
              </w:rPr>
            </w:pPr>
            <w:r w:rsidRPr="005E2AAE">
              <w:rPr>
                <w:rFonts w:eastAsia="Times New Roman" w:cs="Arial"/>
                <w:sz w:val="16"/>
                <w:szCs w:val="14"/>
                <w:lang w:val="es-ES"/>
              </w:rPr>
              <w:t>SHCP</w:t>
            </w:r>
          </w:p>
        </w:tc>
        <w:tc>
          <w:tcPr>
            <w:tcW w:w="904" w:type="pct"/>
            <w:tcBorders>
              <w:bottom w:val="single" w:sz="4" w:space="0" w:color="auto"/>
            </w:tcBorders>
            <w:vAlign w:val="center"/>
          </w:tcPr>
          <w:p w14:paraId="6FCAC8B5" w14:textId="77777777" w:rsidR="00690D8D" w:rsidRPr="0043350C" w:rsidRDefault="00690D8D" w:rsidP="00993F6E">
            <w:pPr>
              <w:spacing w:before="20" w:after="0"/>
              <w:ind w:left="170"/>
              <w:rPr>
                <w:b/>
                <w:sz w:val="16"/>
                <w:szCs w:val="16"/>
                <w:lang w:val="es-ES" w:eastAsia="en-US"/>
              </w:rPr>
            </w:pPr>
            <w:r w:rsidRPr="0043350C">
              <w:rPr>
                <w:b/>
                <w:sz w:val="16"/>
                <w:szCs w:val="16"/>
                <w:lang w:val="es-ES" w:eastAsia="en-US"/>
              </w:rPr>
              <w:t>Informe completo:</w:t>
            </w:r>
          </w:p>
        </w:tc>
        <w:tc>
          <w:tcPr>
            <w:tcW w:w="2234" w:type="pct"/>
            <w:tcBorders>
              <w:bottom w:val="single" w:sz="4" w:space="0" w:color="auto"/>
            </w:tcBorders>
            <w:vAlign w:val="center"/>
          </w:tcPr>
          <w:p w14:paraId="5182BBE4" w14:textId="77777777" w:rsidR="00690D8D" w:rsidRPr="0043350C" w:rsidRDefault="00690D8D" w:rsidP="00993F6E">
            <w:pPr>
              <w:spacing w:before="20" w:after="0"/>
              <w:ind w:left="113"/>
              <w:rPr>
                <w:rFonts w:eastAsia="Times New Roman"/>
                <w:sz w:val="16"/>
                <w:szCs w:val="16"/>
                <w:lang w:val="es-ES" w:eastAsia="en-US"/>
              </w:rPr>
            </w:pPr>
            <w:r w:rsidRPr="0043350C">
              <w:rPr>
                <w:rFonts w:eastAsia="Times New Roman"/>
                <w:sz w:val="16"/>
                <w:szCs w:val="16"/>
                <w:lang w:val="es-ES" w:eastAsia="en-US"/>
              </w:rPr>
              <w:t>Disponible en:</w:t>
            </w:r>
          </w:p>
          <w:p w14:paraId="1F6F08A6" w14:textId="77777777" w:rsidR="00690D8D" w:rsidRPr="0043350C" w:rsidRDefault="00690D8D" w:rsidP="00993F6E">
            <w:pPr>
              <w:spacing w:before="20" w:after="0"/>
              <w:ind w:left="113"/>
              <w:rPr>
                <w:rFonts w:eastAsia="Times New Roman"/>
                <w:sz w:val="16"/>
                <w:szCs w:val="16"/>
                <w:lang w:val="es-ES" w:eastAsia="en-US"/>
              </w:rPr>
            </w:pPr>
            <w:r w:rsidRPr="0043350C">
              <w:rPr>
                <w:rFonts w:eastAsia="Times New Roman"/>
                <w:sz w:val="16"/>
                <w:szCs w:val="16"/>
                <w:lang w:val="es-ES" w:eastAsia="en-US"/>
              </w:rPr>
              <w:t>http://www.transparenciapresupuestaria.gob.mx/</w:t>
            </w:r>
          </w:p>
        </w:tc>
      </w:tr>
    </w:tbl>
    <w:p w14:paraId="2E6FEE86" w14:textId="77777777" w:rsidR="00C14BE7" w:rsidRDefault="00C14BE7" w:rsidP="00C14BE7"/>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D72319" w:rsidRPr="0043350C" w14:paraId="00BEB0A1" w14:textId="77777777" w:rsidTr="0014275D">
        <w:trPr>
          <w:trHeight w:val="392"/>
          <w:jc w:val="center"/>
        </w:trPr>
        <w:tc>
          <w:tcPr>
            <w:tcW w:w="10173" w:type="dxa"/>
            <w:gridSpan w:val="5"/>
            <w:shd w:val="clear" w:color="auto" w:fill="D6E3BC" w:themeFill="accent3" w:themeFillTint="66"/>
            <w:vAlign w:val="center"/>
          </w:tcPr>
          <w:p w14:paraId="171E4EB8" w14:textId="77777777" w:rsidR="00D72319" w:rsidRPr="008873F7" w:rsidRDefault="00D72319" w:rsidP="0014275D">
            <w:pPr>
              <w:pStyle w:val="CABEZA"/>
              <w:rPr>
                <w:lang w:val="es-MX"/>
              </w:rPr>
            </w:pPr>
            <w:r w:rsidRPr="009F1073">
              <w:rPr>
                <w:lang w:val="es-MX"/>
              </w:rPr>
              <w:br w:type="page"/>
            </w:r>
            <w:r w:rsidRPr="008873F7">
              <w:rPr>
                <w:lang w:val="es-MX"/>
              </w:rPr>
              <w:br w:type="page"/>
            </w:r>
            <w:r w:rsidRPr="00D37B5C">
              <w:rPr>
                <w:lang w:val="es-MX"/>
              </w:rPr>
              <w:t xml:space="preserve">Ramo </w:t>
            </w:r>
            <w:r>
              <w:rPr>
                <w:lang w:val="es-MX"/>
              </w:rPr>
              <w:t xml:space="preserve">16. </w:t>
            </w:r>
            <w:r w:rsidRPr="00523E78">
              <w:rPr>
                <w:lang w:val="es-MX"/>
              </w:rPr>
              <w:t>Medio Ambiente y Recursos Naturales</w:t>
            </w:r>
          </w:p>
        </w:tc>
      </w:tr>
      <w:tr w:rsidR="00D72319" w:rsidRPr="0043350C" w14:paraId="5DD436D1" w14:textId="77777777" w:rsidTr="0014275D">
        <w:trPr>
          <w:jc w:val="center"/>
        </w:trPr>
        <w:tc>
          <w:tcPr>
            <w:tcW w:w="1359" w:type="dxa"/>
            <w:shd w:val="clear" w:color="auto" w:fill="D9D9D9" w:themeFill="background1" w:themeFillShade="D9"/>
          </w:tcPr>
          <w:p w14:paraId="2E8AC46A" w14:textId="77777777" w:rsidR="00D72319" w:rsidRPr="0043350C" w:rsidRDefault="00D72319" w:rsidP="0014275D">
            <w:pPr>
              <w:spacing w:before="20"/>
              <w:rPr>
                <w:b/>
                <w:sz w:val="16"/>
                <w:lang w:val="es-ES"/>
              </w:rPr>
            </w:pPr>
            <w:r w:rsidRPr="0043350C">
              <w:rPr>
                <w:b/>
                <w:sz w:val="16"/>
                <w:lang w:val="es-ES"/>
              </w:rPr>
              <w:t xml:space="preserve">Clave del </w:t>
            </w:r>
            <w:proofErr w:type="spellStart"/>
            <w:r w:rsidRPr="0043350C">
              <w:rPr>
                <w:b/>
                <w:sz w:val="16"/>
                <w:lang w:val="es-ES"/>
              </w:rPr>
              <w:t>Pp</w:t>
            </w:r>
            <w:proofErr w:type="spellEnd"/>
            <w:r w:rsidRPr="0043350C">
              <w:rPr>
                <w:b/>
                <w:sz w:val="16"/>
                <w:lang w:val="es-ES"/>
              </w:rPr>
              <w:t>:</w:t>
            </w:r>
          </w:p>
        </w:tc>
        <w:tc>
          <w:tcPr>
            <w:tcW w:w="734" w:type="dxa"/>
            <w:shd w:val="clear" w:color="auto" w:fill="D9D9D9" w:themeFill="background1" w:themeFillShade="D9"/>
          </w:tcPr>
          <w:p w14:paraId="1C9DEBA1" w14:textId="77777777" w:rsidR="00D72319" w:rsidRPr="0043350C" w:rsidRDefault="00D72319" w:rsidP="0014275D">
            <w:pPr>
              <w:contextualSpacing/>
              <w:rPr>
                <w:sz w:val="16"/>
                <w:szCs w:val="16"/>
                <w:lang w:val="es-ES" w:eastAsia="en-US"/>
              </w:rPr>
            </w:pPr>
            <w:r>
              <w:rPr>
                <w:sz w:val="16"/>
                <w:szCs w:val="16"/>
                <w:lang w:val="es-ES" w:eastAsia="en-US"/>
              </w:rPr>
              <w:t>G013</w:t>
            </w:r>
          </w:p>
        </w:tc>
        <w:tc>
          <w:tcPr>
            <w:tcW w:w="1701" w:type="dxa"/>
            <w:gridSpan w:val="2"/>
            <w:shd w:val="clear" w:color="auto" w:fill="D9D9D9" w:themeFill="background1" w:themeFillShade="D9"/>
          </w:tcPr>
          <w:p w14:paraId="71654BA6" w14:textId="77777777" w:rsidR="00D72319" w:rsidRPr="0043350C" w:rsidRDefault="00D72319" w:rsidP="0014275D">
            <w:pPr>
              <w:spacing w:before="20"/>
              <w:rPr>
                <w:b/>
                <w:sz w:val="16"/>
                <w:lang w:val="es-ES"/>
              </w:rPr>
            </w:pPr>
            <w:r w:rsidRPr="0043350C">
              <w:rPr>
                <w:b/>
                <w:sz w:val="16"/>
                <w:lang w:val="es-ES"/>
              </w:rPr>
              <w:t>Denominación:</w:t>
            </w:r>
          </w:p>
        </w:tc>
        <w:tc>
          <w:tcPr>
            <w:tcW w:w="6379" w:type="dxa"/>
            <w:shd w:val="clear" w:color="auto" w:fill="D9D9D9" w:themeFill="background1" w:themeFillShade="D9"/>
          </w:tcPr>
          <w:p w14:paraId="561424CA" w14:textId="77777777" w:rsidR="00D72319" w:rsidRPr="0043350C" w:rsidRDefault="00D72319" w:rsidP="0014275D">
            <w:pPr>
              <w:contextualSpacing/>
              <w:rPr>
                <w:sz w:val="16"/>
                <w:szCs w:val="16"/>
                <w:lang w:val="es-ES" w:eastAsia="en-US"/>
              </w:rPr>
            </w:pPr>
            <w:r w:rsidRPr="00523E78">
              <w:rPr>
                <w:sz w:val="16"/>
                <w:szCs w:val="16"/>
                <w:lang w:val="es-ES" w:eastAsia="en-US"/>
              </w:rPr>
              <w:t>Sistema Nacional de Áreas Naturales Protegidas</w:t>
            </w:r>
          </w:p>
        </w:tc>
      </w:tr>
      <w:tr w:rsidR="00D72319" w:rsidRPr="0043350C" w14:paraId="75A0CD71" w14:textId="77777777" w:rsidTr="0014275D">
        <w:trPr>
          <w:jc w:val="center"/>
        </w:trPr>
        <w:tc>
          <w:tcPr>
            <w:tcW w:w="2778" w:type="dxa"/>
            <w:gridSpan w:val="3"/>
          </w:tcPr>
          <w:p w14:paraId="3147DD2C" w14:textId="77777777" w:rsidR="00D72319" w:rsidRPr="0043350C" w:rsidRDefault="00D72319" w:rsidP="0014275D">
            <w:pPr>
              <w:spacing w:before="20"/>
              <w:rPr>
                <w:b/>
                <w:sz w:val="16"/>
                <w:lang w:val="es-ES"/>
              </w:rPr>
            </w:pPr>
            <w:r w:rsidRPr="0043350C">
              <w:rPr>
                <w:b/>
                <w:sz w:val="16"/>
                <w:lang w:val="es-ES"/>
              </w:rPr>
              <w:t>Unidad Administrativa:</w:t>
            </w:r>
          </w:p>
        </w:tc>
        <w:tc>
          <w:tcPr>
            <w:tcW w:w="7395" w:type="dxa"/>
            <w:gridSpan w:val="2"/>
          </w:tcPr>
          <w:p w14:paraId="2CFCB462" w14:textId="77777777" w:rsidR="00D72319" w:rsidRPr="0043350C" w:rsidRDefault="00D72319" w:rsidP="0014275D">
            <w:pPr>
              <w:spacing w:before="20"/>
              <w:rPr>
                <w:rFonts w:eastAsia="Times New Roman"/>
                <w:sz w:val="16"/>
                <w:szCs w:val="16"/>
                <w:lang w:val="es-MX" w:eastAsia="en-US"/>
              </w:rPr>
            </w:pPr>
            <w:r w:rsidRPr="00523E78">
              <w:rPr>
                <w:rFonts w:eastAsia="Times New Roman"/>
                <w:sz w:val="16"/>
                <w:szCs w:val="16"/>
                <w:lang w:val="es-MX" w:eastAsia="en-US"/>
              </w:rPr>
              <w:t>Comisión Nacional de Áreas Naturales Protegidas</w:t>
            </w:r>
          </w:p>
        </w:tc>
      </w:tr>
      <w:tr w:rsidR="00D72319" w:rsidRPr="0043350C" w14:paraId="5BAE4018" w14:textId="77777777" w:rsidTr="0014275D">
        <w:trPr>
          <w:jc w:val="center"/>
        </w:trPr>
        <w:tc>
          <w:tcPr>
            <w:tcW w:w="2778" w:type="dxa"/>
            <w:gridSpan w:val="3"/>
          </w:tcPr>
          <w:p w14:paraId="34F670F2" w14:textId="77777777" w:rsidR="00D72319" w:rsidRPr="0043350C" w:rsidRDefault="00D72319" w:rsidP="0014275D">
            <w:pPr>
              <w:spacing w:before="20"/>
              <w:rPr>
                <w:b/>
                <w:sz w:val="16"/>
                <w:lang w:val="es-ES"/>
              </w:rPr>
            </w:pPr>
            <w:r w:rsidRPr="0043350C">
              <w:rPr>
                <w:b/>
                <w:sz w:val="16"/>
                <w:lang w:val="es-ES"/>
              </w:rPr>
              <w:t>Responsable:</w:t>
            </w:r>
          </w:p>
        </w:tc>
        <w:tc>
          <w:tcPr>
            <w:tcW w:w="7395" w:type="dxa"/>
            <w:gridSpan w:val="2"/>
          </w:tcPr>
          <w:p w14:paraId="6D57C85B" w14:textId="77777777" w:rsidR="00D72319" w:rsidRPr="0043350C" w:rsidRDefault="00D72319" w:rsidP="0014275D">
            <w:pPr>
              <w:spacing w:before="20"/>
              <w:rPr>
                <w:sz w:val="16"/>
                <w:lang w:val="es-ES"/>
              </w:rPr>
            </w:pPr>
            <w:r w:rsidRPr="0096153B">
              <w:rPr>
                <w:sz w:val="16"/>
                <w:lang w:val="es-ES"/>
              </w:rPr>
              <w:t>Alejandro del Mazo Maza</w:t>
            </w:r>
          </w:p>
        </w:tc>
      </w:tr>
      <w:tr w:rsidR="00D72319" w:rsidRPr="0043350C" w14:paraId="68BC317A" w14:textId="77777777" w:rsidTr="0014275D">
        <w:trPr>
          <w:jc w:val="center"/>
        </w:trPr>
        <w:tc>
          <w:tcPr>
            <w:tcW w:w="2778" w:type="dxa"/>
            <w:gridSpan w:val="3"/>
            <w:tcBorders>
              <w:bottom w:val="single" w:sz="4" w:space="0" w:color="auto"/>
            </w:tcBorders>
            <w:shd w:val="clear" w:color="auto" w:fill="D9D9D9" w:themeFill="background1" w:themeFillShade="D9"/>
          </w:tcPr>
          <w:p w14:paraId="46DDCE6E" w14:textId="77777777" w:rsidR="00D72319" w:rsidRPr="0043350C" w:rsidRDefault="00D72319" w:rsidP="0014275D">
            <w:pPr>
              <w:spacing w:before="20"/>
              <w:rPr>
                <w:b/>
                <w:sz w:val="16"/>
                <w:lang w:val="es-ES"/>
              </w:rPr>
            </w:pPr>
            <w:r w:rsidRPr="0043350C">
              <w:rPr>
                <w:b/>
                <w:sz w:val="16"/>
                <w:lang w:val="es-ES"/>
              </w:rPr>
              <w:t>Tipo de Evaluación:</w:t>
            </w:r>
          </w:p>
        </w:tc>
        <w:tc>
          <w:tcPr>
            <w:tcW w:w="7395" w:type="dxa"/>
            <w:gridSpan w:val="2"/>
            <w:tcBorders>
              <w:bottom w:val="single" w:sz="4" w:space="0" w:color="auto"/>
            </w:tcBorders>
            <w:shd w:val="clear" w:color="auto" w:fill="D9D9D9" w:themeFill="background1" w:themeFillShade="D9"/>
          </w:tcPr>
          <w:p w14:paraId="46453983" w14:textId="77777777" w:rsidR="00D72319" w:rsidRPr="0043350C" w:rsidRDefault="00D72319" w:rsidP="0014275D">
            <w:pPr>
              <w:spacing w:before="20"/>
              <w:rPr>
                <w:sz w:val="16"/>
                <w:lang w:val="es-ES"/>
              </w:rPr>
            </w:pPr>
            <w:r w:rsidRPr="0043350C">
              <w:rPr>
                <w:sz w:val="16"/>
                <w:lang w:val="es-ES"/>
              </w:rPr>
              <w:t>Consistencia y Resultados, PAE 201</w:t>
            </w:r>
            <w:r>
              <w:rPr>
                <w:sz w:val="16"/>
                <w:lang w:val="es-ES"/>
              </w:rPr>
              <w:t>6</w:t>
            </w:r>
          </w:p>
        </w:tc>
      </w:tr>
    </w:tbl>
    <w:p w14:paraId="16C2FBD3" w14:textId="77777777" w:rsidR="00D72319" w:rsidRDefault="00D72319" w:rsidP="00C14BE7"/>
    <w:p w14:paraId="514393B6" w14:textId="77777777" w:rsidR="00C14BE7" w:rsidRPr="0043350C" w:rsidRDefault="00C14BE7" w:rsidP="00C14BE7">
      <w:pPr>
        <w:spacing w:line="250" w:lineRule="exact"/>
        <w:jc w:val="both"/>
        <w:rPr>
          <w:rFonts w:eastAsia="Times New Roman" w:cs="Arial"/>
          <w:b/>
          <w:szCs w:val="20"/>
          <w:lang w:val="es-ES"/>
        </w:rPr>
      </w:pPr>
      <w:r w:rsidRPr="0043350C">
        <w:rPr>
          <w:rFonts w:eastAsia="Times New Roman" w:cs="Arial"/>
          <w:b/>
          <w:szCs w:val="20"/>
          <w:lang w:val="es-ES"/>
        </w:rPr>
        <w:t xml:space="preserve">Descripción del </w:t>
      </w:r>
      <w:proofErr w:type="spellStart"/>
      <w:r w:rsidRPr="0043350C">
        <w:rPr>
          <w:rFonts w:eastAsia="Times New Roman" w:cs="Arial"/>
          <w:b/>
          <w:szCs w:val="20"/>
          <w:lang w:val="es-ES"/>
        </w:rPr>
        <w:t>Pp</w:t>
      </w:r>
      <w:proofErr w:type="spellEnd"/>
    </w:p>
    <w:p w14:paraId="28868097" w14:textId="77777777" w:rsidR="00D72319" w:rsidRDefault="00D72319" w:rsidP="00D72319">
      <w:pPr>
        <w:pStyle w:val="Cdetexto"/>
      </w:pPr>
      <w:r w:rsidRPr="00D1166B">
        <w:t>E</w:t>
      </w:r>
      <w:r>
        <w:t xml:space="preserve">l </w:t>
      </w:r>
      <w:proofErr w:type="spellStart"/>
      <w:r>
        <w:t>Pp</w:t>
      </w:r>
      <w:proofErr w:type="spellEnd"/>
      <w:r>
        <w:t xml:space="preserve"> G013 inició operaciones en 2010. El problema que busca atender es </w:t>
      </w:r>
      <w:r w:rsidRPr="00F155AE">
        <w:t xml:space="preserve">el </w:t>
      </w:r>
      <w:r>
        <w:t>“</w:t>
      </w:r>
      <w:r w:rsidR="00A5192D">
        <w:t>D</w:t>
      </w:r>
      <w:r w:rsidRPr="00F155AE">
        <w:t xml:space="preserve">eterioro de los ecosistemas naturales de México que se manifiesta en la contaminación y sobreexplotación de los </w:t>
      </w:r>
      <w:r w:rsidRPr="00F155AE">
        <w:lastRenderedPageBreak/>
        <w:t>ecosistemas y su biodiversidad, la deforestación y fragmentación de ecosistemas y la transformación del hábitat, que redundan en la pérdida de biodiversidad y ecosistemas representativos y el empobrecimi</w:t>
      </w:r>
      <w:r>
        <w:t>ento de las comunidades locales”.</w:t>
      </w:r>
    </w:p>
    <w:p w14:paraId="4AFFE1AB" w14:textId="77777777" w:rsidR="00D72319" w:rsidRPr="000E01AF" w:rsidRDefault="00D72319" w:rsidP="00D72319">
      <w:pPr>
        <w:pStyle w:val="Cdetexto"/>
      </w:pPr>
      <w:r w:rsidRPr="000E01AF">
        <w:t xml:space="preserve">El fin del </w:t>
      </w:r>
      <w:proofErr w:type="spellStart"/>
      <w:r w:rsidRPr="000E01AF">
        <w:t>Pp</w:t>
      </w:r>
      <w:proofErr w:type="spellEnd"/>
      <w:r w:rsidRPr="000E01AF">
        <w:t xml:space="preserve"> es “Contribuir a recuperar la funcionalidad de cuencas y paisajes a través de la conservación, restauración y aprovechamiento sustentablemente del patrimonio natural mediante las Áreas Naturales Protegidas de competencia federal”.</w:t>
      </w:r>
    </w:p>
    <w:p w14:paraId="55813B88" w14:textId="77777777" w:rsidR="00D72319" w:rsidRDefault="00D72319" w:rsidP="00D72319">
      <w:pPr>
        <w:pStyle w:val="Cdetexto"/>
      </w:pPr>
      <w:r w:rsidRPr="000E01AF">
        <w:t xml:space="preserve">El propósito del </w:t>
      </w:r>
      <w:proofErr w:type="spellStart"/>
      <w:r w:rsidRPr="000E01AF">
        <w:t>Pp</w:t>
      </w:r>
      <w:proofErr w:type="spellEnd"/>
      <w:r w:rsidRPr="000E01AF">
        <w:t xml:space="preserve"> fue definido como “Las Áreas Naturales Protegidas de Competencia Federal fortalecen sus acciones de Protección, Restauración, Manejo, Comunicación y Gestión para la conservación de los</w:t>
      </w:r>
      <w:r w:rsidR="00BB70D8">
        <w:t xml:space="preserve"> ecosistemas naturales del país</w:t>
      </w:r>
      <w:r>
        <w:t>”</w:t>
      </w:r>
      <w:r w:rsidR="00BB70D8">
        <w:t>.</w:t>
      </w:r>
      <w:r w:rsidRPr="000E01AF">
        <w:t xml:space="preserve"> Los componentes del </w:t>
      </w:r>
      <w:proofErr w:type="spellStart"/>
      <w:r w:rsidRPr="000E01AF">
        <w:t>Pp</w:t>
      </w:r>
      <w:proofErr w:type="spellEnd"/>
      <w:r w:rsidRPr="000E01AF">
        <w:t xml:space="preserve"> son cuatro y se enuncian a continuación: </w:t>
      </w:r>
      <w:r>
        <w:t xml:space="preserve">1) </w:t>
      </w:r>
      <w:r w:rsidR="00BB70D8">
        <w:t>“</w:t>
      </w:r>
      <w:r w:rsidRPr="000E01AF">
        <w:t>Prevención y detección de ilícitos ambientales en las Áreas Naturales Protegidas d</w:t>
      </w:r>
      <w:r>
        <w:t>e competencia federal realizada</w:t>
      </w:r>
      <w:r w:rsidR="00BB70D8">
        <w:t>”</w:t>
      </w:r>
      <w:r w:rsidRPr="000E01AF">
        <w:t xml:space="preserve">, </w:t>
      </w:r>
      <w:r>
        <w:t xml:space="preserve">2) </w:t>
      </w:r>
      <w:r w:rsidR="00BB70D8">
        <w:t>“</w:t>
      </w:r>
      <w:r>
        <w:t>E</w:t>
      </w:r>
      <w:r w:rsidRPr="000E01AF">
        <w:t>cosistemas de Áreas Naturales Protegidas de competencia federal restaurados</w:t>
      </w:r>
      <w:r w:rsidR="00BB70D8">
        <w:t>”</w:t>
      </w:r>
      <w:r>
        <w:t xml:space="preserve">, 3) </w:t>
      </w:r>
      <w:r w:rsidR="00BB70D8">
        <w:t>“</w:t>
      </w:r>
      <w:r w:rsidRPr="000E01AF">
        <w:t>Personas en Áreas Naturales Protegidas de competencia federa</w:t>
      </w:r>
      <w:r>
        <w:t>l informadas y/o sensibilizadas</w:t>
      </w:r>
      <w:r w:rsidR="00BB70D8">
        <w:t>”</w:t>
      </w:r>
      <w:r w:rsidRPr="000E01AF">
        <w:t xml:space="preserve"> y 4) </w:t>
      </w:r>
      <w:r w:rsidR="00BB70D8">
        <w:t>“</w:t>
      </w:r>
      <w:r w:rsidRPr="000E01AF">
        <w:t>Infraestructura en Áreas Naturales Protegidas de competencia federal para la atención de visitantes instalada</w:t>
      </w:r>
      <w:r w:rsidR="00BB70D8">
        <w:t>”</w:t>
      </w:r>
      <w:r>
        <w:t>.</w:t>
      </w:r>
    </w:p>
    <w:p w14:paraId="59D5A526" w14:textId="77777777" w:rsidR="00D72319" w:rsidRDefault="00D72319" w:rsidP="00D72319">
      <w:pPr>
        <w:pStyle w:val="Cdetexto"/>
      </w:pPr>
      <w:r>
        <w:t xml:space="preserve">El </w:t>
      </w:r>
      <w:proofErr w:type="spellStart"/>
      <w:r>
        <w:t>AEPo</w:t>
      </w:r>
      <w:proofErr w:type="spellEnd"/>
      <w:r>
        <w:t xml:space="preserve"> y el AEO</w:t>
      </w:r>
      <w:r w:rsidRPr="003D5E78">
        <w:t xml:space="preserve"> </w:t>
      </w:r>
      <w:r>
        <w:t xml:space="preserve">no se encuentran definidas, en virtud de que se carece de un documento </w:t>
      </w:r>
      <w:r w:rsidR="00BB70D8">
        <w:t xml:space="preserve">de </w:t>
      </w:r>
      <w:r>
        <w:t xml:space="preserve">diagnóstico. Sin embargo, del análisis de la MIR y de las fichas de indicadores se deduce que el </w:t>
      </w:r>
      <w:proofErr w:type="spellStart"/>
      <w:r>
        <w:t>AEPo</w:t>
      </w:r>
      <w:proofErr w:type="spellEnd"/>
      <w:r>
        <w:t xml:space="preserve"> son</w:t>
      </w:r>
      <w:r w:rsidRPr="003D5E78">
        <w:t xml:space="preserve"> </w:t>
      </w:r>
      <w:r w:rsidRPr="00F155AE">
        <w:t xml:space="preserve">las Áreas Naturales Protegidas </w:t>
      </w:r>
      <w:r w:rsidR="00BB70D8" w:rsidRPr="00F155AE">
        <w:t>(ANP)</w:t>
      </w:r>
      <w:r w:rsidR="00BB70D8">
        <w:t xml:space="preserve"> </w:t>
      </w:r>
      <w:r w:rsidRPr="00F155AE">
        <w:t>de</w:t>
      </w:r>
      <w:r>
        <w:t>cretadas de competencia federal.</w:t>
      </w:r>
    </w:p>
    <w:p w14:paraId="742D8D5A" w14:textId="77777777" w:rsidR="00D72319" w:rsidRPr="0043350C" w:rsidRDefault="00BB70D8" w:rsidP="00D72319">
      <w:pPr>
        <w:pStyle w:val="Cdetexto"/>
      </w:pPr>
      <w:r>
        <w:t>E</w:t>
      </w:r>
      <w:r w:rsidR="00D72319" w:rsidRPr="004D0325">
        <w:t xml:space="preserve">l </w:t>
      </w:r>
      <w:proofErr w:type="spellStart"/>
      <w:r w:rsidR="00D72319" w:rsidRPr="004D0325">
        <w:t>Pp</w:t>
      </w:r>
      <w:proofErr w:type="spellEnd"/>
      <w:r w:rsidR="00D72319" w:rsidRPr="004D0325">
        <w:t xml:space="preserve"> se vincula con el PND a través de </w:t>
      </w:r>
      <w:r w:rsidR="00D72319" w:rsidRPr="00807A92">
        <w:t>la Meta Nacional IV. México</w:t>
      </w:r>
      <w:r w:rsidR="00D72319" w:rsidRPr="004D0325">
        <w:t xml:space="preserve"> Pr</w:t>
      </w:r>
      <w:r w:rsidR="00D72319" w:rsidRPr="00D1166B">
        <w:t>óspero</w:t>
      </w:r>
      <w:r w:rsidR="00D72319" w:rsidRPr="0043350C">
        <w:t xml:space="preserve">, Objetivo </w:t>
      </w:r>
      <w:r w:rsidR="00D72319" w:rsidRPr="00A516C5">
        <w:t>4.4. Impulsar y orientar un crecimiento verde incluyente y facilitador que preserve nuestro patrimonio natural al mismo tiempo que genere r</w:t>
      </w:r>
      <w:r w:rsidR="00D72319">
        <w:t>iqueza, competitividad y empleo</w:t>
      </w:r>
      <w:r w:rsidR="00D72319" w:rsidRPr="0043350C">
        <w:t xml:space="preserve">. </w:t>
      </w:r>
      <w:r w:rsidR="00D72319" w:rsidRPr="004D0325">
        <w:t xml:space="preserve">Asimismo, el </w:t>
      </w:r>
      <w:proofErr w:type="spellStart"/>
      <w:r w:rsidR="00D72319" w:rsidRPr="004D0325">
        <w:t>Pp</w:t>
      </w:r>
      <w:proofErr w:type="spellEnd"/>
      <w:r w:rsidR="00D72319" w:rsidRPr="004D0325">
        <w:t xml:space="preserve"> </w:t>
      </w:r>
      <w:r w:rsidR="00D72319">
        <w:t xml:space="preserve">está alineado al </w:t>
      </w:r>
      <w:r w:rsidR="00D72319" w:rsidRPr="00A516C5">
        <w:t>Programa Sectorial de Medio Ambiente y Recursos Naturales 2013-2018</w:t>
      </w:r>
      <w:r w:rsidR="00B31257">
        <w:t xml:space="preserve"> (PROMARNAT)</w:t>
      </w:r>
      <w:r w:rsidR="00D72319">
        <w:t>,</w:t>
      </w:r>
      <w:r w:rsidR="00D72319" w:rsidRPr="00A516C5">
        <w:t xml:space="preserve"> </w:t>
      </w:r>
      <w:r w:rsidR="00D72319">
        <w:t>a través del Objetivo 4.</w:t>
      </w:r>
      <w:r w:rsidR="00D72319" w:rsidRPr="00D1166B">
        <w:t xml:space="preserve"> </w:t>
      </w:r>
      <w:r w:rsidR="00D72319" w:rsidRPr="00A516C5">
        <w:t>Recuperar la funcionalidad de cuencas y paisajes a través de la conservación, restauración y aprovechamiento sustentablemente del patrimonio natural</w:t>
      </w:r>
      <w:r w:rsidR="00D72319">
        <w:t>.</w:t>
      </w:r>
    </w:p>
    <w:p w14:paraId="12949AC7" w14:textId="77777777" w:rsidR="00C14BE7" w:rsidRPr="0043350C" w:rsidRDefault="00C14BE7" w:rsidP="00C14BE7">
      <w:pPr>
        <w:spacing w:line="250" w:lineRule="exact"/>
        <w:jc w:val="both"/>
        <w:rPr>
          <w:rFonts w:eastAsia="Times New Roman" w:cs="Arial"/>
          <w:b/>
          <w:szCs w:val="20"/>
          <w:lang w:val="es-ES"/>
        </w:rPr>
      </w:pPr>
      <w:r w:rsidRPr="0043350C">
        <w:rPr>
          <w:rFonts w:eastAsia="Times New Roman" w:cs="Arial"/>
          <w:b/>
          <w:szCs w:val="20"/>
          <w:lang w:val="es-ES"/>
        </w:rPr>
        <w:t>Principales Hallazgos</w:t>
      </w:r>
    </w:p>
    <w:p w14:paraId="6A02791D" w14:textId="77777777" w:rsidR="00C14BE7" w:rsidRPr="0043350C" w:rsidRDefault="00C14BE7" w:rsidP="00C14BE7">
      <w:pPr>
        <w:spacing w:line="250" w:lineRule="exact"/>
        <w:jc w:val="both"/>
        <w:rPr>
          <w:i/>
          <w:lang w:val="es-ES"/>
        </w:rPr>
      </w:pPr>
      <w:r w:rsidRPr="0043350C">
        <w:rPr>
          <w:i/>
          <w:lang w:val="es-ES"/>
        </w:rPr>
        <w:t>Diseño:</w:t>
      </w:r>
    </w:p>
    <w:p w14:paraId="7BED4FE8" w14:textId="77777777" w:rsidR="007D62CE" w:rsidRPr="0043350C" w:rsidRDefault="00D72319" w:rsidP="007D62CE">
      <w:pPr>
        <w:pStyle w:val="Cdetexto"/>
      </w:pPr>
      <w:r>
        <w:t>No se cuenta con documentos oficiales donde se plasme de manera explícita el diagnóstico del problema identificado, así como el resumen narrativo de su MIR.</w:t>
      </w:r>
    </w:p>
    <w:p w14:paraId="5A1F7995" w14:textId="77777777" w:rsidR="00C14BE7" w:rsidRPr="0043350C" w:rsidRDefault="00C14BE7" w:rsidP="00C14BE7">
      <w:pPr>
        <w:spacing w:line="250" w:lineRule="exact"/>
        <w:jc w:val="both"/>
        <w:rPr>
          <w:i/>
          <w:lang w:val="es-ES"/>
        </w:rPr>
      </w:pPr>
      <w:r w:rsidRPr="0043350C">
        <w:rPr>
          <w:i/>
          <w:lang w:val="es-ES"/>
        </w:rPr>
        <w:t>Planeación y Orientación a Resultados:</w:t>
      </w:r>
    </w:p>
    <w:p w14:paraId="04881E2D" w14:textId="77777777" w:rsidR="00C14BE7" w:rsidRPr="0043350C" w:rsidRDefault="00D72319" w:rsidP="00C14BE7">
      <w:pPr>
        <w:pStyle w:val="Cdetexto"/>
      </w:pPr>
      <w:r w:rsidRPr="00B32B8D">
        <w:t xml:space="preserve">El </w:t>
      </w:r>
      <w:proofErr w:type="spellStart"/>
      <w:r w:rsidRPr="00B32B8D">
        <w:t>Pp</w:t>
      </w:r>
      <w:proofErr w:type="spellEnd"/>
      <w:r w:rsidRPr="00B32B8D">
        <w:t xml:space="preserve"> </w:t>
      </w:r>
      <w:r>
        <w:t>cuenta con un plan estratégico</w:t>
      </w:r>
      <w:r w:rsidR="00955645">
        <w:t>, el cual se integró como</w:t>
      </w:r>
      <w:r>
        <w:t xml:space="preserve"> resultado de un </w:t>
      </w:r>
      <w:r w:rsidRPr="00A516C5">
        <w:t>proceso de planeación institucionalizado</w:t>
      </w:r>
      <w:r>
        <w:t xml:space="preserve"> que busca </w:t>
      </w:r>
      <w:r w:rsidRPr="00A516C5">
        <w:t xml:space="preserve">identificar factores que obstaculizan o </w:t>
      </w:r>
      <w:r>
        <w:t xml:space="preserve">facilitan la tarea institucional. Asimismo, cada ANP debe elaborar su Programa Operativo Anual (POA) </w:t>
      </w:r>
      <w:r w:rsidR="00BB70D8">
        <w:t>con</w:t>
      </w:r>
      <w:r>
        <w:t xml:space="preserve"> base </w:t>
      </w:r>
      <w:r w:rsidR="00BB70D8">
        <w:t>en</w:t>
      </w:r>
      <w:r>
        <w:t xml:space="preserve"> techos presupuestarios alineados con el propósito, los componentes y las a</w:t>
      </w:r>
      <w:r w:rsidRPr="00A516C5">
        <w:t>ctivid</w:t>
      </w:r>
      <w:r>
        <w:t xml:space="preserve">ades </w:t>
      </w:r>
      <w:r w:rsidR="00BB70D8">
        <w:t xml:space="preserve">de la MIR </w:t>
      </w:r>
      <w:r>
        <w:t>del Pp.</w:t>
      </w:r>
    </w:p>
    <w:p w14:paraId="74FA5E0A" w14:textId="77777777" w:rsidR="00C14BE7" w:rsidRPr="0043350C" w:rsidRDefault="00C14BE7" w:rsidP="00C14BE7">
      <w:pPr>
        <w:spacing w:before="240" w:line="250" w:lineRule="exact"/>
        <w:jc w:val="both"/>
        <w:rPr>
          <w:i/>
          <w:lang w:val="es-ES"/>
        </w:rPr>
      </w:pPr>
      <w:r w:rsidRPr="0043350C">
        <w:rPr>
          <w:i/>
          <w:szCs w:val="22"/>
        </w:rPr>
        <w:t>Cobertura y Focalización:</w:t>
      </w:r>
    </w:p>
    <w:p w14:paraId="43F6A097" w14:textId="77777777" w:rsidR="00C14BE7" w:rsidRPr="0043350C" w:rsidRDefault="00D72319" w:rsidP="00C14BE7">
      <w:pPr>
        <w:pStyle w:val="Cdetexto"/>
      </w:pPr>
      <w:r>
        <w:t xml:space="preserve">Si bien se cuenta con bases de datos con información relativa a las ANP como </w:t>
      </w:r>
      <w:proofErr w:type="spellStart"/>
      <w:r>
        <w:t>AEPo</w:t>
      </w:r>
      <w:proofErr w:type="spellEnd"/>
      <w:r>
        <w:t>, no existe una estrategia de cobertura; los recursos presupuesta</w:t>
      </w:r>
      <w:r w:rsidR="00955645">
        <w:t>rio</w:t>
      </w:r>
      <w:r>
        <w:t xml:space="preserve">s se distribuyen </w:t>
      </w:r>
      <w:r w:rsidR="00BB70D8">
        <w:t>con</w:t>
      </w:r>
      <w:r>
        <w:t xml:space="preserve"> base </w:t>
      </w:r>
      <w:r w:rsidR="00BB70D8">
        <w:t>en</w:t>
      </w:r>
      <w:r>
        <w:t xml:space="preserve"> los requerimientos de las ANP y se asignan metas anuales a las que se les da seguimiento.</w:t>
      </w:r>
    </w:p>
    <w:p w14:paraId="677B9D8A" w14:textId="77777777" w:rsidR="00C14BE7" w:rsidRDefault="00C14BE7" w:rsidP="00C14BE7">
      <w:pPr>
        <w:spacing w:before="240" w:line="250" w:lineRule="exact"/>
        <w:contextualSpacing/>
        <w:jc w:val="both"/>
        <w:rPr>
          <w:i/>
          <w:szCs w:val="18"/>
        </w:rPr>
      </w:pPr>
      <w:r w:rsidRPr="0043350C">
        <w:rPr>
          <w:i/>
          <w:szCs w:val="18"/>
        </w:rPr>
        <w:t>Operación:</w:t>
      </w:r>
    </w:p>
    <w:p w14:paraId="0C57AB6D" w14:textId="77777777" w:rsidR="00D72319" w:rsidRDefault="00D72319" w:rsidP="00D72319">
      <w:pPr>
        <w:pStyle w:val="Cdetexto"/>
      </w:pPr>
      <w:r>
        <w:t xml:space="preserve">El </w:t>
      </w:r>
      <w:proofErr w:type="spellStart"/>
      <w:r>
        <w:t>Pp</w:t>
      </w:r>
      <w:proofErr w:type="spellEnd"/>
      <w:r>
        <w:t xml:space="preserve"> cuenta con un sistema que registra e</w:t>
      </w:r>
      <w:r w:rsidRPr="00A70E19">
        <w:t>l inicio del ejercicio</w:t>
      </w:r>
      <w:r>
        <w:t xml:space="preserve"> de</w:t>
      </w:r>
      <w:r w:rsidRPr="00A70E19">
        <w:t xml:space="preserve"> las actividades, </w:t>
      </w:r>
      <w:r>
        <w:t xml:space="preserve">así como las </w:t>
      </w:r>
      <w:r w:rsidRPr="00A70E19">
        <w:t xml:space="preserve">unidades de medida, descripciones específicas, medios de verificación, y la dimensión de las </w:t>
      </w:r>
      <w:r w:rsidRPr="00A70E19">
        <w:lastRenderedPageBreak/>
        <w:t xml:space="preserve">actividades </w:t>
      </w:r>
      <w:r>
        <w:t xml:space="preserve">y metas a realizar mediante los POA, sin embargo dicha información no permite conocer la demanda total </w:t>
      </w:r>
      <w:r w:rsidRPr="005B75D6">
        <w:t>de cada componente.</w:t>
      </w:r>
    </w:p>
    <w:p w14:paraId="1A58247B" w14:textId="77777777" w:rsidR="00D72319" w:rsidRDefault="00D72319" w:rsidP="00D72319">
      <w:pPr>
        <w:pStyle w:val="Cdetexto"/>
      </w:pPr>
      <w:r>
        <w:t xml:space="preserve">No existe un manual de procedimientos con los </w:t>
      </w:r>
      <w:r w:rsidRPr="005B75D6">
        <w:t>mecanismos para verificar los procedimientos de recepción, registro y trámite de las</w:t>
      </w:r>
      <w:r w:rsidR="00BB70D8">
        <w:t xml:space="preserve"> solicitudes de cada componente;</w:t>
      </w:r>
      <w:r w:rsidRPr="005B75D6">
        <w:t xml:space="preserve"> </w:t>
      </w:r>
      <w:r>
        <w:t>sin embargo</w:t>
      </w:r>
      <w:r w:rsidR="00BB70D8">
        <w:t>,</w:t>
      </w:r>
      <w:r>
        <w:t xml:space="preserve"> se cuenta con un sistema informático que lleva el registro e información sobre el trámite de las </w:t>
      </w:r>
      <w:r w:rsidR="00BB70D8">
        <w:t>solicitudes de cada componente.</w:t>
      </w:r>
    </w:p>
    <w:p w14:paraId="427C38C8" w14:textId="77777777" w:rsidR="00D72319" w:rsidRDefault="00D72319" w:rsidP="00D72319">
      <w:pPr>
        <w:pStyle w:val="Cdetexto"/>
      </w:pPr>
      <w:r>
        <w:t>De manera trimestral se lleva a cabo un reporte de la información registrada en el sistema informático, donde se presentan las metas programadas y el avance de las mismas.</w:t>
      </w:r>
    </w:p>
    <w:p w14:paraId="329B300B" w14:textId="77777777" w:rsidR="00C14BE7" w:rsidRPr="0043350C" w:rsidRDefault="00C14BE7" w:rsidP="00C14BE7">
      <w:pPr>
        <w:pStyle w:val="Cdetexto"/>
      </w:pPr>
      <w:r w:rsidRPr="0043350C">
        <w:rPr>
          <w:i/>
          <w:szCs w:val="22"/>
        </w:rPr>
        <w:t>Percepción de la Población Atendida:</w:t>
      </w:r>
    </w:p>
    <w:p w14:paraId="068ED23E" w14:textId="77777777" w:rsidR="00C11D28" w:rsidRDefault="00D72319" w:rsidP="00C11D28">
      <w:pPr>
        <w:pStyle w:val="Cdetexto"/>
      </w:pPr>
      <w:r w:rsidRPr="00B32B8D">
        <w:t xml:space="preserve">El </w:t>
      </w:r>
      <w:proofErr w:type="spellStart"/>
      <w:r w:rsidRPr="00B32B8D">
        <w:t>Pp</w:t>
      </w:r>
      <w:proofErr w:type="spellEnd"/>
      <w:r w:rsidRPr="00B32B8D">
        <w:t xml:space="preserve"> </w:t>
      </w:r>
      <w:r>
        <w:t>G013</w:t>
      </w:r>
      <w:r w:rsidRPr="00B32B8D">
        <w:t xml:space="preserve"> no cuenta con instrumentos para medir el grado de satisfacción del </w:t>
      </w:r>
      <w:r>
        <w:t>AEA</w:t>
      </w:r>
      <w:r w:rsidRPr="00B32B8D">
        <w:t>.</w:t>
      </w:r>
    </w:p>
    <w:p w14:paraId="30244980" w14:textId="77777777" w:rsidR="00C14BE7" w:rsidRPr="0043350C" w:rsidRDefault="00C14BE7" w:rsidP="00C14BE7">
      <w:pPr>
        <w:pStyle w:val="Cdetexto"/>
        <w:rPr>
          <w:i/>
          <w:szCs w:val="22"/>
        </w:rPr>
      </w:pPr>
      <w:r w:rsidRPr="0043350C">
        <w:rPr>
          <w:i/>
          <w:szCs w:val="22"/>
        </w:rPr>
        <w:t>Medición de Resultados:</w:t>
      </w:r>
    </w:p>
    <w:p w14:paraId="7B247715" w14:textId="77777777" w:rsidR="00C14BE7" w:rsidRPr="0043350C" w:rsidRDefault="00D72319" w:rsidP="00C14BE7">
      <w:pPr>
        <w:pStyle w:val="Cdetexto"/>
      </w:pPr>
      <w:r>
        <w:t xml:space="preserve">La evaluación no presenta información sobre los resultados obtenidos por el </w:t>
      </w:r>
      <w:proofErr w:type="spellStart"/>
      <w:r>
        <w:t>Pp</w:t>
      </w:r>
      <w:proofErr w:type="spellEnd"/>
      <w:r>
        <w:t>, en virtud de que la información disponible es hasta el tercer trimestre y no incluye información relativa a avances a nivel fin y propósito.</w:t>
      </w:r>
    </w:p>
    <w:p w14:paraId="40F95AB0" w14:textId="77777777" w:rsidR="00C14BE7" w:rsidRPr="0043350C" w:rsidRDefault="00C14BE7" w:rsidP="00C14BE7">
      <w:pPr>
        <w:spacing w:line="250" w:lineRule="exact"/>
        <w:jc w:val="both"/>
        <w:rPr>
          <w:rFonts w:eastAsia="Times New Roman" w:cs="Arial"/>
          <w:b/>
          <w:szCs w:val="20"/>
          <w:lang w:val="es-ES"/>
        </w:rPr>
      </w:pPr>
      <w:r w:rsidRPr="0043350C">
        <w:rPr>
          <w:rFonts w:eastAsia="Times New Roman" w:cs="Arial"/>
          <w:b/>
          <w:szCs w:val="20"/>
          <w:lang w:val="es-ES"/>
        </w:rPr>
        <w:t>Principales Recomendaciones</w:t>
      </w:r>
    </w:p>
    <w:p w14:paraId="3918E7BB" w14:textId="77777777" w:rsidR="00D72319" w:rsidRDefault="00D72319" w:rsidP="00D72319">
      <w:pPr>
        <w:pStyle w:val="Bala"/>
        <w:numPr>
          <w:ilvl w:val="0"/>
          <w:numId w:val="1"/>
        </w:numPr>
        <w:ind w:left="357" w:hanging="357"/>
      </w:pPr>
      <w:r>
        <w:t xml:space="preserve">Elaborar un diagnóstico donde se analice a detalle el problema, se caracterice y defina al </w:t>
      </w:r>
      <w:proofErr w:type="spellStart"/>
      <w:r>
        <w:t>AEPo</w:t>
      </w:r>
      <w:proofErr w:type="spellEnd"/>
      <w:r>
        <w:t xml:space="preserve"> y al AEO, así como </w:t>
      </w:r>
      <w:r w:rsidRPr="00982C61">
        <w:t>la meto</w:t>
      </w:r>
      <w:r>
        <w:t>dología para su cuantificación. Asimismo, dicho diagnóstico debe incluir</w:t>
      </w:r>
      <w:r w:rsidRPr="00982C61">
        <w:t xml:space="preserve"> la justificación teórica y la evidencia empírica que sustenta el tipo de intervención que</w:t>
      </w:r>
      <w:r>
        <w:t xml:space="preserve"> </w:t>
      </w:r>
      <w:r w:rsidR="00187E08">
        <w:t xml:space="preserve">el </w:t>
      </w:r>
      <w:proofErr w:type="spellStart"/>
      <w:r w:rsidR="00187E08">
        <w:t>Pp</w:t>
      </w:r>
      <w:proofErr w:type="spellEnd"/>
      <w:r>
        <w:t xml:space="preserve"> </w:t>
      </w:r>
      <w:r w:rsidRPr="00982C61">
        <w:t>lleva a cabo</w:t>
      </w:r>
      <w:r>
        <w:t>.</w:t>
      </w:r>
    </w:p>
    <w:p w14:paraId="0B7EC9F4" w14:textId="77777777" w:rsidR="00D72319" w:rsidRDefault="00D72319" w:rsidP="00D72319">
      <w:pPr>
        <w:pStyle w:val="Bala"/>
        <w:numPr>
          <w:ilvl w:val="0"/>
          <w:numId w:val="1"/>
        </w:numPr>
        <w:ind w:left="357" w:hanging="357"/>
      </w:pPr>
      <w:r>
        <w:t>Elaborar una estrategia de cobertura de mediano y largo plazo</w:t>
      </w:r>
      <w:r w:rsidR="00B31257">
        <w:t>s</w:t>
      </w:r>
      <w:r>
        <w:t xml:space="preserve"> que contemple el presupuesto requerido para la atención de las necesidades de las ANP.</w:t>
      </w:r>
    </w:p>
    <w:p w14:paraId="1A164107" w14:textId="77777777" w:rsidR="00D72319" w:rsidRDefault="00D72319" w:rsidP="00D72319">
      <w:pPr>
        <w:pStyle w:val="Bala"/>
        <w:numPr>
          <w:ilvl w:val="0"/>
          <w:numId w:val="1"/>
        </w:numPr>
        <w:ind w:left="357" w:hanging="357"/>
      </w:pPr>
      <w:r>
        <w:t xml:space="preserve">Elaborar manuales de procedimientos y </w:t>
      </w:r>
      <w:r w:rsidR="00D25B83">
        <w:t xml:space="preserve">de </w:t>
      </w:r>
      <w:r>
        <w:t>procesos que</w:t>
      </w:r>
      <w:r w:rsidRPr="00982C61">
        <w:t xml:space="preserve"> </w:t>
      </w:r>
      <w:r>
        <w:t>incluyan</w:t>
      </w:r>
      <w:r w:rsidRPr="00982C61">
        <w:t xml:space="preserve"> información que permita conocer la demanda total de cada componente y las características específicas </w:t>
      </w:r>
      <w:r w:rsidR="00B31257">
        <w:t>del área de enfoque</w:t>
      </w:r>
      <w:r>
        <w:t xml:space="preserve"> solicitante, así como los mecanismos de verificación de los procedimientos.</w:t>
      </w:r>
    </w:p>
    <w:p w14:paraId="62C96389" w14:textId="77777777" w:rsidR="00C14BE7" w:rsidRPr="0043350C" w:rsidRDefault="00C14BE7" w:rsidP="00C14BE7">
      <w:pPr>
        <w:pStyle w:val="Bala"/>
        <w:ind w:left="357" w:hanging="357"/>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C14BE7" w:rsidRPr="0043350C" w14:paraId="4B3D7B7E" w14:textId="77777777" w:rsidTr="00C14BE7">
        <w:tc>
          <w:tcPr>
            <w:tcW w:w="749" w:type="pct"/>
            <w:vAlign w:val="center"/>
          </w:tcPr>
          <w:p w14:paraId="62FC6F3C" w14:textId="77777777" w:rsidR="00C14BE7" w:rsidRPr="0043350C" w:rsidRDefault="00C14BE7" w:rsidP="00C14BE7">
            <w:pPr>
              <w:spacing w:before="20" w:after="0"/>
              <w:ind w:left="170"/>
              <w:rPr>
                <w:b/>
                <w:sz w:val="16"/>
                <w:lang w:val="es-ES"/>
              </w:rPr>
            </w:pPr>
            <w:r w:rsidRPr="0043350C">
              <w:rPr>
                <w:b/>
                <w:sz w:val="16"/>
                <w:lang w:val="es-ES"/>
              </w:rPr>
              <w:t>Evaluador Externo:</w:t>
            </w:r>
          </w:p>
        </w:tc>
        <w:tc>
          <w:tcPr>
            <w:tcW w:w="4251" w:type="pct"/>
            <w:gridSpan w:val="3"/>
          </w:tcPr>
          <w:p w14:paraId="0944434A" w14:textId="77777777" w:rsidR="00C14BE7" w:rsidRPr="0043350C" w:rsidRDefault="00C14BE7" w:rsidP="00C14BE7">
            <w:pPr>
              <w:spacing w:before="20" w:after="0"/>
              <w:ind w:left="113"/>
              <w:rPr>
                <w:sz w:val="16"/>
                <w:lang w:val="es-ES"/>
              </w:rPr>
            </w:pPr>
            <w:r w:rsidRPr="0043350C">
              <w:rPr>
                <w:sz w:val="16"/>
                <w:lang w:val="es-ES"/>
              </w:rPr>
              <w:t xml:space="preserve">1. Instancia Evaluadora: </w:t>
            </w:r>
            <w:r w:rsidR="00D72319" w:rsidRPr="00ED0C6E">
              <w:rPr>
                <w:sz w:val="16"/>
                <w:lang w:val="es-ES"/>
              </w:rPr>
              <w:t xml:space="preserve">José Israel Núñez </w:t>
            </w:r>
            <w:proofErr w:type="spellStart"/>
            <w:r w:rsidR="00D72319" w:rsidRPr="00ED0C6E">
              <w:rPr>
                <w:sz w:val="16"/>
                <w:lang w:val="es-ES"/>
              </w:rPr>
              <w:t>Birrueta</w:t>
            </w:r>
            <w:proofErr w:type="spellEnd"/>
          </w:p>
          <w:p w14:paraId="1AD63657" w14:textId="77777777" w:rsidR="00C14BE7" w:rsidRPr="0043350C" w:rsidRDefault="00C14BE7" w:rsidP="00C14BE7">
            <w:pPr>
              <w:spacing w:before="20" w:after="0"/>
              <w:ind w:left="113"/>
              <w:rPr>
                <w:sz w:val="16"/>
                <w:lang w:val="es-ES"/>
              </w:rPr>
            </w:pPr>
            <w:r w:rsidRPr="0043350C">
              <w:rPr>
                <w:sz w:val="16"/>
                <w:lang w:val="es-ES"/>
              </w:rPr>
              <w:t xml:space="preserve">2. Coordinador de la Evaluación: </w:t>
            </w:r>
            <w:r w:rsidR="00D72319" w:rsidRPr="00ED0C6E">
              <w:rPr>
                <w:sz w:val="16"/>
                <w:lang w:val="es-ES"/>
              </w:rPr>
              <w:t xml:space="preserve">José Israel Núñez </w:t>
            </w:r>
            <w:proofErr w:type="spellStart"/>
            <w:r w:rsidR="00D72319" w:rsidRPr="00ED0C6E">
              <w:rPr>
                <w:sz w:val="16"/>
                <w:lang w:val="es-ES"/>
              </w:rPr>
              <w:t>Birrueta</w:t>
            </w:r>
            <w:proofErr w:type="spellEnd"/>
          </w:p>
          <w:p w14:paraId="26EF73E2" w14:textId="77777777" w:rsidR="00C14BE7" w:rsidRPr="0043350C" w:rsidRDefault="00C14BE7" w:rsidP="00881F37">
            <w:pPr>
              <w:spacing w:before="20" w:after="0"/>
              <w:ind w:left="113"/>
              <w:rPr>
                <w:sz w:val="16"/>
                <w:lang w:val="es-ES"/>
              </w:rPr>
            </w:pPr>
            <w:r w:rsidRPr="0043350C">
              <w:rPr>
                <w:sz w:val="16"/>
                <w:lang w:val="es-ES"/>
              </w:rPr>
              <w:t xml:space="preserve">3. Forma de contratación: </w:t>
            </w:r>
            <w:r w:rsidR="00881F37">
              <w:rPr>
                <w:sz w:val="16"/>
                <w:lang w:val="es-ES"/>
              </w:rPr>
              <w:t>Adjudicación Directa</w:t>
            </w:r>
          </w:p>
        </w:tc>
      </w:tr>
      <w:tr w:rsidR="00C14BE7" w:rsidRPr="0043350C" w14:paraId="2E7994FB" w14:textId="77777777" w:rsidTr="00C14BE7">
        <w:tc>
          <w:tcPr>
            <w:tcW w:w="749" w:type="pct"/>
            <w:vAlign w:val="center"/>
          </w:tcPr>
          <w:p w14:paraId="10B77B2D" w14:textId="77777777" w:rsidR="00C14BE7" w:rsidRPr="0043350C" w:rsidRDefault="00C14BE7" w:rsidP="00C14BE7">
            <w:pPr>
              <w:spacing w:before="20" w:after="0"/>
              <w:ind w:left="170"/>
              <w:rPr>
                <w:b/>
                <w:sz w:val="16"/>
                <w:lang w:val="es-ES"/>
              </w:rPr>
            </w:pPr>
          </w:p>
        </w:tc>
        <w:tc>
          <w:tcPr>
            <w:tcW w:w="4251" w:type="pct"/>
            <w:gridSpan w:val="3"/>
          </w:tcPr>
          <w:p w14:paraId="69FD1E20" w14:textId="77777777" w:rsidR="00C14BE7" w:rsidRPr="0043350C" w:rsidRDefault="00C14BE7" w:rsidP="00C14BE7">
            <w:pPr>
              <w:spacing w:before="20" w:after="0"/>
              <w:ind w:left="113"/>
              <w:rPr>
                <w:sz w:val="16"/>
                <w:lang w:val="es-ES"/>
              </w:rPr>
            </w:pPr>
          </w:p>
        </w:tc>
      </w:tr>
      <w:tr w:rsidR="00C14BE7" w:rsidRPr="0043350C" w14:paraId="12EAA74B" w14:textId="77777777" w:rsidTr="00073753">
        <w:tc>
          <w:tcPr>
            <w:tcW w:w="749" w:type="pct"/>
            <w:vAlign w:val="center"/>
          </w:tcPr>
          <w:p w14:paraId="0955357B" w14:textId="77777777" w:rsidR="00C14BE7" w:rsidRPr="0043350C" w:rsidRDefault="00C14BE7" w:rsidP="00073753">
            <w:pPr>
              <w:spacing w:before="20" w:after="0"/>
              <w:ind w:left="170"/>
              <w:rPr>
                <w:b/>
                <w:sz w:val="16"/>
                <w:lang w:val="es-ES"/>
              </w:rPr>
            </w:pPr>
            <w:r w:rsidRPr="0043350C">
              <w:rPr>
                <w:b/>
                <w:sz w:val="16"/>
                <w:lang w:val="es-ES"/>
              </w:rPr>
              <w:t>Costo:</w:t>
            </w:r>
          </w:p>
        </w:tc>
        <w:tc>
          <w:tcPr>
            <w:tcW w:w="1113" w:type="pct"/>
            <w:vAlign w:val="center"/>
          </w:tcPr>
          <w:p w14:paraId="24F1706C" w14:textId="77777777" w:rsidR="00C14BE7" w:rsidRPr="0043350C" w:rsidRDefault="00C14BE7" w:rsidP="00D72319">
            <w:pPr>
              <w:spacing w:before="20" w:after="0"/>
              <w:ind w:left="113"/>
              <w:rPr>
                <w:sz w:val="16"/>
                <w:lang w:val="es-ES"/>
              </w:rPr>
            </w:pPr>
            <w:r w:rsidRPr="0043350C">
              <w:rPr>
                <w:sz w:val="16"/>
                <w:lang w:val="es-ES"/>
              </w:rPr>
              <w:t>$</w:t>
            </w:r>
            <w:r w:rsidR="00D72319">
              <w:rPr>
                <w:sz w:val="16"/>
                <w:lang w:val="es-ES"/>
              </w:rPr>
              <w:t>179</w:t>
            </w:r>
            <w:r w:rsidR="00881F37">
              <w:rPr>
                <w:sz w:val="16"/>
                <w:lang w:val="es-ES"/>
              </w:rPr>
              <w:t>,8</w:t>
            </w:r>
            <w:r w:rsidR="00D72319">
              <w:rPr>
                <w:sz w:val="16"/>
                <w:lang w:val="es-ES"/>
              </w:rPr>
              <w:t>0</w:t>
            </w:r>
            <w:r w:rsidR="00881F37">
              <w:rPr>
                <w:sz w:val="16"/>
                <w:lang w:val="es-ES"/>
              </w:rPr>
              <w:t>0.00</w:t>
            </w:r>
            <w:r>
              <w:rPr>
                <w:sz w:val="16"/>
                <w:lang w:val="es-ES"/>
              </w:rPr>
              <w:t xml:space="preserve"> </w:t>
            </w:r>
            <w:r w:rsidRPr="0043350C">
              <w:rPr>
                <w:sz w:val="16"/>
                <w:lang w:val="es-ES"/>
              </w:rPr>
              <w:t>IVA</w:t>
            </w:r>
            <w:r w:rsidR="008A184E">
              <w:rPr>
                <w:sz w:val="16"/>
                <w:lang w:val="es-ES"/>
              </w:rPr>
              <w:t xml:space="preserve"> incluido</w:t>
            </w:r>
          </w:p>
        </w:tc>
        <w:tc>
          <w:tcPr>
            <w:tcW w:w="904" w:type="pct"/>
            <w:vAlign w:val="center"/>
          </w:tcPr>
          <w:p w14:paraId="5D72B6AD" w14:textId="77777777" w:rsidR="00C14BE7" w:rsidRPr="0043350C" w:rsidRDefault="00C14BE7" w:rsidP="00073753">
            <w:pPr>
              <w:spacing w:before="20" w:after="0"/>
              <w:ind w:left="170"/>
              <w:rPr>
                <w:b/>
                <w:sz w:val="16"/>
                <w:lang w:val="es-ES"/>
              </w:rPr>
            </w:pPr>
            <w:r w:rsidRPr="0043350C">
              <w:rPr>
                <w:b/>
                <w:sz w:val="16"/>
                <w:lang w:val="es-ES"/>
              </w:rPr>
              <w:t>Fuente de Financiamiento:</w:t>
            </w:r>
          </w:p>
        </w:tc>
        <w:tc>
          <w:tcPr>
            <w:tcW w:w="2234" w:type="pct"/>
            <w:vAlign w:val="center"/>
          </w:tcPr>
          <w:p w14:paraId="14D6E3B7" w14:textId="77777777" w:rsidR="00C14BE7" w:rsidRPr="00C3084D" w:rsidRDefault="00C14BE7" w:rsidP="00073753">
            <w:pPr>
              <w:spacing w:before="20" w:after="0"/>
              <w:ind w:left="113"/>
              <w:rPr>
                <w:sz w:val="16"/>
                <w:lang w:val="es-ES"/>
              </w:rPr>
            </w:pPr>
            <w:r w:rsidRPr="00C3084D">
              <w:rPr>
                <w:sz w:val="16"/>
                <w:lang w:val="es-ES"/>
              </w:rPr>
              <w:t>Recursos fiscales</w:t>
            </w:r>
          </w:p>
        </w:tc>
      </w:tr>
      <w:tr w:rsidR="00C14BE7" w:rsidRPr="0043350C" w14:paraId="185777D9" w14:textId="77777777" w:rsidTr="00852B6E">
        <w:tc>
          <w:tcPr>
            <w:tcW w:w="749" w:type="pct"/>
            <w:tcBorders>
              <w:bottom w:val="single" w:sz="4" w:space="0" w:color="auto"/>
            </w:tcBorders>
            <w:vAlign w:val="bottom"/>
          </w:tcPr>
          <w:p w14:paraId="4F20AA7B" w14:textId="77777777" w:rsidR="00C14BE7" w:rsidRPr="0043350C" w:rsidRDefault="00C14BE7" w:rsidP="00C14BE7">
            <w:pPr>
              <w:spacing w:before="20" w:after="0"/>
              <w:ind w:left="170"/>
              <w:rPr>
                <w:b/>
                <w:sz w:val="16"/>
                <w:szCs w:val="16"/>
                <w:lang w:val="es-ES" w:eastAsia="en-US"/>
              </w:rPr>
            </w:pPr>
            <w:r w:rsidRPr="0043350C">
              <w:rPr>
                <w:b/>
                <w:sz w:val="16"/>
                <w:szCs w:val="16"/>
                <w:lang w:val="es-ES" w:eastAsia="en-US"/>
              </w:rPr>
              <w:t>Coordinación de la Evaluación:</w:t>
            </w:r>
          </w:p>
        </w:tc>
        <w:tc>
          <w:tcPr>
            <w:tcW w:w="1113" w:type="pct"/>
            <w:tcBorders>
              <w:bottom w:val="single" w:sz="4" w:space="0" w:color="auto"/>
            </w:tcBorders>
            <w:vAlign w:val="center"/>
          </w:tcPr>
          <w:p w14:paraId="33392067" w14:textId="77777777" w:rsidR="00C14BE7" w:rsidRPr="0043350C" w:rsidRDefault="00C14BE7" w:rsidP="00C14BE7">
            <w:pPr>
              <w:spacing w:after="0"/>
              <w:jc w:val="center"/>
              <w:rPr>
                <w:rFonts w:eastAsia="Times New Roman" w:cs="Arial"/>
                <w:sz w:val="14"/>
                <w:szCs w:val="14"/>
                <w:lang w:val="es-ES"/>
              </w:rPr>
            </w:pPr>
            <w:r w:rsidRPr="005E2AAE">
              <w:rPr>
                <w:rFonts w:eastAsia="Times New Roman" w:cs="Arial"/>
                <w:sz w:val="16"/>
                <w:szCs w:val="14"/>
                <w:lang w:val="es-ES"/>
              </w:rPr>
              <w:t>SHCP</w:t>
            </w:r>
          </w:p>
        </w:tc>
        <w:tc>
          <w:tcPr>
            <w:tcW w:w="904" w:type="pct"/>
            <w:tcBorders>
              <w:bottom w:val="single" w:sz="4" w:space="0" w:color="auto"/>
            </w:tcBorders>
            <w:vAlign w:val="center"/>
          </w:tcPr>
          <w:p w14:paraId="319CE297" w14:textId="77777777" w:rsidR="00C14BE7" w:rsidRPr="0043350C" w:rsidRDefault="00C14BE7" w:rsidP="00073753">
            <w:pPr>
              <w:spacing w:before="20" w:after="0"/>
              <w:ind w:left="170"/>
              <w:rPr>
                <w:b/>
                <w:sz w:val="16"/>
                <w:szCs w:val="16"/>
                <w:lang w:val="es-ES" w:eastAsia="en-US"/>
              </w:rPr>
            </w:pPr>
            <w:r w:rsidRPr="0043350C">
              <w:rPr>
                <w:b/>
                <w:sz w:val="16"/>
                <w:szCs w:val="16"/>
                <w:lang w:val="es-ES" w:eastAsia="en-US"/>
              </w:rPr>
              <w:t>Informe completo:</w:t>
            </w:r>
          </w:p>
        </w:tc>
        <w:tc>
          <w:tcPr>
            <w:tcW w:w="2234" w:type="pct"/>
            <w:tcBorders>
              <w:bottom w:val="single" w:sz="4" w:space="0" w:color="auto"/>
            </w:tcBorders>
            <w:vAlign w:val="center"/>
          </w:tcPr>
          <w:p w14:paraId="6AAD8628" w14:textId="77777777" w:rsidR="00C14BE7" w:rsidRPr="0043350C" w:rsidRDefault="00C14BE7" w:rsidP="00852B6E">
            <w:pPr>
              <w:spacing w:before="20" w:after="0"/>
              <w:ind w:left="113"/>
              <w:rPr>
                <w:rFonts w:eastAsia="Times New Roman"/>
                <w:sz w:val="16"/>
                <w:szCs w:val="16"/>
                <w:lang w:val="es-ES" w:eastAsia="en-US"/>
              </w:rPr>
            </w:pPr>
            <w:r w:rsidRPr="0043350C">
              <w:rPr>
                <w:rFonts w:eastAsia="Times New Roman"/>
                <w:sz w:val="16"/>
                <w:szCs w:val="16"/>
                <w:lang w:val="es-ES" w:eastAsia="en-US"/>
              </w:rPr>
              <w:t>Disponible en:</w:t>
            </w:r>
          </w:p>
          <w:p w14:paraId="1E009B6D" w14:textId="77777777" w:rsidR="00C14BE7" w:rsidRPr="0043350C" w:rsidRDefault="00C14BE7" w:rsidP="00852B6E">
            <w:pPr>
              <w:spacing w:before="20" w:after="0"/>
              <w:ind w:left="113"/>
              <w:rPr>
                <w:rFonts w:eastAsia="Times New Roman"/>
                <w:sz w:val="16"/>
                <w:szCs w:val="16"/>
                <w:lang w:val="es-ES" w:eastAsia="en-US"/>
              </w:rPr>
            </w:pPr>
            <w:r w:rsidRPr="0043350C">
              <w:rPr>
                <w:rFonts w:eastAsia="Times New Roman"/>
                <w:sz w:val="16"/>
                <w:szCs w:val="16"/>
                <w:lang w:val="es-ES" w:eastAsia="en-US"/>
              </w:rPr>
              <w:t>http://www.transparenciapresupuestaria.gob.mx/</w:t>
            </w:r>
          </w:p>
        </w:tc>
      </w:tr>
    </w:tbl>
    <w:p w14:paraId="6E9D6BBD" w14:textId="77777777" w:rsidR="00D72319" w:rsidRDefault="00D72319" w:rsidP="00C14BE7"/>
    <w:p w14:paraId="283B1C6F" w14:textId="77777777" w:rsidR="003562B5" w:rsidRDefault="003562B5">
      <w:r>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D72319" w:rsidRPr="0043350C" w14:paraId="725A6F88" w14:textId="77777777" w:rsidTr="0014275D">
        <w:trPr>
          <w:trHeight w:val="392"/>
          <w:jc w:val="center"/>
        </w:trPr>
        <w:tc>
          <w:tcPr>
            <w:tcW w:w="10173" w:type="dxa"/>
            <w:gridSpan w:val="5"/>
            <w:shd w:val="clear" w:color="auto" w:fill="D6E3BC" w:themeFill="accent3" w:themeFillTint="66"/>
            <w:vAlign w:val="center"/>
          </w:tcPr>
          <w:p w14:paraId="7EBEA204" w14:textId="77777777" w:rsidR="00D72319" w:rsidRPr="008873F7" w:rsidRDefault="00D72319" w:rsidP="00A5192D">
            <w:pPr>
              <w:pStyle w:val="CABEZA"/>
              <w:ind w:left="0"/>
              <w:rPr>
                <w:lang w:val="es-MX"/>
              </w:rPr>
            </w:pPr>
            <w:r w:rsidRPr="009F1073">
              <w:rPr>
                <w:lang w:val="es-MX"/>
              </w:rPr>
              <w:lastRenderedPageBreak/>
              <w:br w:type="page"/>
            </w:r>
            <w:r w:rsidRPr="008873F7">
              <w:rPr>
                <w:lang w:val="es-MX"/>
              </w:rPr>
              <w:br w:type="page"/>
            </w:r>
            <w:r w:rsidRPr="00D37B5C">
              <w:rPr>
                <w:lang w:val="es-MX"/>
              </w:rPr>
              <w:t xml:space="preserve">Ramo </w:t>
            </w:r>
            <w:r>
              <w:rPr>
                <w:lang w:val="es-MX"/>
              </w:rPr>
              <w:t xml:space="preserve">16. </w:t>
            </w:r>
            <w:r w:rsidRPr="00523E78">
              <w:rPr>
                <w:lang w:val="es-MX"/>
              </w:rPr>
              <w:t>Medio Ambiente y Recursos Naturales</w:t>
            </w:r>
          </w:p>
        </w:tc>
      </w:tr>
      <w:tr w:rsidR="00D72319" w:rsidRPr="0043350C" w14:paraId="618C57E2" w14:textId="77777777" w:rsidTr="0014275D">
        <w:trPr>
          <w:jc w:val="center"/>
        </w:trPr>
        <w:tc>
          <w:tcPr>
            <w:tcW w:w="1359" w:type="dxa"/>
            <w:shd w:val="clear" w:color="auto" w:fill="D9D9D9" w:themeFill="background1" w:themeFillShade="D9"/>
          </w:tcPr>
          <w:p w14:paraId="1275ACD2" w14:textId="77777777" w:rsidR="00D72319" w:rsidRPr="0043350C" w:rsidRDefault="00D72319" w:rsidP="0014275D">
            <w:pPr>
              <w:spacing w:before="20"/>
              <w:rPr>
                <w:b/>
                <w:sz w:val="16"/>
                <w:lang w:val="es-ES"/>
              </w:rPr>
            </w:pPr>
            <w:r w:rsidRPr="0043350C">
              <w:rPr>
                <w:b/>
                <w:sz w:val="16"/>
                <w:lang w:val="es-ES"/>
              </w:rPr>
              <w:t xml:space="preserve">Clave del </w:t>
            </w:r>
            <w:proofErr w:type="spellStart"/>
            <w:r w:rsidRPr="0043350C">
              <w:rPr>
                <w:b/>
                <w:sz w:val="16"/>
                <w:lang w:val="es-ES"/>
              </w:rPr>
              <w:t>Pp</w:t>
            </w:r>
            <w:proofErr w:type="spellEnd"/>
            <w:r w:rsidRPr="0043350C">
              <w:rPr>
                <w:b/>
                <w:sz w:val="16"/>
                <w:lang w:val="es-ES"/>
              </w:rPr>
              <w:t>:</w:t>
            </w:r>
          </w:p>
        </w:tc>
        <w:tc>
          <w:tcPr>
            <w:tcW w:w="734" w:type="dxa"/>
            <w:shd w:val="clear" w:color="auto" w:fill="D9D9D9" w:themeFill="background1" w:themeFillShade="D9"/>
          </w:tcPr>
          <w:p w14:paraId="4773A3DE" w14:textId="77777777" w:rsidR="00D72319" w:rsidRPr="0043350C" w:rsidRDefault="00D72319" w:rsidP="00D72319">
            <w:pPr>
              <w:contextualSpacing/>
              <w:rPr>
                <w:sz w:val="16"/>
                <w:szCs w:val="16"/>
                <w:lang w:val="es-ES" w:eastAsia="en-US"/>
              </w:rPr>
            </w:pPr>
            <w:r>
              <w:rPr>
                <w:sz w:val="16"/>
                <w:szCs w:val="16"/>
                <w:lang w:val="es-ES" w:eastAsia="en-US"/>
              </w:rPr>
              <w:t>K129</w:t>
            </w:r>
          </w:p>
        </w:tc>
        <w:tc>
          <w:tcPr>
            <w:tcW w:w="1701" w:type="dxa"/>
            <w:gridSpan w:val="2"/>
            <w:shd w:val="clear" w:color="auto" w:fill="D9D9D9" w:themeFill="background1" w:themeFillShade="D9"/>
          </w:tcPr>
          <w:p w14:paraId="3A62629A" w14:textId="77777777" w:rsidR="00D72319" w:rsidRPr="0043350C" w:rsidRDefault="00D72319" w:rsidP="0014275D">
            <w:pPr>
              <w:spacing w:before="20"/>
              <w:rPr>
                <w:b/>
                <w:sz w:val="16"/>
                <w:lang w:val="es-ES"/>
              </w:rPr>
            </w:pPr>
            <w:r w:rsidRPr="0043350C">
              <w:rPr>
                <w:b/>
                <w:sz w:val="16"/>
                <w:lang w:val="es-ES"/>
              </w:rPr>
              <w:t>Denominación:</w:t>
            </w:r>
          </w:p>
        </w:tc>
        <w:tc>
          <w:tcPr>
            <w:tcW w:w="6379" w:type="dxa"/>
            <w:shd w:val="clear" w:color="auto" w:fill="D9D9D9" w:themeFill="background1" w:themeFillShade="D9"/>
          </w:tcPr>
          <w:p w14:paraId="6B6D7773" w14:textId="77777777" w:rsidR="00D72319" w:rsidRPr="0043350C" w:rsidRDefault="00D72319" w:rsidP="0014275D">
            <w:pPr>
              <w:contextualSpacing/>
              <w:rPr>
                <w:sz w:val="16"/>
                <w:szCs w:val="16"/>
                <w:lang w:val="es-ES" w:eastAsia="en-US"/>
              </w:rPr>
            </w:pPr>
            <w:r w:rsidRPr="00523E78">
              <w:rPr>
                <w:sz w:val="16"/>
                <w:szCs w:val="16"/>
                <w:lang w:val="es-ES" w:eastAsia="en-US"/>
              </w:rPr>
              <w:t>Infraestructura para la Protección de Centros de Población y Áreas Productivas</w:t>
            </w:r>
          </w:p>
        </w:tc>
      </w:tr>
      <w:tr w:rsidR="00D72319" w:rsidRPr="0043350C" w14:paraId="770AA25A" w14:textId="77777777" w:rsidTr="0014275D">
        <w:trPr>
          <w:jc w:val="center"/>
        </w:trPr>
        <w:tc>
          <w:tcPr>
            <w:tcW w:w="2778" w:type="dxa"/>
            <w:gridSpan w:val="3"/>
          </w:tcPr>
          <w:p w14:paraId="60146286" w14:textId="77777777" w:rsidR="00D72319" w:rsidRPr="0043350C" w:rsidRDefault="00D72319" w:rsidP="0014275D">
            <w:pPr>
              <w:spacing w:before="20"/>
              <w:rPr>
                <w:b/>
                <w:sz w:val="16"/>
                <w:lang w:val="es-ES"/>
              </w:rPr>
            </w:pPr>
            <w:r w:rsidRPr="0043350C">
              <w:rPr>
                <w:b/>
                <w:sz w:val="16"/>
                <w:lang w:val="es-ES"/>
              </w:rPr>
              <w:t>Unidad Administrativa:</w:t>
            </w:r>
          </w:p>
        </w:tc>
        <w:tc>
          <w:tcPr>
            <w:tcW w:w="7395" w:type="dxa"/>
            <w:gridSpan w:val="2"/>
          </w:tcPr>
          <w:p w14:paraId="09149E54" w14:textId="77777777" w:rsidR="00D72319" w:rsidRPr="0043350C" w:rsidRDefault="00D72319" w:rsidP="00386A1C">
            <w:pPr>
              <w:spacing w:before="20" w:after="0"/>
              <w:rPr>
                <w:rFonts w:eastAsia="Times New Roman"/>
                <w:sz w:val="16"/>
                <w:szCs w:val="16"/>
                <w:lang w:val="es-MX" w:eastAsia="en-US"/>
              </w:rPr>
            </w:pPr>
            <w:r w:rsidRPr="00D72319">
              <w:rPr>
                <w:rFonts w:eastAsia="Times New Roman"/>
                <w:sz w:val="16"/>
                <w:szCs w:val="16"/>
                <w:lang w:val="es-MX" w:eastAsia="en-US"/>
              </w:rPr>
              <w:t xml:space="preserve">Comisión Nacional del Agua </w:t>
            </w:r>
          </w:p>
        </w:tc>
      </w:tr>
      <w:tr w:rsidR="00D72319" w:rsidRPr="0043350C" w14:paraId="3546F1C8" w14:textId="77777777" w:rsidTr="0014275D">
        <w:trPr>
          <w:jc w:val="center"/>
        </w:trPr>
        <w:tc>
          <w:tcPr>
            <w:tcW w:w="2778" w:type="dxa"/>
            <w:gridSpan w:val="3"/>
          </w:tcPr>
          <w:p w14:paraId="6E034C7B" w14:textId="77777777" w:rsidR="00D72319" w:rsidRPr="0043350C" w:rsidRDefault="00D72319" w:rsidP="0014275D">
            <w:pPr>
              <w:spacing w:before="20"/>
              <w:rPr>
                <w:b/>
                <w:sz w:val="16"/>
                <w:lang w:val="es-ES"/>
              </w:rPr>
            </w:pPr>
            <w:r w:rsidRPr="0043350C">
              <w:rPr>
                <w:b/>
                <w:sz w:val="16"/>
                <w:lang w:val="es-ES"/>
              </w:rPr>
              <w:t>Responsable:</w:t>
            </w:r>
          </w:p>
        </w:tc>
        <w:tc>
          <w:tcPr>
            <w:tcW w:w="7395" w:type="dxa"/>
            <w:gridSpan w:val="2"/>
          </w:tcPr>
          <w:p w14:paraId="0F99F935" w14:textId="77777777" w:rsidR="00D72319" w:rsidRPr="00523E78" w:rsidRDefault="00386A1C" w:rsidP="00D72319">
            <w:pPr>
              <w:autoSpaceDE w:val="0"/>
              <w:autoSpaceDN w:val="0"/>
              <w:adjustRightInd w:val="0"/>
              <w:spacing w:after="0"/>
              <w:rPr>
                <w:rFonts w:eastAsia="Times New Roman"/>
                <w:sz w:val="16"/>
                <w:szCs w:val="16"/>
                <w:lang w:val="es-MX" w:eastAsia="en-US"/>
              </w:rPr>
            </w:pPr>
            <w:r w:rsidRPr="00386A1C">
              <w:rPr>
                <w:rFonts w:eastAsia="Times New Roman"/>
                <w:sz w:val="16"/>
                <w:szCs w:val="16"/>
                <w:lang w:val="es-MX" w:eastAsia="en-US"/>
              </w:rPr>
              <w:t>Roberto Ramírez de la Parra</w:t>
            </w:r>
            <w:r w:rsidR="00D72319" w:rsidRPr="00523E78">
              <w:rPr>
                <w:rFonts w:eastAsia="Times New Roman"/>
                <w:sz w:val="16"/>
                <w:szCs w:val="16"/>
                <w:lang w:val="es-MX" w:eastAsia="en-US"/>
              </w:rPr>
              <w:t xml:space="preserve"> </w:t>
            </w:r>
          </w:p>
          <w:p w14:paraId="20FA16BC" w14:textId="77777777" w:rsidR="00D72319" w:rsidRPr="0043350C" w:rsidRDefault="00D72319" w:rsidP="00D72319">
            <w:pPr>
              <w:spacing w:after="0"/>
              <w:rPr>
                <w:sz w:val="16"/>
                <w:lang w:val="es-ES"/>
              </w:rPr>
            </w:pPr>
          </w:p>
        </w:tc>
      </w:tr>
      <w:tr w:rsidR="00D72319" w:rsidRPr="0043350C" w14:paraId="409BE69B" w14:textId="77777777" w:rsidTr="0014275D">
        <w:trPr>
          <w:jc w:val="center"/>
        </w:trPr>
        <w:tc>
          <w:tcPr>
            <w:tcW w:w="2778" w:type="dxa"/>
            <w:gridSpan w:val="3"/>
            <w:tcBorders>
              <w:bottom w:val="single" w:sz="4" w:space="0" w:color="auto"/>
            </w:tcBorders>
            <w:shd w:val="clear" w:color="auto" w:fill="D9D9D9" w:themeFill="background1" w:themeFillShade="D9"/>
          </w:tcPr>
          <w:p w14:paraId="7DB64411" w14:textId="77777777" w:rsidR="00D72319" w:rsidRPr="0043350C" w:rsidRDefault="00D72319" w:rsidP="0014275D">
            <w:pPr>
              <w:spacing w:before="20"/>
              <w:rPr>
                <w:b/>
                <w:sz w:val="16"/>
                <w:lang w:val="es-ES"/>
              </w:rPr>
            </w:pPr>
            <w:r w:rsidRPr="0043350C">
              <w:rPr>
                <w:b/>
                <w:sz w:val="16"/>
                <w:lang w:val="es-ES"/>
              </w:rPr>
              <w:t>Tipo de Evaluación:</w:t>
            </w:r>
          </w:p>
        </w:tc>
        <w:tc>
          <w:tcPr>
            <w:tcW w:w="7395" w:type="dxa"/>
            <w:gridSpan w:val="2"/>
            <w:tcBorders>
              <w:bottom w:val="single" w:sz="4" w:space="0" w:color="auto"/>
            </w:tcBorders>
            <w:shd w:val="clear" w:color="auto" w:fill="D9D9D9" w:themeFill="background1" w:themeFillShade="D9"/>
          </w:tcPr>
          <w:p w14:paraId="545E4C24" w14:textId="77777777" w:rsidR="00D72319" w:rsidRPr="0043350C" w:rsidRDefault="00D72319" w:rsidP="0014275D">
            <w:pPr>
              <w:spacing w:before="20"/>
              <w:rPr>
                <w:sz w:val="16"/>
                <w:lang w:val="es-ES"/>
              </w:rPr>
            </w:pPr>
            <w:r w:rsidRPr="0043350C">
              <w:rPr>
                <w:sz w:val="16"/>
                <w:lang w:val="es-ES"/>
              </w:rPr>
              <w:t>Consistencia y Resultados, PAE 201</w:t>
            </w:r>
            <w:r>
              <w:rPr>
                <w:sz w:val="16"/>
                <w:lang w:val="es-ES"/>
              </w:rPr>
              <w:t>7</w:t>
            </w:r>
          </w:p>
        </w:tc>
      </w:tr>
    </w:tbl>
    <w:p w14:paraId="37EAA6DE" w14:textId="77777777" w:rsidR="00A5192D" w:rsidRDefault="00A5192D" w:rsidP="00D82633">
      <w:pPr>
        <w:spacing w:line="250" w:lineRule="exact"/>
        <w:jc w:val="both"/>
        <w:rPr>
          <w:rFonts w:eastAsia="Times New Roman" w:cs="Arial"/>
          <w:b/>
          <w:szCs w:val="20"/>
          <w:lang w:val="es-ES"/>
        </w:rPr>
      </w:pPr>
    </w:p>
    <w:p w14:paraId="40107554" w14:textId="77777777" w:rsidR="00D82633" w:rsidRPr="0043350C" w:rsidRDefault="00D82633" w:rsidP="00D82633">
      <w:pPr>
        <w:spacing w:line="250" w:lineRule="exact"/>
        <w:jc w:val="both"/>
        <w:rPr>
          <w:rFonts w:eastAsia="Times New Roman" w:cs="Arial"/>
          <w:b/>
          <w:szCs w:val="20"/>
          <w:lang w:val="es-ES"/>
        </w:rPr>
      </w:pPr>
      <w:r w:rsidRPr="00852829">
        <w:rPr>
          <w:rFonts w:eastAsia="Times New Roman" w:cs="Arial"/>
          <w:b/>
          <w:szCs w:val="20"/>
          <w:lang w:val="es-ES"/>
        </w:rPr>
        <w:t xml:space="preserve">Descripción del </w:t>
      </w:r>
      <w:proofErr w:type="spellStart"/>
      <w:r w:rsidRPr="00852829">
        <w:rPr>
          <w:rFonts w:eastAsia="Times New Roman" w:cs="Arial"/>
          <w:b/>
          <w:szCs w:val="20"/>
          <w:lang w:val="es-ES"/>
        </w:rPr>
        <w:t>Pp</w:t>
      </w:r>
      <w:proofErr w:type="spellEnd"/>
    </w:p>
    <w:p w14:paraId="5271F9D2" w14:textId="77777777" w:rsidR="00D82633" w:rsidRDefault="00D82633" w:rsidP="00D82633">
      <w:pPr>
        <w:pStyle w:val="Cdetexto"/>
      </w:pPr>
      <w:r w:rsidRPr="00344164">
        <w:t xml:space="preserve">El </w:t>
      </w:r>
      <w:proofErr w:type="spellStart"/>
      <w:r>
        <w:t>Pp</w:t>
      </w:r>
      <w:proofErr w:type="spellEnd"/>
      <w:r w:rsidRPr="00344164">
        <w:t xml:space="preserve"> </w:t>
      </w:r>
      <w:r>
        <w:t>K129</w:t>
      </w:r>
      <w:r w:rsidRPr="00E1712E">
        <w:t xml:space="preserve"> </w:t>
      </w:r>
      <w:r>
        <w:t>es el resultado de la fusión de tres programas</w:t>
      </w:r>
      <w:r w:rsidR="00D25B83">
        <w:t>, operando a partir del ejercicio fiscal 2016</w:t>
      </w:r>
      <w:r>
        <w:t>:</w:t>
      </w:r>
      <w:r w:rsidRPr="006231EA">
        <w:t xml:space="preserve"> K129</w:t>
      </w:r>
      <w:r w:rsidR="00B31257" w:rsidRPr="00B31257">
        <w:t xml:space="preserve"> </w:t>
      </w:r>
      <w:r w:rsidR="00B31257">
        <w:t>I</w:t>
      </w:r>
      <w:r w:rsidR="00B31257" w:rsidRPr="007E24F1">
        <w:t>nfraestructura para la Protección de Centros de Población y Áreas Productivas</w:t>
      </w:r>
      <w:r w:rsidR="00B31257" w:rsidRPr="006231EA">
        <w:t>, K134</w:t>
      </w:r>
      <w:r w:rsidR="00B31257">
        <w:t xml:space="preserve"> </w:t>
      </w:r>
      <w:r w:rsidR="00B31257" w:rsidRPr="007E24F1">
        <w:t>Programas Hídricos Integrales</w:t>
      </w:r>
      <w:r w:rsidR="00B31257" w:rsidRPr="006231EA">
        <w:t xml:space="preserve"> y K137</w:t>
      </w:r>
      <w:r w:rsidR="00B31257">
        <w:t xml:space="preserve"> </w:t>
      </w:r>
      <w:r w:rsidR="00B31257" w:rsidRPr="007E24F1">
        <w:t>Zona de Mitigación y Rescate Ecológico en el Lago de Texcoco</w:t>
      </w:r>
      <w:r>
        <w:t xml:space="preserve">. El </w:t>
      </w:r>
      <w:proofErr w:type="spellStart"/>
      <w:r>
        <w:t>Pp</w:t>
      </w:r>
      <w:proofErr w:type="spellEnd"/>
      <w:r>
        <w:t xml:space="preserve"> atiende e</w:t>
      </w:r>
      <w:r w:rsidRPr="00E1712E">
        <w:t xml:space="preserve">ventos </w:t>
      </w:r>
      <w:proofErr w:type="spellStart"/>
      <w:r w:rsidRPr="00E1712E">
        <w:t>hidrometeorológicos</w:t>
      </w:r>
      <w:proofErr w:type="spellEnd"/>
      <w:r w:rsidRPr="00E1712E">
        <w:t xml:space="preserve"> extremos</w:t>
      </w:r>
      <w:r>
        <w:t>, a través de acciones como la construcción, mantenimiento y rehabilitación de infraestructura hidráulica para el control de ríos, arroyos y cuerpos de agua, con el propósito de mitigar o prevenir los efectos dañinos que causan las inundaciones en centros de población y áreas productivas.</w:t>
      </w:r>
    </w:p>
    <w:p w14:paraId="7989D31D" w14:textId="77777777" w:rsidR="00D82633" w:rsidRPr="0043350C" w:rsidRDefault="00D82633" w:rsidP="00D82633">
      <w:pPr>
        <w:pStyle w:val="Cdetexto"/>
      </w:pPr>
      <w:r>
        <w:t xml:space="preserve">El problema </w:t>
      </w:r>
      <w:r w:rsidRPr="00270A30">
        <w:t xml:space="preserve">que atiende el </w:t>
      </w:r>
      <w:proofErr w:type="spellStart"/>
      <w:r w:rsidRPr="00270A30">
        <w:t>Pp</w:t>
      </w:r>
      <w:proofErr w:type="spellEnd"/>
      <w:r w:rsidRPr="00270A30">
        <w:t xml:space="preserve"> es</w:t>
      </w:r>
      <w:r>
        <w:t xml:space="preserve"> </w:t>
      </w:r>
      <w:r w:rsidRPr="00270A30">
        <w:t>“</w:t>
      </w:r>
      <w:r>
        <w:t>Los centros de población y las áreas productivas del país son vulnerables ante inundaciones”</w:t>
      </w:r>
      <w:r w:rsidRPr="0043350C">
        <w:t>.</w:t>
      </w:r>
    </w:p>
    <w:p w14:paraId="3774F9F8" w14:textId="77777777" w:rsidR="00D82633" w:rsidRPr="006873FC" w:rsidRDefault="00CD15E2" w:rsidP="00D82633">
      <w:pPr>
        <w:pStyle w:val="Cdetexto"/>
      </w:pPr>
      <w:r>
        <w:t xml:space="preserve">El fin del </w:t>
      </w:r>
      <w:proofErr w:type="spellStart"/>
      <w:r>
        <w:t>Pp</w:t>
      </w:r>
      <w:proofErr w:type="spellEnd"/>
      <w:r>
        <w:t xml:space="preserve"> se define como “C</w:t>
      </w:r>
      <w:r w:rsidR="00D82633" w:rsidRPr="006873FC">
        <w:t>ontribuir a incrementar la resiliencia a efectos del cambio climático y disminuir las emisiones de compuestos y gases de efecto invernadero, mediante la infraestructura hidráulica de protección en las cuencas, centros de población y áreas productivas”</w:t>
      </w:r>
      <w:r w:rsidR="00D82633">
        <w:t>.</w:t>
      </w:r>
    </w:p>
    <w:p w14:paraId="1DA67171" w14:textId="77777777" w:rsidR="00D82633" w:rsidRDefault="00D82633" w:rsidP="00D82633">
      <w:pPr>
        <w:pStyle w:val="Cdetexto"/>
      </w:pPr>
      <w:r w:rsidRPr="006873FC">
        <w:t xml:space="preserve">El propósito del </w:t>
      </w:r>
      <w:proofErr w:type="spellStart"/>
      <w:r w:rsidRPr="006873FC">
        <w:t>Pp</w:t>
      </w:r>
      <w:proofErr w:type="spellEnd"/>
      <w:r w:rsidRPr="006873FC">
        <w:t xml:space="preserve"> es “Los habitantes de las zonas en riesgo cuentan con infraestructura hidráulica para prevenir y/o mitigar los efectos de las inundaciones en las cuencas, centros de población y superficies productivas”. El componente del </w:t>
      </w:r>
      <w:proofErr w:type="spellStart"/>
      <w:r w:rsidRPr="006873FC">
        <w:t>Pp</w:t>
      </w:r>
      <w:proofErr w:type="spellEnd"/>
      <w:r w:rsidRPr="006873FC">
        <w:t xml:space="preserve"> es</w:t>
      </w:r>
      <w:r>
        <w:t xml:space="preserve"> “L</w:t>
      </w:r>
      <w:r w:rsidRPr="006873FC">
        <w:t>a superficie productiva en hectáreas protegidas con obra</w:t>
      </w:r>
      <w:r w:rsidR="00B31257">
        <w:t>s de infraestructura hidráulica</w:t>
      </w:r>
      <w:r>
        <w:t>”</w:t>
      </w:r>
      <w:r w:rsidR="00B31257">
        <w:t>.</w:t>
      </w:r>
    </w:p>
    <w:p w14:paraId="155AC76E" w14:textId="77777777" w:rsidR="00D82633" w:rsidRDefault="00D82633" w:rsidP="00D82633">
      <w:pPr>
        <w:pStyle w:val="Cdetexto"/>
      </w:pPr>
      <w:r>
        <w:t xml:space="preserve">El </w:t>
      </w:r>
      <w:proofErr w:type="spellStart"/>
      <w:r>
        <w:t>Pp</w:t>
      </w:r>
      <w:proofErr w:type="spellEnd"/>
      <w:r>
        <w:t xml:space="preserve"> identifica </w:t>
      </w:r>
      <w:r w:rsidR="00D25B83">
        <w:t xml:space="preserve">a su </w:t>
      </w:r>
      <w:proofErr w:type="spellStart"/>
      <w:r>
        <w:t>PPo</w:t>
      </w:r>
      <w:proofErr w:type="spellEnd"/>
      <w:r>
        <w:t xml:space="preserve"> </w:t>
      </w:r>
      <w:r w:rsidR="00D25B83">
        <w:t xml:space="preserve">y a su </w:t>
      </w:r>
      <w:r>
        <w:t xml:space="preserve">PO </w:t>
      </w:r>
      <w:r w:rsidR="00D25B83">
        <w:t>como</w:t>
      </w:r>
      <w:r>
        <w:t xml:space="preserve"> “</w:t>
      </w:r>
      <w:r w:rsidR="00CD15E2">
        <w:t>L</w:t>
      </w:r>
      <w:r>
        <w:t xml:space="preserve">a suma de los habitantes beneficiados, de los registros de inversión de los </w:t>
      </w:r>
      <w:proofErr w:type="spellStart"/>
      <w:r w:rsidR="00AB2575">
        <w:t>Pp</w:t>
      </w:r>
      <w:proofErr w:type="spellEnd"/>
      <w:r>
        <w:t xml:space="preserve"> K 129, K134 y K137 que actualmente se encuentran en la Cartera de Programas y Proyectos de Inversión de la SHCP y que a partir de 2016 estarán etiquetados como proyectos de inversión e</w:t>
      </w:r>
      <w:r w:rsidR="00B31257">
        <w:t xml:space="preserve">n la cartera de </w:t>
      </w:r>
      <w:proofErr w:type="spellStart"/>
      <w:r w:rsidR="00AB2575">
        <w:t>Pp</w:t>
      </w:r>
      <w:proofErr w:type="spellEnd"/>
      <w:r w:rsidR="00B31257">
        <w:t xml:space="preserve"> K129”.</w:t>
      </w:r>
    </w:p>
    <w:p w14:paraId="56A19675" w14:textId="77777777" w:rsidR="00D82633" w:rsidRDefault="00D82633" w:rsidP="00D82633">
      <w:pPr>
        <w:pStyle w:val="Cdetexto"/>
      </w:pPr>
      <w:r w:rsidRPr="00474FC4">
        <w:t xml:space="preserve">El </w:t>
      </w:r>
      <w:proofErr w:type="spellStart"/>
      <w:r w:rsidRPr="00474FC4">
        <w:t>Pp</w:t>
      </w:r>
      <w:proofErr w:type="spellEnd"/>
      <w:r w:rsidRPr="00474FC4">
        <w:t xml:space="preserve"> se vincula con las Metas Nacionales I. México en </w:t>
      </w:r>
      <w:r w:rsidR="00B31257">
        <w:t>P</w:t>
      </w:r>
      <w:r w:rsidRPr="00474FC4">
        <w:t>az</w:t>
      </w:r>
      <w:r>
        <w:t>,</w:t>
      </w:r>
      <w:r w:rsidRPr="00474FC4">
        <w:t xml:space="preserve"> mediante el objetivo 1.6</w:t>
      </w:r>
      <w:r w:rsidR="00B31257">
        <w:t>.</w:t>
      </w:r>
      <w:r w:rsidRPr="00474FC4">
        <w:t xml:space="preserve"> Salvaguardar a la población, a sus bienes y su entorno ante un desastre</w:t>
      </w:r>
      <w:r>
        <w:t xml:space="preserve"> de origen humano o natural</w:t>
      </w:r>
      <w:r w:rsidR="00B31257">
        <w:t>,</w:t>
      </w:r>
      <w:r>
        <w:t xml:space="preserve"> y IV. México Próspero, a través del objetivo</w:t>
      </w:r>
      <w:r w:rsidRPr="00474FC4">
        <w:t xml:space="preserve"> </w:t>
      </w:r>
      <w:r>
        <w:t>4.4</w:t>
      </w:r>
      <w:r w:rsidR="00B31257">
        <w:t>.</w:t>
      </w:r>
      <w:r>
        <w:t xml:space="preserve"> Impulsar y orientar un crecimiento verde incluyente y facilitador que preserve nuestro patrimonio natural al mismo tiempo que genere riqueza, competitividad y empleo</w:t>
      </w:r>
      <w:r w:rsidR="00B31257">
        <w:t>, del PND</w:t>
      </w:r>
      <w:r>
        <w:t>.</w:t>
      </w:r>
    </w:p>
    <w:p w14:paraId="1015FBFF" w14:textId="77777777" w:rsidR="00D82633" w:rsidRPr="00474FC4" w:rsidRDefault="00D82633" w:rsidP="00D82633">
      <w:pPr>
        <w:pStyle w:val="Cdetexto"/>
      </w:pPr>
      <w:r>
        <w:t xml:space="preserve">Asimismo, el </w:t>
      </w:r>
      <w:proofErr w:type="spellStart"/>
      <w:r>
        <w:t>Pp</w:t>
      </w:r>
      <w:proofErr w:type="spellEnd"/>
      <w:r>
        <w:t xml:space="preserve"> se vincula con la planeación sectorial a través del Objetivo 4. Incrementar la resiliencia a efectos del cambio climático y disminuir las emisiones de compuestos y gases de efecto invernadero</w:t>
      </w:r>
      <w:r w:rsidRPr="0043350C">
        <w:rPr>
          <w:b/>
        </w:rPr>
        <w:t xml:space="preserve"> </w:t>
      </w:r>
      <w:r w:rsidRPr="00474FC4">
        <w:t xml:space="preserve">del </w:t>
      </w:r>
      <w:r w:rsidR="00B31257">
        <w:t>PROMARNAT</w:t>
      </w:r>
      <w:r>
        <w:t xml:space="preserve"> y en el Programa Nacional Hídrico 2014 – 2018 se considera dentro del Objetivo 2. Incrementar la seguridad de la población y áreas productivas ante sequías e inundaciones.</w:t>
      </w:r>
    </w:p>
    <w:p w14:paraId="367111EC" w14:textId="77777777" w:rsidR="00D82633" w:rsidRPr="0043350C" w:rsidRDefault="00D82633" w:rsidP="00D82633">
      <w:pPr>
        <w:spacing w:line="250" w:lineRule="exact"/>
        <w:jc w:val="both"/>
        <w:rPr>
          <w:rFonts w:eastAsia="Times New Roman" w:cs="Arial"/>
          <w:b/>
          <w:szCs w:val="20"/>
          <w:lang w:val="es-ES"/>
        </w:rPr>
      </w:pPr>
      <w:r w:rsidRPr="0043350C">
        <w:rPr>
          <w:rFonts w:eastAsia="Times New Roman" w:cs="Arial"/>
          <w:b/>
          <w:szCs w:val="20"/>
          <w:lang w:val="es-ES"/>
        </w:rPr>
        <w:t>Principales Hallazgos</w:t>
      </w:r>
    </w:p>
    <w:p w14:paraId="2AC94BA0" w14:textId="77777777" w:rsidR="00D82633" w:rsidRPr="0043350C" w:rsidRDefault="00D82633" w:rsidP="00D82633">
      <w:pPr>
        <w:spacing w:line="250" w:lineRule="exact"/>
        <w:jc w:val="both"/>
        <w:rPr>
          <w:i/>
          <w:lang w:val="es-ES"/>
        </w:rPr>
      </w:pPr>
      <w:r w:rsidRPr="0043350C">
        <w:rPr>
          <w:i/>
          <w:lang w:val="es-ES"/>
        </w:rPr>
        <w:t>Diseño:</w:t>
      </w:r>
    </w:p>
    <w:p w14:paraId="0766F825" w14:textId="77777777" w:rsidR="00D82633" w:rsidRDefault="00D82633" w:rsidP="00D82633">
      <w:pPr>
        <w:pStyle w:val="Cdetexto"/>
      </w:pPr>
      <w:r>
        <w:lastRenderedPageBreak/>
        <w:t xml:space="preserve">El </w:t>
      </w:r>
      <w:proofErr w:type="spellStart"/>
      <w:r>
        <w:t>Pp</w:t>
      </w:r>
      <w:proofErr w:type="spellEnd"/>
      <w:r>
        <w:t xml:space="preserve"> carece de un diagnóstico donde se identifique y car</w:t>
      </w:r>
      <w:r w:rsidR="00ED3A58">
        <w:t xml:space="preserve">acterice claramente el problema público </w:t>
      </w:r>
      <w:r w:rsidR="005F1420">
        <w:t>que se busca atender, así como</w:t>
      </w:r>
      <w:r>
        <w:t xml:space="preserve"> la </w:t>
      </w:r>
      <w:proofErr w:type="spellStart"/>
      <w:r>
        <w:t>PPo</w:t>
      </w:r>
      <w:proofErr w:type="spellEnd"/>
      <w:r>
        <w:t>, lo que impide tener claridad sobre si hay causalidad entre las obras que el programa entrega y el beneficio que se busca brindar a la población.</w:t>
      </w:r>
    </w:p>
    <w:p w14:paraId="144A4DB4" w14:textId="77777777" w:rsidR="00D82633" w:rsidRPr="0043350C" w:rsidRDefault="00D82633" w:rsidP="00D82633">
      <w:pPr>
        <w:pStyle w:val="Cdetexto"/>
      </w:pPr>
      <w:r>
        <w:t xml:space="preserve">Los componentes y actividades reflejados en la MIR actual aún no incluyen algunos componentes y actividades que eran generados por los otros </w:t>
      </w:r>
      <w:proofErr w:type="spellStart"/>
      <w:r>
        <w:t>Pp</w:t>
      </w:r>
      <w:proofErr w:type="spellEnd"/>
      <w:r>
        <w:t xml:space="preserve"> que se fusionaron y que aún se realizan por el </w:t>
      </w:r>
      <w:proofErr w:type="spellStart"/>
      <w:r>
        <w:t>Pp</w:t>
      </w:r>
      <w:proofErr w:type="spellEnd"/>
      <w:r>
        <w:t xml:space="preserve"> K129. Por otro lado, el resumen narrativo de la MIR aún no se encuentra plasmado en ningún documento oficial.</w:t>
      </w:r>
    </w:p>
    <w:p w14:paraId="0193B6F4" w14:textId="77777777" w:rsidR="00CD15E2" w:rsidRDefault="00CD15E2">
      <w:pPr>
        <w:spacing w:after="0"/>
        <w:rPr>
          <w:i/>
          <w:lang w:val="es-ES"/>
        </w:rPr>
      </w:pPr>
    </w:p>
    <w:p w14:paraId="1ADE69D6" w14:textId="77777777" w:rsidR="00D82633" w:rsidRPr="0043350C" w:rsidRDefault="00D82633" w:rsidP="00D82633">
      <w:pPr>
        <w:spacing w:line="250" w:lineRule="exact"/>
        <w:jc w:val="both"/>
        <w:rPr>
          <w:i/>
          <w:lang w:val="es-ES"/>
        </w:rPr>
      </w:pPr>
      <w:r w:rsidRPr="0043350C">
        <w:rPr>
          <w:i/>
          <w:lang w:val="es-ES"/>
        </w:rPr>
        <w:t>Planeación y Orientación a Resultados:</w:t>
      </w:r>
    </w:p>
    <w:p w14:paraId="618EFD40" w14:textId="77777777" w:rsidR="00D82633" w:rsidRDefault="00D82633" w:rsidP="00D82633">
      <w:pPr>
        <w:jc w:val="both"/>
        <w:rPr>
          <w:rFonts w:eastAsia="Times New Roman" w:cs="Arial"/>
          <w:szCs w:val="20"/>
          <w:lang w:val="es-ES"/>
        </w:rPr>
      </w:pPr>
      <w:r w:rsidRPr="00DC4837">
        <w:rPr>
          <w:rFonts w:eastAsia="Times New Roman" w:cs="Arial"/>
          <w:szCs w:val="20"/>
          <w:lang w:val="es-ES"/>
        </w:rPr>
        <w:t>El Mecanismo de Planeación es el instrumento principal de planeación</w:t>
      </w:r>
      <w:r>
        <w:rPr>
          <w:rFonts w:eastAsia="Times New Roman" w:cs="Arial"/>
          <w:szCs w:val="20"/>
          <w:lang w:val="es-ES"/>
        </w:rPr>
        <w:t xml:space="preserve"> del </w:t>
      </w:r>
      <w:proofErr w:type="spellStart"/>
      <w:r>
        <w:rPr>
          <w:rFonts w:eastAsia="Times New Roman" w:cs="Arial"/>
          <w:szCs w:val="20"/>
          <w:lang w:val="es-ES"/>
        </w:rPr>
        <w:t>Pp</w:t>
      </w:r>
      <w:proofErr w:type="spellEnd"/>
      <w:r>
        <w:rPr>
          <w:rFonts w:eastAsia="Times New Roman" w:cs="Arial"/>
          <w:szCs w:val="20"/>
          <w:lang w:val="es-ES"/>
        </w:rPr>
        <w:t xml:space="preserve"> y c</w:t>
      </w:r>
      <w:r w:rsidRPr="00DC4837">
        <w:rPr>
          <w:rFonts w:eastAsia="Times New Roman" w:cs="Arial"/>
          <w:szCs w:val="20"/>
          <w:lang w:val="es-ES"/>
        </w:rPr>
        <w:t>ontempla 599 pr</w:t>
      </w:r>
      <w:r>
        <w:rPr>
          <w:rFonts w:eastAsia="Times New Roman" w:cs="Arial"/>
          <w:szCs w:val="20"/>
          <w:lang w:val="es-ES"/>
        </w:rPr>
        <w:t xml:space="preserve">oyectos que inician y finalizan </w:t>
      </w:r>
      <w:r w:rsidRPr="00DC4837">
        <w:rPr>
          <w:rFonts w:eastAsia="Times New Roman" w:cs="Arial"/>
          <w:szCs w:val="20"/>
          <w:lang w:val="es-ES"/>
        </w:rPr>
        <w:t>entre 2017 y 2020</w:t>
      </w:r>
      <w:r>
        <w:rPr>
          <w:rFonts w:eastAsia="Times New Roman" w:cs="Arial"/>
          <w:szCs w:val="20"/>
          <w:lang w:val="es-ES"/>
        </w:rPr>
        <w:t xml:space="preserve">. Sin embargo, no hay una definición clara de los resultados esperados, ni si son consistentes con los objetivos reflejados en la MIR. Por otra parte, el </w:t>
      </w:r>
      <w:proofErr w:type="spellStart"/>
      <w:r>
        <w:rPr>
          <w:rFonts w:eastAsia="Times New Roman" w:cs="Arial"/>
          <w:szCs w:val="20"/>
          <w:lang w:val="es-ES"/>
        </w:rPr>
        <w:t>Pp</w:t>
      </w:r>
      <w:proofErr w:type="spellEnd"/>
      <w:r>
        <w:rPr>
          <w:rFonts w:eastAsia="Times New Roman" w:cs="Arial"/>
          <w:szCs w:val="20"/>
          <w:lang w:val="es-ES"/>
        </w:rPr>
        <w:t xml:space="preserve"> cuenta c</w:t>
      </w:r>
      <w:r w:rsidR="00A03191">
        <w:rPr>
          <w:rFonts w:eastAsia="Times New Roman" w:cs="Arial"/>
          <w:szCs w:val="20"/>
          <w:lang w:val="es-ES"/>
        </w:rPr>
        <w:t>on un Programa Anual de Trabajo</w:t>
      </w:r>
      <w:r>
        <w:rPr>
          <w:rFonts w:eastAsia="Times New Roman" w:cs="Arial"/>
          <w:szCs w:val="20"/>
          <w:lang w:val="es-ES"/>
        </w:rPr>
        <w:t xml:space="preserve">, donde se </w:t>
      </w:r>
      <w:r w:rsidRPr="00DC4837">
        <w:rPr>
          <w:rFonts w:eastAsia="Times New Roman" w:cs="Arial"/>
          <w:szCs w:val="20"/>
          <w:lang w:val="es-ES"/>
        </w:rPr>
        <w:t>establecen las obras a realizar</w:t>
      </w:r>
      <w:r>
        <w:rPr>
          <w:rFonts w:eastAsia="Times New Roman" w:cs="Arial"/>
          <w:szCs w:val="20"/>
          <w:lang w:val="es-ES"/>
        </w:rPr>
        <w:t xml:space="preserve">, la población y las hectáreas </w:t>
      </w:r>
      <w:r w:rsidRPr="00DC4837">
        <w:rPr>
          <w:rFonts w:eastAsia="Times New Roman" w:cs="Arial"/>
          <w:szCs w:val="20"/>
          <w:lang w:val="es-ES"/>
        </w:rPr>
        <w:t>beneficiadas</w:t>
      </w:r>
      <w:r w:rsidR="00355FB5">
        <w:rPr>
          <w:rFonts w:eastAsia="Times New Roman" w:cs="Arial"/>
          <w:szCs w:val="20"/>
          <w:lang w:val="es-ES"/>
        </w:rPr>
        <w:t>,</w:t>
      </w:r>
      <w:r w:rsidRPr="00DC4837">
        <w:rPr>
          <w:rFonts w:eastAsia="Times New Roman" w:cs="Arial"/>
          <w:szCs w:val="20"/>
          <w:lang w:val="es-ES"/>
        </w:rPr>
        <w:t xml:space="preserve"> y el presupuesto a ejercer o ejercido.</w:t>
      </w:r>
    </w:p>
    <w:p w14:paraId="459662AB" w14:textId="77777777" w:rsidR="00D82633" w:rsidRPr="0043350C" w:rsidRDefault="00D82633" w:rsidP="00D82633">
      <w:pPr>
        <w:spacing w:before="240" w:line="250" w:lineRule="exact"/>
        <w:jc w:val="both"/>
        <w:rPr>
          <w:i/>
          <w:lang w:val="es-ES"/>
        </w:rPr>
      </w:pPr>
      <w:r w:rsidRPr="0043350C">
        <w:rPr>
          <w:i/>
          <w:szCs w:val="22"/>
        </w:rPr>
        <w:t>Cobertura y Focalización:</w:t>
      </w:r>
    </w:p>
    <w:p w14:paraId="3554172F" w14:textId="77777777" w:rsidR="00D82633" w:rsidRDefault="00D82633" w:rsidP="00D82633">
      <w:pPr>
        <w:pStyle w:val="Cdetexto"/>
      </w:pPr>
      <w:r>
        <w:t xml:space="preserve">La identificación de la </w:t>
      </w:r>
      <w:proofErr w:type="spellStart"/>
      <w:r>
        <w:t>PPo</w:t>
      </w:r>
      <w:proofErr w:type="spellEnd"/>
      <w:r>
        <w:t xml:space="preserve"> es errónea porque debería ser la que se encuentra en la situación descrita en el problema, no sólo la que se planea atender en un ejercicio o periodo determinado. Por lo anterior, se carece de una cuantificación clara y precisa de la </w:t>
      </w:r>
      <w:proofErr w:type="spellStart"/>
      <w:r>
        <w:t>PPo</w:t>
      </w:r>
      <w:proofErr w:type="spellEnd"/>
      <w:r>
        <w:t xml:space="preserve">. En este mismo sentido, el </w:t>
      </w:r>
      <w:proofErr w:type="spellStart"/>
      <w:r>
        <w:t>Pp</w:t>
      </w:r>
      <w:proofErr w:type="spellEnd"/>
      <w:r>
        <w:t xml:space="preserve"> no cuenta con una estrategia de cobertura.</w:t>
      </w:r>
    </w:p>
    <w:p w14:paraId="760A307A" w14:textId="77777777" w:rsidR="00D82633" w:rsidRPr="0043350C" w:rsidRDefault="00D82633" w:rsidP="00D82633">
      <w:pPr>
        <w:pStyle w:val="Cdetexto"/>
      </w:pPr>
      <w:r>
        <w:t xml:space="preserve">El </w:t>
      </w:r>
      <w:proofErr w:type="spellStart"/>
      <w:r w:rsidR="006F43FB">
        <w:t>Pp</w:t>
      </w:r>
      <w:proofErr w:type="spellEnd"/>
      <w:r>
        <w:t xml:space="preserve"> identifica a su PO </w:t>
      </w:r>
      <w:r w:rsidR="009F6411">
        <w:t xml:space="preserve">anual </w:t>
      </w:r>
      <w:r>
        <w:t>a través de los estudios de costo beneficio de los proyectos de inversión que se realizarán durante el año, lo cual impide una planeación a mediano y largo plazo</w:t>
      </w:r>
      <w:r w:rsidR="006F43FB">
        <w:t>s</w:t>
      </w:r>
      <w:r>
        <w:t>.</w:t>
      </w:r>
    </w:p>
    <w:p w14:paraId="7FF2A051" w14:textId="77777777" w:rsidR="00D82633" w:rsidRDefault="00D82633" w:rsidP="00D82633">
      <w:pPr>
        <w:spacing w:before="240" w:line="250" w:lineRule="exact"/>
        <w:contextualSpacing/>
        <w:jc w:val="both"/>
        <w:rPr>
          <w:i/>
          <w:szCs w:val="18"/>
        </w:rPr>
      </w:pPr>
      <w:r w:rsidRPr="0043350C">
        <w:rPr>
          <w:i/>
          <w:szCs w:val="18"/>
        </w:rPr>
        <w:t>Operación:</w:t>
      </w:r>
    </w:p>
    <w:p w14:paraId="19FD4820" w14:textId="77777777" w:rsidR="00D82633" w:rsidRDefault="00D82633" w:rsidP="00D82633">
      <w:pPr>
        <w:pStyle w:val="Cdetexto"/>
      </w:pPr>
      <w:r>
        <w:t xml:space="preserve">El </w:t>
      </w:r>
      <w:proofErr w:type="spellStart"/>
      <w:r>
        <w:t>Pp</w:t>
      </w:r>
      <w:proofErr w:type="spellEnd"/>
      <w:r>
        <w:t xml:space="preserve"> no cuenta con un manual de procesos o procedimientos propio. Por otro lado, la falta de claridad en la </w:t>
      </w:r>
      <w:proofErr w:type="spellStart"/>
      <w:r>
        <w:t>PPo</w:t>
      </w:r>
      <w:proofErr w:type="spellEnd"/>
      <w:r>
        <w:t xml:space="preserve"> redunda en carencia de información sobre la demanda de componentes que genera el Pp. Asimismo, la inexistencia de un manual de procedimientos implica que no hay un proceso claro para la solicitud de obras o proyectos</w:t>
      </w:r>
      <w:r w:rsidR="009F6411">
        <w:t>;</w:t>
      </w:r>
      <w:r>
        <w:t xml:space="preserve"> aunque sí existe un proceso para el trámite de las mismas, que no se encuentra plasmado de manera oficial.</w:t>
      </w:r>
    </w:p>
    <w:p w14:paraId="24C4C17A" w14:textId="77777777" w:rsidR="00D82633" w:rsidRDefault="00D82633" w:rsidP="00D82633">
      <w:pPr>
        <w:pStyle w:val="Cdetexto"/>
      </w:pPr>
      <w:r>
        <w:t xml:space="preserve">En lo que se refiere a los criterios de elegibilidad de las obras o proyectos, </w:t>
      </w:r>
      <w:r w:rsidR="00CD15E2">
        <w:t>e</w:t>
      </w:r>
      <w:r>
        <w:t xml:space="preserve">stos están claramente definidos, estandarizados y sistematizados, pero dichas obras son sometidas a un Comité de Priorización de Inversiones de </w:t>
      </w:r>
      <w:r w:rsidR="006F43FB">
        <w:t>la Comisión Nacional del Agua</w:t>
      </w:r>
      <w:r w:rsidR="009F6411">
        <w:t>,</w:t>
      </w:r>
      <w:r w:rsidR="006F43FB">
        <w:t xml:space="preserve"> </w:t>
      </w:r>
      <w:r>
        <w:t>carec</w:t>
      </w:r>
      <w:r w:rsidR="009F6411">
        <w:t>iéndose</w:t>
      </w:r>
      <w:r>
        <w:t xml:space="preserve"> de un mecanismo que verifique este proceso de priorización.</w:t>
      </w:r>
    </w:p>
    <w:p w14:paraId="2B3F3499" w14:textId="77777777" w:rsidR="00D82633" w:rsidRDefault="00D82633" w:rsidP="00D82633">
      <w:pPr>
        <w:pStyle w:val="Cdetexto"/>
      </w:pPr>
      <w:r>
        <w:t xml:space="preserve">El mecanismo para verificar la entrega de los componentes del </w:t>
      </w:r>
      <w:proofErr w:type="spellStart"/>
      <w:r w:rsidR="006F43FB">
        <w:t>Pp</w:t>
      </w:r>
      <w:proofErr w:type="spellEnd"/>
      <w:r>
        <w:t xml:space="preserve"> está normado fuera del programa, por tratarse de programas de inversión. En este mismo sentido, el seguimiento y evaluación de la construcción de las obras queda reglamentado a través de la Ley de Obras Públicas y Servicios Relacionados con las mismas, su Reglamento y el Manual Administrativo de Aplicación General en Materia de Obras Públicas y Servicios Relacionados con las Mismas.</w:t>
      </w:r>
    </w:p>
    <w:p w14:paraId="32D18BCD" w14:textId="77777777" w:rsidR="00D82633" w:rsidRPr="0043350C" w:rsidRDefault="00D82633" w:rsidP="00D82633">
      <w:pPr>
        <w:pStyle w:val="Cdetexto"/>
      </w:pPr>
      <w:r w:rsidRPr="0043350C">
        <w:rPr>
          <w:i/>
          <w:szCs w:val="22"/>
        </w:rPr>
        <w:t>Percepción de la Población Atendida:</w:t>
      </w:r>
    </w:p>
    <w:p w14:paraId="2BED167C" w14:textId="77777777" w:rsidR="00D82633" w:rsidRDefault="00D82633" w:rsidP="00D82633">
      <w:pPr>
        <w:pStyle w:val="Cdetexto"/>
      </w:pPr>
      <w:r>
        <w:t xml:space="preserve">El </w:t>
      </w:r>
      <w:proofErr w:type="spellStart"/>
      <w:r>
        <w:t>Pp</w:t>
      </w:r>
      <w:proofErr w:type="spellEnd"/>
      <w:r>
        <w:t xml:space="preserve"> carece de mecanismos para medir el grado de satisfacción de la </w:t>
      </w:r>
      <w:r w:rsidR="006F43FB">
        <w:t>población atendida</w:t>
      </w:r>
      <w:r>
        <w:t xml:space="preserve">; se ha propuesto la creación de </w:t>
      </w:r>
      <w:r w:rsidRPr="00D505C3">
        <w:t>comités de contraloría social</w:t>
      </w:r>
      <w:r>
        <w:t xml:space="preserve">, pero </w:t>
      </w:r>
      <w:r w:rsidR="00CD15E2">
        <w:t>e</w:t>
      </w:r>
      <w:r>
        <w:t>stos aún no están en funcionamiento.</w:t>
      </w:r>
    </w:p>
    <w:p w14:paraId="418452D0" w14:textId="77777777" w:rsidR="003562B5" w:rsidRDefault="003562B5" w:rsidP="00D82633">
      <w:pPr>
        <w:pStyle w:val="Cdetexto"/>
        <w:rPr>
          <w:i/>
          <w:szCs w:val="22"/>
        </w:rPr>
      </w:pPr>
    </w:p>
    <w:p w14:paraId="0C69BF25" w14:textId="77777777" w:rsidR="00D82633" w:rsidRPr="0043350C" w:rsidRDefault="00D82633" w:rsidP="00D82633">
      <w:pPr>
        <w:pStyle w:val="Cdetexto"/>
        <w:rPr>
          <w:i/>
          <w:szCs w:val="22"/>
        </w:rPr>
      </w:pPr>
      <w:r w:rsidRPr="0043350C">
        <w:rPr>
          <w:i/>
          <w:szCs w:val="22"/>
        </w:rPr>
        <w:lastRenderedPageBreak/>
        <w:t>Medición de Resultados:</w:t>
      </w:r>
    </w:p>
    <w:p w14:paraId="4FD6B027" w14:textId="77777777" w:rsidR="00D82633" w:rsidRDefault="00D82633" w:rsidP="00D82633">
      <w:pPr>
        <w:pStyle w:val="Cdetexto"/>
      </w:pPr>
      <w:r>
        <w:t xml:space="preserve">El </w:t>
      </w:r>
      <w:proofErr w:type="spellStart"/>
      <w:r>
        <w:t>Pp</w:t>
      </w:r>
      <w:proofErr w:type="spellEnd"/>
      <w:r>
        <w:t xml:space="preserve"> solo cuenta con datos de 2015 para el indicador a nivel fin</w:t>
      </w:r>
      <w:r w:rsidR="006F43FB">
        <w:t>:</w:t>
      </w:r>
      <w:r>
        <w:t xml:space="preserve"> “Disminución de la vulnerabilidad mediante infraestructura y acciones para la conservación, restauración y manejo sustentable del capital natural”</w:t>
      </w:r>
      <w:r w:rsidR="006F43FB">
        <w:t>;</w:t>
      </w:r>
      <w:r>
        <w:t xml:space="preserve"> </w:t>
      </w:r>
      <w:r w:rsidR="006F43FB">
        <w:t>s</w:t>
      </w:r>
      <w:r>
        <w:t>e trata de un índice calculado por la Secretaría de Medi</w:t>
      </w:r>
      <w:r w:rsidR="006F43FB">
        <w:t>o Ambiente y Recursos Naturales</w:t>
      </w:r>
      <w:r>
        <w:t xml:space="preserve"> </w:t>
      </w:r>
      <w:r w:rsidR="006F43FB">
        <w:t xml:space="preserve">que </w:t>
      </w:r>
      <w:r>
        <w:t>se calcula bianualmente y</w:t>
      </w:r>
      <w:r w:rsidR="006F43FB">
        <w:t>,</w:t>
      </w:r>
      <w:r>
        <w:t xml:space="preserve"> al no tratarse de una fuente de consulta pública, puede </w:t>
      </w:r>
      <w:r w:rsidR="006F43FB">
        <w:t>llevar a</w:t>
      </w:r>
      <w:r>
        <w:t xml:space="preserve"> ausencia de información y</w:t>
      </w:r>
      <w:r w:rsidR="006F43FB">
        <w:t>,</w:t>
      </w:r>
      <w:r>
        <w:t xml:space="preserve"> por tanto</w:t>
      </w:r>
      <w:r w:rsidR="006F43FB">
        <w:t>,</w:t>
      </w:r>
      <w:r>
        <w:t xml:space="preserve"> incapacidad </w:t>
      </w:r>
      <w:r w:rsidR="006F43FB">
        <w:t>para</w:t>
      </w:r>
      <w:r>
        <w:t xml:space="preserve"> dar seguimiento puntual al mismo.</w:t>
      </w:r>
    </w:p>
    <w:p w14:paraId="7A30AD78" w14:textId="77777777" w:rsidR="00D82633" w:rsidRPr="0043350C" w:rsidRDefault="00D82633" w:rsidP="00D82633">
      <w:pPr>
        <w:pStyle w:val="Cdetexto"/>
      </w:pPr>
      <w:r>
        <w:t xml:space="preserve">En lo que se refiere al indicador a nivel propósito, el indicador se estableció por primera vez en </w:t>
      </w:r>
      <w:r w:rsidR="00B721DC">
        <w:t>2016, siendo su resultado 105.6</w:t>
      </w:r>
      <w:r>
        <w:t xml:space="preserve">% </w:t>
      </w:r>
      <w:r w:rsidR="009F6411">
        <w:t>respecto de la meta planteada,</w:t>
      </w:r>
      <w:r>
        <w:t xml:space="preserve"> estando pendiente de cálculo en 2017. El indicador muestra el porcentaje </w:t>
      </w:r>
      <w:r w:rsidR="005F1420">
        <w:t xml:space="preserve">entre lo logrado </w:t>
      </w:r>
      <w:r>
        <w:t xml:space="preserve">respecto </w:t>
      </w:r>
      <w:r w:rsidR="005F1420">
        <w:t>de</w:t>
      </w:r>
      <w:r>
        <w:t xml:space="preserve"> lo planeado, por lo que no es necesariamente comparable entre años.</w:t>
      </w:r>
    </w:p>
    <w:p w14:paraId="387BC49D" w14:textId="77777777" w:rsidR="00D82633" w:rsidRPr="0043350C" w:rsidRDefault="00D82633" w:rsidP="00D82633">
      <w:pPr>
        <w:spacing w:line="250" w:lineRule="exact"/>
        <w:jc w:val="both"/>
        <w:rPr>
          <w:rFonts w:eastAsia="Times New Roman" w:cs="Arial"/>
          <w:b/>
          <w:szCs w:val="20"/>
          <w:lang w:val="es-ES"/>
        </w:rPr>
      </w:pPr>
      <w:r w:rsidRPr="0043350C">
        <w:rPr>
          <w:rFonts w:eastAsia="Times New Roman" w:cs="Arial"/>
          <w:b/>
          <w:szCs w:val="20"/>
          <w:lang w:val="es-ES"/>
        </w:rPr>
        <w:t>Principales Recomendaciones</w:t>
      </w:r>
    </w:p>
    <w:p w14:paraId="7F3283C9" w14:textId="77777777" w:rsidR="00D82633" w:rsidRDefault="00D82633" w:rsidP="00D82633">
      <w:pPr>
        <w:pStyle w:val="Bala"/>
        <w:numPr>
          <w:ilvl w:val="0"/>
          <w:numId w:val="1"/>
        </w:numPr>
        <w:ind w:left="357" w:hanging="357"/>
      </w:pPr>
      <w:r>
        <w:t>Concluir la elaboración de un diagnóstico que involucre la revisión de</w:t>
      </w:r>
      <w:r w:rsidR="0056595B">
        <w:t>l árbol del problema, de</w:t>
      </w:r>
      <w:r>
        <w:t xml:space="preserve">l árbol de objetivos y </w:t>
      </w:r>
      <w:r w:rsidR="0056595B">
        <w:t xml:space="preserve">de </w:t>
      </w:r>
      <w:r>
        <w:t>los indicadores.</w:t>
      </w:r>
    </w:p>
    <w:p w14:paraId="4FF6C488" w14:textId="77777777" w:rsidR="00D82633" w:rsidRDefault="00D82633" w:rsidP="00D82633">
      <w:pPr>
        <w:pStyle w:val="Bala"/>
        <w:numPr>
          <w:ilvl w:val="0"/>
          <w:numId w:val="1"/>
        </w:numPr>
        <w:ind w:left="357" w:hanging="357"/>
      </w:pPr>
      <w:r>
        <w:t xml:space="preserve">Incluir en la nueva MIR del </w:t>
      </w:r>
      <w:proofErr w:type="spellStart"/>
      <w:r w:rsidR="0056595B">
        <w:t>Pp</w:t>
      </w:r>
      <w:proofErr w:type="spellEnd"/>
      <w:r>
        <w:t xml:space="preserve"> las acciones que ya eran parte de los otros </w:t>
      </w:r>
      <w:proofErr w:type="spellStart"/>
      <w:r w:rsidR="0056595B">
        <w:t>Pp</w:t>
      </w:r>
      <w:proofErr w:type="spellEnd"/>
      <w:r>
        <w:t xml:space="preserve"> que se fusionaron, y que constituyen la parte complementaria del núcleo del </w:t>
      </w:r>
      <w:proofErr w:type="spellStart"/>
      <w:r w:rsidR="0056595B">
        <w:t>Pp</w:t>
      </w:r>
      <w:proofErr w:type="spellEnd"/>
      <w:r w:rsidR="0056595B">
        <w:t xml:space="preserve"> </w:t>
      </w:r>
      <w:r>
        <w:t>K129.</w:t>
      </w:r>
    </w:p>
    <w:p w14:paraId="48DE81D4" w14:textId="77777777" w:rsidR="00D82633" w:rsidRDefault="00D82633" w:rsidP="00D82633">
      <w:pPr>
        <w:pStyle w:val="Bala"/>
        <w:numPr>
          <w:ilvl w:val="0"/>
          <w:numId w:val="1"/>
        </w:numPr>
        <w:ind w:left="357" w:hanging="357"/>
      </w:pPr>
      <w:r>
        <w:t xml:space="preserve">Establecer una metodología para definir, cuantificar y actualizar a la </w:t>
      </w:r>
      <w:proofErr w:type="spellStart"/>
      <w:r>
        <w:t>PPo</w:t>
      </w:r>
      <w:proofErr w:type="spellEnd"/>
      <w:r>
        <w:t xml:space="preserve">, la PO y </w:t>
      </w:r>
      <w:r w:rsidR="0056595B">
        <w:t xml:space="preserve">a </w:t>
      </w:r>
      <w:r>
        <w:t xml:space="preserve">la </w:t>
      </w:r>
      <w:r w:rsidR="005F1420">
        <w:t>P</w:t>
      </w:r>
      <w:r w:rsidR="0056595B">
        <w:t xml:space="preserve">oblación </w:t>
      </w:r>
      <w:r w:rsidR="005F1420">
        <w:t>A</w:t>
      </w:r>
      <w:r w:rsidR="0056595B">
        <w:t>tendida</w:t>
      </w:r>
      <w:r>
        <w:t>.</w:t>
      </w:r>
    </w:p>
    <w:p w14:paraId="1B27757D" w14:textId="77777777" w:rsidR="00D82633" w:rsidRDefault="00D82633" w:rsidP="00D82633">
      <w:pPr>
        <w:pStyle w:val="Bala"/>
        <w:numPr>
          <w:ilvl w:val="0"/>
          <w:numId w:val="1"/>
        </w:numPr>
        <w:ind w:left="357" w:hanging="357"/>
      </w:pPr>
      <w:r>
        <w:t xml:space="preserve">Definir un plan de cobertura a partir de la identificación y cuantificación de la </w:t>
      </w:r>
      <w:proofErr w:type="spellStart"/>
      <w:r>
        <w:t>PPo</w:t>
      </w:r>
      <w:proofErr w:type="spellEnd"/>
      <w:r>
        <w:t xml:space="preserve"> y valorar la distribución de las obras con un enfoque en la atenció</w:t>
      </w:r>
      <w:r w:rsidR="00AB2575">
        <w:t>n de necesidades; aclarar</w:t>
      </w:r>
      <w:r>
        <w:t xml:space="preserve"> y estandarizar el proceso de priorización de obras, a fin de validar la ejecución del protocolo.</w:t>
      </w:r>
    </w:p>
    <w:p w14:paraId="53D2FD39" w14:textId="77777777" w:rsidR="00D82633" w:rsidRDefault="00D82633" w:rsidP="00D82633">
      <w:pPr>
        <w:pStyle w:val="Bala"/>
        <w:numPr>
          <w:ilvl w:val="0"/>
          <w:numId w:val="1"/>
        </w:numPr>
        <w:ind w:left="357" w:hanging="357"/>
      </w:pPr>
      <w:r>
        <w:t xml:space="preserve">Modificar el indicador de fin de la MIR para que refleje el impacto del </w:t>
      </w:r>
      <w:proofErr w:type="spellStart"/>
      <w:r w:rsidR="00AB2575">
        <w:t>Pp</w:t>
      </w:r>
      <w:proofErr w:type="spellEnd"/>
      <w:r>
        <w:t xml:space="preserve"> con información disponible públicamente o que se pueda recabar a través de estudios propios.</w:t>
      </w:r>
    </w:p>
    <w:p w14:paraId="6049521D" w14:textId="77777777" w:rsidR="00D72319" w:rsidRPr="00D82633" w:rsidRDefault="00D72319" w:rsidP="00C14BE7">
      <w:pPr>
        <w:rPr>
          <w:lang w:val="es-ES"/>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D82633" w:rsidRPr="0043350C" w14:paraId="3441348F" w14:textId="77777777" w:rsidTr="0014275D">
        <w:tc>
          <w:tcPr>
            <w:tcW w:w="749" w:type="pct"/>
            <w:vAlign w:val="center"/>
          </w:tcPr>
          <w:p w14:paraId="77E01DA4" w14:textId="77777777" w:rsidR="00D82633" w:rsidRPr="0043350C" w:rsidRDefault="00D82633" w:rsidP="0014275D">
            <w:pPr>
              <w:spacing w:before="20" w:after="0"/>
              <w:ind w:left="170"/>
              <w:rPr>
                <w:b/>
                <w:sz w:val="16"/>
                <w:lang w:val="es-ES"/>
              </w:rPr>
            </w:pPr>
            <w:r w:rsidRPr="0043350C">
              <w:rPr>
                <w:b/>
                <w:sz w:val="16"/>
                <w:lang w:val="es-ES"/>
              </w:rPr>
              <w:t>Evaluador Externo:</w:t>
            </w:r>
          </w:p>
        </w:tc>
        <w:tc>
          <w:tcPr>
            <w:tcW w:w="4251" w:type="pct"/>
            <w:gridSpan w:val="3"/>
          </w:tcPr>
          <w:p w14:paraId="6BDE0720" w14:textId="77777777" w:rsidR="00D82633" w:rsidRPr="0043350C" w:rsidRDefault="00D82633" w:rsidP="0014275D">
            <w:pPr>
              <w:spacing w:before="20" w:after="0"/>
              <w:ind w:left="113"/>
              <w:rPr>
                <w:sz w:val="16"/>
                <w:lang w:val="es-ES"/>
              </w:rPr>
            </w:pPr>
            <w:r w:rsidRPr="0043350C">
              <w:rPr>
                <w:sz w:val="16"/>
                <w:lang w:val="es-ES"/>
              </w:rPr>
              <w:t xml:space="preserve">1. Instancia Evaluadora: </w:t>
            </w:r>
            <w:r w:rsidRPr="001E2934">
              <w:rPr>
                <w:sz w:val="16"/>
                <w:lang w:val="es-ES"/>
              </w:rPr>
              <w:t>Rubén Urbina Pastor</w:t>
            </w:r>
          </w:p>
          <w:p w14:paraId="3FC43BDA" w14:textId="77777777" w:rsidR="00D82633" w:rsidRPr="0043350C" w:rsidRDefault="00D82633" w:rsidP="0014275D">
            <w:pPr>
              <w:spacing w:before="20" w:after="0"/>
              <w:ind w:left="113"/>
              <w:rPr>
                <w:sz w:val="16"/>
                <w:lang w:val="es-ES"/>
              </w:rPr>
            </w:pPr>
            <w:r w:rsidRPr="0043350C">
              <w:rPr>
                <w:sz w:val="16"/>
                <w:lang w:val="es-ES"/>
              </w:rPr>
              <w:t xml:space="preserve">2. Coordinador de la Evaluación: </w:t>
            </w:r>
            <w:r w:rsidRPr="001E2934">
              <w:rPr>
                <w:sz w:val="16"/>
                <w:lang w:val="es-ES"/>
              </w:rPr>
              <w:t>Rubén Urbina Pastor</w:t>
            </w:r>
          </w:p>
          <w:p w14:paraId="66390351" w14:textId="77777777" w:rsidR="00D82633" w:rsidRPr="0043350C" w:rsidRDefault="00D82633" w:rsidP="0014275D">
            <w:pPr>
              <w:spacing w:before="20" w:after="0"/>
              <w:ind w:left="113"/>
              <w:rPr>
                <w:sz w:val="16"/>
                <w:lang w:val="es-ES"/>
              </w:rPr>
            </w:pPr>
            <w:r w:rsidRPr="0043350C">
              <w:rPr>
                <w:sz w:val="16"/>
                <w:lang w:val="es-ES"/>
              </w:rPr>
              <w:t xml:space="preserve">3. Forma de contratación: </w:t>
            </w:r>
            <w:r>
              <w:rPr>
                <w:sz w:val="16"/>
                <w:lang w:val="es-ES"/>
              </w:rPr>
              <w:t>Invitación a cuando menos tres personas</w:t>
            </w:r>
          </w:p>
        </w:tc>
      </w:tr>
      <w:tr w:rsidR="00D82633" w:rsidRPr="0043350C" w14:paraId="24CEC853" w14:textId="77777777" w:rsidTr="0014275D">
        <w:tc>
          <w:tcPr>
            <w:tcW w:w="749" w:type="pct"/>
            <w:vAlign w:val="center"/>
          </w:tcPr>
          <w:p w14:paraId="448A2EA3" w14:textId="77777777" w:rsidR="00D82633" w:rsidRPr="0043350C" w:rsidRDefault="00D82633" w:rsidP="0014275D">
            <w:pPr>
              <w:spacing w:before="20" w:after="0"/>
              <w:ind w:left="170"/>
              <w:rPr>
                <w:b/>
                <w:sz w:val="16"/>
                <w:lang w:val="es-ES"/>
              </w:rPr>
            </w:pPr>
          </w:p>
        </w:tc>
        <w:tc>
          <w:tcPr>
            <w:tcW w:w="4251" w:type="pct"/>
            <w:gridSpan w:val="3"/>
          </w:tcPr>
          <w:p w14:paraId="042BF125" w14:textId="77777777" w:rsidR="00D82633" w:rsidRPr="0043350C" w:rsidRDefault="00D82633" w:rsidP="0014275D">
            <w:pPr>
              <w:spacing w:before="20" w:after="0"/>
              <w:ind w:left="113"/>
              <w:rPr>
                <w:sz w:val="16"/>
                <w:lang w:val="es-ES"/>
              </w:rPr>
            </w:pPr>
          </w:p>
        </w:tc>
      </w:tr>
      <w:tr w:rsidR="00D82633" w:rsidRPr="0043350C" w14:paraId="001CC60F" w14:textId="77777777" w:rsidTr="0014275D">
        <w:tc>
          <w:tcPr>
            <w:tcW w:w="749" w:type="pct"/>
            <w:vAlign w:val="center"/>
          </w:tcPr>
          <w:p w14:paraId="2BE7CE41" w14:textId="77777777" w:rsidR="00D82633" w:rsidRPr="0043350C" w:rsidRDefault="00D82633" w:rsidP="0014275D">
            <w:pPr>
              <w:spacing w:before="20" w:after="0"/>
              <w:ind w:left="170"/>
              <w:rPr>
                <w:b/>
                <w:sz w:val="16"/>
                <w:lang w:val="es-ES"/>
              </w:rPr>
            </w:pPr>
            <w:r w:rsidRPr="0043350C">
              <w:rPr>
                <w:b/>
                <w:sz w:val="16"/>
                <w:lang w:val="es-ES"/>
              </w:rPr>
              <w:t>Costo:</w:t>
            </w:r>
          </w:p>
        </w:tc>
        <w:tc>
          <w:tcPr>
            <w:tcW w:w="1113" w:type="pct"/>
            <w:vAlign w:val="center"/>
          </w:tcPr>
          <w:p w14:paraId="76E04CA1" w14:textId="77777777" w:rsidR="00D82633" w:rsidRPr="0043350C" w:rsidRDefault="00D82633" w:rsidP="00D82633">
            <w:pPr>
              <w:spacing w:before="20" w:after="0"/>
              <w:ind w:left="113"/>
              <w:rPr>
                <w:sz w:val="16"/>
                <w:lang w:val="es-ES"/>
              </w:rPr>
            </w:pPr>
            <w:r w:rsidRPr="0043350C">
              <w:rPr>
                <w:sz w:val="16"/>
                <w:lang w:val="es-ES"/>
              </w:rPr>
              <w:t>$</w:t>
            </w:r>
            <w:r>
              <w:rPr>
                <w:sz w:val="16"/>
                <w:lang w:val="es-ES"/>
              </w:rPr>
              <w:t xml:space="preserve">310,944.96 </w:t>
            </w:r>
            <w:r w:rsidRPr="0043350C">
              <w:rPr>
                <w:sz w:val="16"/>
                <w:lang w:val="es-ES"/>
              </w:rPr>
              <w:t>IVA</w:t>
            </w:r>
            <w:r>
              <w:rPr>
                <w:sz w:val="16"/>
                <w:lang w:val="es-ES"/>
              </w:rPr>
              <w:t xml:space="preserve"> incluido</w:t>
            </w:r>
          </w:p>
        </w:tc>
        <w:tc>
          <w:tcPr>
            <w:tcW w:w="904" w:type="pct"/>
            <w:vAlign w:val="center"/>
          </w:tcPr>
          <w:p w14:paraId="15E8C576" w14:textId="77777777" w:rsidR="00D82633" w:rsidRPr="0043350C" w:rsidRDefault="00D82633" w:rsidP="0014275D">
            <w:pPr>
              <w:spacing w:before="20" w:after="0"/>
              <w:ind w:left="170"/>
              <w:rPr>
                <w:b/>
                <w:sz w:val="16"/>
                <w:lang w:val="es-ES"/>
              </w:rPr>
            </w:pPr>
            <w:r w:rsidRPr="0043350C">
              <w:rPr>
                <w:b/>
                <w:sz w:val="16"/>
                <w:lang w:val="es-ES"/>
              </w:rPr>
              <w:t>Fuente de Financiamiento:</w:t>
            </w:r>
          </w:p>
        </w:tc>
        <w:tc>
          <w:tcPr>
            <w:tcW w:w="2234" w:type="pct"/>
            <w:vAlign w:val="center"/>
          </w:tcPr>
          <w:p w14:paraId="1DEBF4D8" w14:textId="77777777" w:rsidR="00D82633" w:rsidRPr="00C3084D" w:rsidRDefault="00D82633" w:rsidP="0014275D">
            <w:pPr>
              <w:spacing w:before="20" w:after="0"/>
              <w:ind w:left="113"/>
              <w:rPr>
                <w:sz w:val="16"/>
                <w:lang w:val="es-ES"/>
              </w:rPr>
            </w:pPr>
            <w:r w:rsidRPr="00C3084D">
              <w:rPr>
                <w:sz w:val="16"/>
                <w:lang w:val="es-ES"/>
              </w:rPr>
              <w:t>Recursos fiscales</w:t>
            </w:r>
          </w:p>
        </w:tc>
      </w:tr>
      <w:tr w:rsidR="00D82633" w:rsidRPr="0043350C" w14:paraId="38D8F505" w14:textId="77777777" w:rsidTr="0014275D">
        <w:tc>
          <w:tcPr>
            <w:tcW w:w="749" w:type="pct"/>
            <w:tcBorders>
              <w:bottom w:val="single" w:sz="4" w:space="0" w:color="auto"/>
            </w:tcBorders>
            <w:vAlign w:val="bottom"/>
          </w:tcPr>
          <w:p w14:paraId="6AE6DAC7" w14:textId="77777777" w:rsidR="00D82633" w:rsidRPr="0043350C" w:rsidRDefault="00D82633" w:rsidP="0014275D">
            <w:pPr>
              <w:spacing w:before="20" w:after="0"/>
              <w:ind w:left="170"/>
              <w:rPr>
                <w:b/>
                <w:sz w:val="16"/>
                <w:szCs w:val="16"/>
                <w:lang w:val="es-ES" w:eastAsia="en-US"/>
              </w:rPr>
            </w:pPr>
            <w:r w:rsidRPr="0043350C">
              <w:rPr>
                <w:b/>
                <w:sz w:val="16"/>
                <w:szCs w:val="16"/>
                <w:lang w:val="es-ES" w:eastAsia="en-US"/>
              </w:rPr>
              <w:t>Coordinación de la Evaluación:</w:t>
            </w:r>
          </w:p>
        </w:tc>
        <w:tc>
          <w:tcPr>
            <w:tcW w:w="1113" w:type="pct"/>
            <w:tcBorders>
              <w:bottom w:val="single" w:sz="4" w:space="0" w:color="auto"/>
            </w:tcBorders>
            <w:vAlign w:val="center"/>
          </w:tcPr>
          <w:p w14:paraId="35640060" w14:textId="77777777" w:rsidR="00D82633" w:rsidRPr="0043350C" w:rsidRDefault="00D82633" w:rsidP="0014275D">
            <w:pPr>
              <w:spacing w:after="0"/>
              <w:jc w:val="center"/>
              <w:rPr>
                <w:rFonts w:eastAsia="Times New Roman" w:cs="Arial"/>
                <w:sz w:val="14"/>
                <w:szCs w:val="14"/>
                <w:lang w:val="es-ES"/>
              </w:rPr>
            </w:pPr>
            <w:r w:rsidRPr="005E2AAE">
              <w:rPr>
                <w:rFonts w:eastAsia="Times New Roman" w:cs="Arial"/>
                <w:sz w:val="16"/>
                <w:szCs w:val="14"/>
                <w:lang w:val="es-ES"/>
              </w:rPr>
              <w:t>SHCP</w:t>
            </w:r>
          </w:p>
        </w:tc>
        <w:tc>
          <w:tcPr>
            <w:tcW w:w="904" w:type="pct"/>
            <w:tcBorders>
              <w:bottom w:val="single" w:sz="4" w:space="0" w:color="auto"/>
            </w:tcBorders>
            <w:vAlign w:val="center"/>
          </w:tcPr>
          <w:p w14:paraId="586F434E" w14:textId="77777777" w:rsidR="00D82633" w:rsidRPr="0043350C" w:rsidRDefault="00D82633" w:rsidP="0014275D">
            <w:pPr>
              <w:spacing w:before="20" w:after="0"/>
              <w:ind w:left="170"/>
              <w:rPr>
                <w:b/>
                <w:sz w:val="16"/>
                <w:szCs w:val="16"/>
                <w:lang w:val="es-ES" w:eastAsia="en-US"/>
              </w:rPr>
            </w:pPr>
            <w:r w:rsidRPr="0043350C">
              <w:rPr>
                <w:b/>
                <w:sz w:val="16"/>
                <w:szCs w:val="16"/>
                <w:lang w:val="es-ES" w:eastAsia="en-US"/>
              </w:rPr>
              <w:t>Informe completo:</w:t>
            </w:r>
          </w:p>
        </w:tc>
        <w:tc>
          <w:tcPr>
            <w:tcW w:w="2234" w:type="pct"/>
            <w:tcBorders>
              <w:bottom w:val="single" w:sz="4" w:space="0" w:color="auto"/>
            </w:tcBorders>
            <w:vAlign w:val="center"/>
          </w:tcPr>
          <w:p w14:paraId="3F75FEC6" w14:textId="77777777" w:rsidR="00D82633" w:rsidRPr="0043350C" w:rsidRDefault="00D82633" w:rsidP="0014275D">
            <w:pPr>
              <w:spacing w:before="20" w:after="0"/>
              <w:ind w:left="113"/>
              <w:rPr>
                <w:rFonts w:eastAsia="Times New Roman"/>
                <w:sz w:val="16"/>
                <w:szCs w:val="16"/>
                <w:lang w:val="es-ES" w:eastAsia="en-US"/>
              </w:rPr>
            </w:pPr>
            <w:r w:rsidRPr="0043350C">
              <w:rPr>
                <w:rFonts w:eastAsia="Times New Roman"/>
                <w:sz w:val="16"/>
                <w:szCs w:val="16"/>
                <w:lang w:val="es-ES" w:eastAsia="en-US"/>
              </w:rPr>
              <w:t>Disponible en:</w:t>
            </w:r>
          </w:p>
          <w:p w14:paraId="2CBBB9F0" w14:textId="77777777" w:rsidR="00D82633" w:rsidRPr="0043350C" w:rsidRDefault="00D82633" w:rsidP="0014275D">
            <w:pPr>
              <w:spacing w:before="20" w:after="0"/>
              <w:ind w:left="113"/>
              <w:rPr>
                <w:rFonts w:eastAsia="Times New Roman"/>
                <w:sz w:val="16"/>
                <w:szCs w:val="16"/>
                <w:lang w:val="es-ES" w:eastAsia="en-US"/>
              </w:rPr>
            </w:pPr>
            <w:r w:rsidRPr="0043350C">
              <w:rPr>
                <w:rFonts w:eastAsia="Times New Roman"/>
                <w:sz w:val="16"/>
                <w:szCs w:val="16"/>
                <w:lang w:val="es-ES" w:eastAsia="en-US"/>
              </w:rPr>
              <w:t>http://www.transparenciapresupuestaria.gob.mx/</w:t>
            </w:r>
          </w:p>
        </w:tc>
      </w:tr>
    </w:tbl>
    <w:p w14:paraId="763C8992" w14:textId="77777777" w:rsidR="00D72319" w:rsidRDefault="00D72319" w:rsidP="00C14BE7"/>
    <w:p w14:paraId="0B768E31" w14:textId="77777777" w:rsidR="003562B5" w:rsidRDefault="003562B5">
      <w:r>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D82633" w:rsidRPr="0043350C" w14:paraId="66B5D264" w14:textId="77777777" w:rsidTr="0014275D">
        <w:trPr>
          <w:trHeight w:val="392"/>
          <w:jc w:val="center"/>
        </w:trPr>
        <w:tc>
          <w:tcPr>
            <w:tcW w:w="10173" w:type="dxa"/>
            <w:gridSpan w:val="5"/>
            <w:shd w:val="clear" w:color="auto" w:fill="D6E3BC" w:themeFill="accent3" w:themeFillTint="66"/>
            <w:vAlign w:val="center"/>
          </w:tcPr>
          <w:p w14:paraId="5E39B3DB" w14:textId="77777777" w:rsidR="00D82633" w:rsidRPr="008873F7" w:rsidRDefault="00D82633" w:rsidP="005854F3">
            <w:pPr>
              <w:pStyle w:val="CABEZA"/>
              <w:ind w:left="0"/>
              <w:rPr>
                <w:lang w:val="es-MX"/>
              </w:rPr>
            </w:pPr>
            <w:r w:rsidRPr="009F1073">
              <w:rPr>
                <w:lang w:val="es-MX"/>
              </w:rPr>
              <w:lastRenderedPageBreak/>
              <w:br w:type="page"/>
            </w:r>
            <w:r w:rsidRPr="008873F7">
              <w:rPr>
                <w:lang w:val="es-MX"/>
              </w:rPr>
              <w:br w:type="page"/>
            </w:r>
            <w:r w:rsidRPr="00D37B5C">
              <w:rPr>
                <w:lang w:val="es-MX"/>
              </w:rPr>
              <w:t xml:space="preserve">Ramo </w:t>
            </w:r>
            <w:r>
              <w:rPr>
                <w:lang w:val="es-MX"/>
              </w:rPr>
              <w:t>21. Turismo</w:t>
            </w:r>
          </w:p>
        </w:tc>
      </w:tr>
      <w:tr w:rsidR="00D82633" w:rsidRPr="0043350C" w14:paraId="4C7A9E7C" w14:textId="77777777" w:rsidTr="0014275D">
        <w:trPr>
          <w:jc w:val="center"/>
        </w:trPr>
        <w:tc>
          <w:tcPr>
            <w:tcW w:w="1359" w:type="dxa"/>
            <w:shd w:val="clear" w:color="auto" w:fill="D9D9D9" w:themeFill="background1" w:themeFillShade="D9"/>
          </w:tcPr>
          <w:p w14:paraId="68552D81" w14:textId="77777777" w:rsidR="00D82633" w:rsidRPr="0043350C" w:rsidRDefault="00D82633" w:rsidP="0014275D">
            <w:pPr>
              <w:spacing w:before="20"/>
              <w:rPr>
                <w:b/>
                <w:sz w:val="16"/>
                <w:lang w:val="es-ES"/>
              </w:rPr>
            </w:pPr>
            <w:r w:rsidRPr="0043350C">
              <w:rPr>
                <w:b/>
                <w:sz w:val="16"/>
                <w:lang w:val="es-ES"/>
              </w:rPr>
              <w:t xml:space="preserve">Clave del </w:t>
            </w:r>
            <w:proofErr w:type="spellStart"/>
            <w:r w:rsidRPr="0043350C">
              <w:rPr>
                <w:b/>
                <w:sz w:val="16"/>
                <w:lang w:val="es-ES"/>
              </w:rPr>
              <w:t>Pp</w:t>
            </w:r>
            <w:proofErr w:type="spellEnd"/>
            <w:r w:rsidRPr="0043350C">
              <w:rPr>
                <w:b/>
                <w:sz w:val="16"/>
                <w:lang w:val="es-ES"/>
              </w:rPr>
              <w:t>:</w:t>
            </w:r>
          </w:p>
        </w:tc>
        <w:tc>
          <w:tcPr>
            <w:tcW w:w="734" w:type="dxa"/>
            <w:shd w:val="clear" w:color="auto" w:fill="D9D9D9" w:themeFill="background1" w:themeFillShade="D9"/>
          </w:tcPr>
          <w:p w14:paraId="26BF8C46" w14:textId="77777777" w:rsidR="00D82633" w:rsidRPr="0043350C" w:rsidRDefault="00D82633" w:rsidP="0014275D">
            <w:pPr>
              <w:contextualSpacing/>
              <w:rPr>
                <w:sz w:val="16"/>
                <w:szCs w:val="16"/>
                <w:lang w:val="es-ES" w:eastAsia="en-US"/>
              </w:rPr>
            </w:pPr>
            <w:r>
              <w:rPr>
                <w:sz w:val="16"/>
                <w:szCs w:val="16"/>
                <w:lang w:val="es-ES" w:eastAsia="en-US"/>
              </w:rPr>
              <w:t>P001</w:t>
            </w:r>
          </w:p>
        </w:tc>
        <w:tc>
          <w:tcPr>
            <w:tcW w:w="1701" w:type="dxa"/>
            <w:gridSpan w:val="2"/>
            <w:shd w:val="clear" w:color="auto" w:fill="D9D9D9" w:themeFill="background1" w:themeFillShade="D9"/>
          </w:tcPr>
          <w:p w14:paraId="1D752E2D" w14:textId="77777777" w:rsidR="00D82633" w:rsidRPr="0043350C" w:rsidRDefault="00D82633" w:rsidP="0014275D">
            <w:pPr>
              <w:spacing w:before="20"/>
              <w:rPr>
                <w:b/>
                <w:sz w:val="16"/>
                <w:lang w:val="es-ES"/>
              </w:rPr>
            </w:pPr>
            <w:r w:rsidRPr="0043350C">
              <w:rPr>
                <w:b/>
                <w:sz w:val="16"/>
                <w:lang w:val="es-ES"/>
              </w:rPr>
              <w:t>Denominación:</w:t>
            </w:r>
          </w:p>
        </w:tc>
        <w:tc>
          <w:tcPr>
            <w:tcW w:w="6379" w:type="dxa"/>
            <w:shd w:val="clear" w:color="auto" w:fill="D9D9D9" w:themeFill="background1" w:themeFillShade="D9"/>
          </w:tcPr>
          <w:p w14:paraId="33793889" w14:textId="77777777" w:rsidR="00D82633" w:rsidRPr="0043350C" w:rsidRDefault="00D82633" w:rsidP="0014275D">
            <w:pPr>
              <w:contextualSpacing/>
              <w:rPr>
                <w:sz w:val="16"/>
                <w:szCs w:val="16"/>
                <w:lang w:val="es-ES" w:eastAsia="en-US"/>
              </w:rPr>
            </w:pPr>
            <w:r w:rsidRPr="00C94DFE">
              <w:rPr>
                <w:sz w:val="16"/>
                <w:szCs w:val="16"/>
                <w:lang w:val="es-ES" w:eastAsia="en-US"/>
              </w:rPr>
              <w:t>Planeación y conducción de la política de turismo</w:t>
            </w:r>
          </w:p>
        </w:tc>
      </w:tr>
      <w:tr w:rsidR="00D82633" w:rsidRPr="0043350C" w14:paraId="15921139" w14:textId="77777777" w:rsidTr="0014275D">
        <w:trPr>
          <w:jc w:val="center"/>
        </w:trPr>
        <w:tc>
          <w:tcPr>
            <w:tcW w:w="2778" w:type="dxa"/>
            <w:gridSpan w:val="3"/>
          </w:tcPr>
          <w:p w14:paraId="171ED62A" w14:textId="77777777" w:rsidR="00D82633" w:rsidRPr="0043350C" w:rsidRDefault="00D82633" w:rsidP="0014275D">
            <w:pPr>
              <w:spacing w:before="20"/>
              <w:rPr>
                <w:b/>
                <w:sz w:val="16"/>
                <w:lang w:val="es-ES"/>
              </w:rPr>
            </w:pPr>
            <w:r w:rsidRPr="0043350C">
              <w:rPr>
                <w:b/>
                <w:sz w:val="16"/>
                <w:lang w:val="es-ES"/>
              </w:rPr>
              <w:t>Unidad Administrativa:</w:t>
            </w:r>
          </w:p>
        </w:tc>
        <w:tc>
          <w:tcPr>
            <w:tcW w:w="7395" w:type="dxa"/>
            <w:gridSpan w:val="2"/>
          </w:tcPr>
          <w:p w14:paraId="150AB7F1" w14:textId="77777777" w:rsidR="00D82633" w:rsidRDefault="00D82633" w:rsidP="00D82633">
            <w:pPr>
              <w:autoSpaceDE w:val="0"/>
              <w:autoSpaceDN w:val="0"/>
              <w:adjustRightInd w:val="0"/>
              <w:spacing w:after="0"/>
              <w:rPr>
                <w:rFonts w:eastAsia="Times New Roman"/>
                <w:sz w:val="16"/>
                <w:szCs w:val="16"/>
                <w:lang w:val="es-MX" w:eastAsia="en-US"/>
              </w:rPr>
            </w:pPr>
            <w:r w:rsidRPr="00C94DFE">
              <w:rPr>
                <w:rFonts w:eastAsia="Times New Roman"/>
                <w:sz w:val="16"/>
                <w:szCs w:val="16"/>
                <w:lang w:val="es-MX" w:eastAsia="en-US"/>
              </w:rPr>
              <w:t>Secretaría</w:t>
            </w:r>
          </w:p>
          <w:p w14:paraId="573F523F" w14:textId="77777777" w:rsidR="00D82633" w:rsidRDefault="00D82633" w:rsidP="00D82633">
            <w:pPr>
              <w:autoSpaceDE w:val="0"/>
              <w:autoSpaceDN w:val="0"/>
              <w:adjustRightInd w:val="0"/>
              <w:spacing w:after="0"/>
              <w:rPr>
                <w:rFonts w:eastAsia="Times New Roman"/>
                <w:sz w:val="16"/>
                <w:szCs w:val="16"/>
                <w:lang w:val="es-MX" w:eastAsia="en-US"/>
              </w:rPr>
            </w:pPr>
            <w:r w:rsidRPr="00C94DFE">
              <w:rPr>
                <w:rFonts w:eastAsia="Times New Roman"/>
                <w:sz w:val="16"/>
                <w:szCs w:val="16"/>
                <w:lang w:val="es-MX" w:eastAsia="en-US"/>
              </w:rPr>
              <w:t>Dirección General de Comunicación Social</w:t>
            </w:r>
          </w:p>
          <w:p w14:paraId="33430F7B" w14:textId="77777777" w:rsidR="00D82633" w:rsidRDefault="00D82633" w:rsidP="00D82633">
            <w:pPr>
              <w:autoSpaceDE w:val="0"/>
              <w:autoSpaceDN w:val="0"/>
              <w:adjustRightInd w:val="0"/>
              <w:spacing w:after="0"/>
              <w:rPr>
                <w:rFonts w:eastAsia="Times New Roman"/>
                <w:sz w:val="16"/>
                <w:szCs w:val="16"/>
                <w:lang w:val="es-MX" w:eastAsia="en-US"/>
              </w:rPr>
            </w:pPr>
            <w:r w:rsidRPr="00C94DFE">
              <w:rPr>
                <w:rFonts w:eastAsia="Times New Roman"/>
                <w:sz w:val="16"/>
                <w:szCs w:val="16"/>
                <w:lang w:val="es-MX" w:eastAsia="en-US"/>
              </w:rPr>
              <w:t>Dirección General de Asuntos Jurídicos</w:t>
            </w:r>
          </w:p>
          <w:p w14:paraId="2EB5BE4C" w14:textId="77777777" w:rsidR="00D82633" w:rsidRDefault="00D82633" w:rsidP="00D82633">
            <w:pPr>
              <w:autoSpaceDE w:val="0"/>
              <w:autoSpaceDN w:val="0"/>
              <w:adjustRightInd w:val="0"/>
              <w:spacing w:after="0"/>
              <w:rPr>
                <w:rFonts w:eastAsia="Times New Roman"/>
                <w:sz w:val="16"/>
                <w:szCs w:val="16"/>
                <w:lang w:val="es-MX" w:eastAsia="en-US"/>
              </w:rPr>
            </w:pPr>
            <w:r w:rsidRPr="00C94DFE">
              <w:rPr>
                <w:rFonts w:eastAsia="Times New Roman"/>
                <w:sz w:val="16"/>
                <w:szCs w:val="16"/>
                <w:lang w:val="es-MX" w:eastAsia="en-US"/>
              </w:rPr>
              <w:t>Unidad de Asuntos y Cooperación Internacionales</w:t>
            </w:r>
          </w:p>
          <w:p w14:paraId="0D523092" w14:textId="77777777" w:rsidR="00D82633" w:rsidRDefault="00D82633" w:rsidP="00D82633">
            <w:pPr>
              <w:autoSpaceDE w:val="0"/>
              <w:autoSpaceDN w:val="0"/>
              <w:adjustRightInd w:val="0"/>
              <w:spacing w:after="0"/>
              <w:rPr>
                <w:rFonts w:eastAsia="Times New Roman"/>
                <w:sz w:val="16"/>
                <w:szCs w:val="16"/>
                <w:lang w:val="es-MX" w:eastAsia="en-US"/>
              </w:rPr>
            </w:pPr>
            <w:r w:rsidRPr="00C94DFE">
              <w:rPr>
                <w:rFonts w:eastAsia="Times New Roman"/>
                <w:sz w:val="16"/>
                <w:szCs w:val="16"/>
                <w:lang w:val="es-MX" w:eastAsia="en-US"/>
              </w:rPr>
              <w:t>Unidad de Coordinación Sectorial y Regional</w:t>
            </w:r>
          </w:p>
          <w:p w14:paraId="251E050B" w14:textId="77777777" w:rsidR="00D82633" w:rsidRDefault="00D82633" w:rsidP="00D82633">
            <w:pPr>
              <w:autoSpaceDE w:val="0"/>
              <w:autoSpaceDN w:val="0"/>
              <w:adjustRightInd w:val="0"/>
              <w:spacing w:after="0"/>
              <w:rPr>
                <w:rFonts w:eastAsia="Times New Roman"/>
                <w:sz w:val="16"/>
                <w:szCs w:val="16"/>
                <w:lang w:val="es-MX" w:eastAsia="en-US"/>
              </w:rPr>
            </w:pPr>
            <w:r w:rsidRPr="00C94DFE">
              <w:rPr>
                <w:rFonts w:eastAsia="Times New Roman"/>
                <w:sz w:val="16"/>
                <w:szCs w:val="16"/>
                <w:lang w:val="es-MX" w:eastAsia="en-US"/>
              </w:rPr>
              <w:t>Delegación Regional Sureste</w:t>
            </w:r>
          </w:p>
          <w:p w14:paraId="0BB42CB9" w14:textId="77777777" w:rsidR="00D82633" w:rsidRDefault="00D82633" w:rsidP="00D82633">
            <w:pPr>
              <w:autoSpaceDE w:val="0"/>
              <w:autoSpaceDN w:val="0"/>
              <w:adjustRightInd w:val="0"/>
              <w:spacing w:after="0"/>
              <w:rPr>
                <w:rFonts w:eastAsia="Times New Roman"/>
                <w:sz w:val="16"/>
                <w:szCs w:val="16"/>
                <w:lang w:val="es-MX" w:eastAsia="en-US"/>
              </w:rPr>
            </w:pPr>
            <w:r w:rsidRPr="00C94DFE">
              <w:rPr>
                <w:rFonts w:eastAsia="Times New Roman"/>
                <w:sz w:val="16"/>
                <w:szCs w:val="16"/>
                <w:lang w:val="es-MX" w:eastAsia="en-US"/>
              </w:rPr>
              <w:t>Subsecretaría de Planeación y Política Turística</w:t>
            </w:r>
          </w:p>
          <w:p w14:paraId="1A2471C0" w14:textId="77777777" w:rsidR="00D82633" w:rsidRDefault="00D82633" w:rsidP="00D82633">
            <w:pPr>
              <w:autoSpaceDE w:val="0"/>
              <w:autoSpaceDN w:val="0"/>
              <w:adjustRightInd w:val="0"/>
              <w:spacing w:after="0"/>
              <w:rPr>
                <w:rFonts w:eastAsia="Times New Roman"/>
                <w:sz w:val="16"/>
                <w:szCs w:val="16"/>
                <w:lang w:val="es-MX" w:eastAsia="en-US"/>
              </w:rPr>
            </w:pPr>
            <w:r w:rsidRPr="00C94DFE">
              <w:rPr>
                <w:rFonts w:eastAsia="Times New Roman"/>
                <w:sz w:val="16"/>
                <w:szCs w:val="16"/>
                <w:lang w:val="es-MX" w:eastAsia="en-US"/>
              </w:rPr>
              <w:t>Dirección General de Integración de Información Sectorial</w:t>
            </w:r>
          </w:p>
          <w:p w14:paraId="032CA39A" w14:textId="77777777" w:rsidR="00D82633" w:rsidRDefault="00D82633" w:rsidP="00D82633">
            <w:pPr>
              <w:autoSpaceDE w:val="0"/>
              <w:autoSpaceDN w:val="0"/>
              <w:adjustRightInd w:val="0"/>
              <w:spacing w:after="0"/>
              <w:rPr>
                <w:rFonts w:eastAsia="Times New Roman"/>
                <w:sz w:val="16"/>
                <w:szCs w:val="16"/>
                <w:lang w:val="es-MX" w:eastAsia="en-US"/>
              </w:rPr>
            </w:pPr>
            <w:r w:rsidRPr="00C94DFE">
              <w:rPr>
                <w:rFonts w:eastAsia="Times New Roman"/>
                <w:sz w:val="16"/>
                <w:szCs w:val="16"/>
                <w:lang w:val="es-MX" w:eastAsia="en-US"/>
              </w:rPr>
              <w:t>Dirección General de Planeación</w:t>
            </w:r>
          </w:p>
          <w:p w14:paraId="628CFE0B" w14:textId="77777777" w:rsidR="00D82633" w:rsidRDefault="00D82633" w:rsidP="00D82633">
            <w:pPr>
              <w:autoSpaceDE w:val="0"/>
              <w:autoSpaceDN w:val="0"/>
              <w:adjustRightInd w:val="0"/>
              <w:spacing w:after="0"/>
              <w:rPr>
                <w:rFonts w:eastAsia="Times New Roman"/>
                <w:sz w:val="16"/>
                <w:szCs w:val="16"/>
                <w:lang w:val="es-MX" w:eastAsia="en-US"/>
              </w:rPr>
            </w:pPr>
            <w:r w:rsidRPr="00C94DFE">
              <w:rPr>
                <w:rFonts w:eastAsia="Times New Roman"/>
                <w:sz w:val="16"/>
                <w:szCs w:val="16"/>
                <w:lang w:val="es-MX" w:eastAsia="en-US"/>
              </w:rPr>
              <w:t>Dirección General de Ordenamiento Turístico Sustentable</w:t>
            </w:r>
          </w:p>
          <w:p w14:paraId="55FAE78E" w14:textId="77777777" w:rsidR="00D82633" w:rsidRPr="0043350C" w:rsidRDefault="00D82633" w:rsidP="00D82633">
            <w:pPr>
              <w:spacing w:before="20" w:after="0"/>
              <w:rPr>
                <w:rFonts w:eastAsia="Times New Roman"/>
                <w:sz w:val="16"/>
                <w:szCs w:val="16"/>
                <w:lang w:val="es-MX" w:eastAsia="en-US"/>
              </w:rPr>
            </w:pPr>
            <w:r w:rsidRPr="00C94DFE">
              <w:rPr>
                <w:rFonts w:eastAsia="Times New Roman"/>
                <w:sz w:val="16"/>
                <w:szCs w:val="16"/>
                <w:lang w:val="es-MX" w:eastAsia="en-US"/>
              </w:rPr>
              <w:t>Dirección General de Seguimiento y Evaluación</w:t>
            </w:r>
          </w:p>
        </w:tc>
      </w:tr>
      <w:tr w:rsidR="00D82633" w:rsidRPr="0043350C" w14:paraId="08A7AEB6" w14:textId="77777777" w:rsidTr="0014275D">
        <w:trPr>
          <w:jc w:val="center"/>
        </w:trPr>
        <w:tc>
          <w:tcPr>
            <w:tcW w:w="2778" w:type="dxa"/>
            <w:gridSpan w:val="3"/>
          </w:tcPr>
          <w:p w14:paraId="1FAB7AFF" w14:textId="77777777" w:rsidR="00D82633" w:rsidRPr="0043350C" w:rsidRDefault="00D82633" w:rsidP="0014275D">
            <w:pPr>
              <w:spacing w:before="20"/>
              <w:rPr>
                <w:b/>
                <w:sz w:val="16"/>
                <w:lang w:val="es-ES"/>
              </w:rPr>
            </w:pPr>
            <w:r w:rsidRPr="0043350C">
              <w:rPr>
                <w:b/>
                <w:sz w:val="16"/>
                <w:lang w:val="es-ES"/>
              </w:rPr>
              <w:t>Responsable</w:t>
            </w:r>
            <w:r>
              <w:rPr>
                <w:rStyle w:val="Refdenotaalpie"/>
                <w:b/>
                <w:sz w:val="16"/>
                <w:lang w:val="es-ES"/>
              </w:rPr>
              <w:footnoteReference w:id="10"/>
            </w:r>
            <w:r w:rsidR="001B12A5" w:rsidRPr="00ED7357">
              <w:rPr>
                <w:sz w:val="16"/>
                <w:szCs w:val="16"/>
                <w:vertAlign w:val="superscript"/>
              </w:rPr>
              <w:t>_/</w:t>
            </w:r>
            <w:r w:rsidRPr="0043350C">
              <w:rPr>
                <w:b/>
                <w:sz w:val="16"/>
                <w:lang w:val="es-ES"/>
              </w:rPr>
              <w:t>:</w:t>
            </w:r>
          </w:p>
        </w:tc>
        <w:tc>
          <w:tcPr>
            <w:tcW w:w="7395" w:type="dxa"/>
            <w:gridSpan w:val="2"/>
          </w:tcPr>
          <w:p w14:paraId="109A4076" w14:textId="77777777" w:rsidR="00D82633" w:rsidRPr="0043350C" w:rsidRDefault="00D82633" w:rsidP="0014275D">
            <w:pPr>
              <w:spacing w:after="0"/>
              <w:rPr>
                <w:sz w:val="16"/>
                <w:lang w:val="es-ES"/>
              </w:rPr>
            </w:pPr>
            <w:r>
              <w:rPr>
                <w:rFonts w:eastAsia="Times New Roman"/>
                <w:sz w:val="16"/>
                <w:szCs w:val="16"/>
                <w:lang w:val="es-MX" w:eastAsia="en-US"/>
              </w:rPr>
              <w:t>Lauro Horacio Reyes Hernández</w:t>
            </w:r>
          </w:p>
        </w:tc>
      </w:tr>
      <w:tr w:rsidR="00D82633" w:rsidRPr="0043350C" w14:paraId="06FFD8C7" w14:textId="77777777" w:rsidTr="0014275D">
        <w:trPr>
          <w:jc w:val="center"/>
        </w:trPr>
        <w:tc>
          <w:tcPr>
            <w:tcW w:w="2778" w:type="dxa"/>
            <w:gridSpan w:val="3"/>
            <w:tcBorders>
              <w:bottom w:val="single" w:sz="4" w:space="0" w:color="auto"/>
            </w:tcBorders>
            <w:shd w:val="clear" w:color="auto" w:fill="D9D9D9" w:themeFill="background1" w:themeFillShade="D9"/>
          </w:tcPr>
          <w:p w14:paraId="23E6264E" w14:textId="77777777" w:rsidR="00D82633" w:rsidRPr="0043350C" w:rsidRDefault="00D82633" w:rsidP="0014275D">
            <w:pPr>
              <w:spacing w:before="20"/>
              <w:rPr>
                <w:b/>
                <w:sz w:val="16"/>
                <w:lang w:val="es-ES"/>
              </w:rPr>
            </w:pPr>
            <w:r w:rsidRPr="0043350C">
              <w:rPr>
                <w:b/>
                <w:sz w:val="16"/>
                <w:lang w:val="es-ES"/>
              </w:rPr>
              <w:t>Tipo de Evaluación:</w:t>
            </w:r>
          </w:p>
        </w:tc>
        <w:tc>
          <w:tcPr>
            <w:tcW w:w="7395" w:type="dxa"/>
            <w:gridSpan w:val="2"/>
            <w:tcBorders>
              <w:bottom w:val="single" w:sz="4" w:space="0" w:color="auto"/>
            </w:tcBorders>
            <w:shd w:val="clear" w:color="auto" w:fill="D9D9D9" w:themeFill="background1" w:themeFillShade="D9"/>
          </w:tcPr>
          <w:p w14:paraId="4F583BED" w14:textId="77777777" w:rsidR="00D82633" w:rsidRPr="0043350C" w:rsidRDefault="00D82633" w:rsidP="0014275D">
            <w:pPr>
              <w:spacing w:before="20"/>
              <w:rPr>
                <w:sz w:val="16"/>
                <w:lang w:val="es-ES"/>
              </w:rPr>
            </w:pPr>
            <w:r w:rsidRPr="0043350C">
              <w:rPr>
                <w:sz w:val="16"/>
                <w:lang w:val="es-ES"/>
              </w:rPr>
              <w:t>Consistencia y Resultados, PAE 201</w:t>
            </w:r>
            <w:r>
              <w:rPr>
                <w:sz w:val="16"/>
                <w:lang w:val="es-ES"/>
              </w:rPr>
              <w:t>7</w:t>
            </w:r>
          </w:p>
        </w:tc>
      </w:tr>
    </w:tbl>
    <w:p w14:paraId="202C106E" w14:textId="77777777" w:rsidR="00D82633" w:rsidRDefault="00D82633" w:rsidP="00D82633"/>
    <w:p w14:paraId="557F0009" w14:textId="77777777" w:rsidR="00D82633" w:rsidRPr="0043350C" w:rsidRDefault="00D82633" w:rsidP="00D82633">
      <w:pPr>
        <w:spacing w:line="250" w:lineRule="exact"/>
        <w:jc w:val="both"/>
        <w:rPr>
          <w:rFonts w:eastAsia="Times New Roman" w:cs="Arial"/>
          <w:b/>
          <w:szCs w:val="20"/>
          <w:lang w:val="es-ES"/>
        </w:rPr>
      </w:pPr>
      <w:r w:rsidRPr="00852829">
        <w:rPr>
          <w:rFonts w:eastAsia="Times New Roman" w:cs="Arial"/>
          <w:b/>
          <w:szCs w:val="20"/>
          <w:lang w:val="es-ES"/>
        </w:rPr>
        <w:t xml:space="preserve">Descripción del </w:t>
      </w:r>
      <w:proofErr w:type="spellStart"/>
      <w:r w:rsidRPr="00852829">
        <w:rPr>
          <w:rFonts w:eastAsia="Times New Roman" w:cs="Arial"/>
          <w:b/>
          <w:szCs w:val="20"/>
          <w:lang w:val="es-ES"/>
        </w:rPr>
        <w:t>Pp</w:t>
      </w:r>
      <w:proofErr w:type="spellEnd"/>
    </w:p>
    <w:p w14:paraId="04313C54" w14:textId="77777777" w:rsidR="00D82633" w:rsidRPr="00125C51" w:rsidRDefault="00D82633" w:rsidP="00D82633">
      <w:pPr>
        <w:pStyle w:val="Cdetexto"/>
      </w:pPr>
      <w:r w:rsidRPr="00125C51">
        <w:t xml:space="preserve">El </w:t>
      </w:r>
      <w:proofErr w:type="spellStart"/>
      <w:r w:rsidRPr="00125C51">
        <w:t>Pp</w:t>
      </w:r>
      <w:proofErr w:type="spellEnd"/>
      <w:r w:rsidRPr="00125C51">
        <w:t xml:space="preserve"> </w:t>
      </w:r>
      <w:r w:rsidR="00AB2575">
        <w:t>P</w:t>
      </w:r>
      <w:r w:rsidRPr="00125C51">
        <w:t xml:space="preserve">001 </w:t>
      </w:r>
      <w:r w:rsidR="009F6411">
        <w:t>opera a partir del ejercicio fiscal</w:t>
      </w:r>
      <w:r w:rsidRPr="00125C51">
        <w:t xml:space="preserve"> 2006 y sufrió un cambio de nomenclatura en 2014 para llegar a su nombre actual.</w:t>
      </w:r>
    </w:p>
    <w:p w14:paraId="6FE41AEF" w14:textId="77777777" w:rsidR="00D82633" w:rsidRPr="00125C51" w:rsidRDefault="00D82633" w:rsidP="00D82633">
      <w:pPr>
        <w:pStyle w:val="Cdetexto"/>
      </w:pPr>
      <w:r>
        <w:t>La necesidad</w:t>
      </w:r>
      <w:r w:rsidRPr="00125C51">
        <w:t xml:space="preserve"> que atiende el </w:t>
      </w:r>
      <w:proofErr w:type="spellStart"/>
      <w:r w:rsidRPr="00125C51">
        <w:t>Pp</w:t>
      </w:r>
      <w:proofErr w:type="spellEnd"/>
      <w:r w:rsidRPr="00125C51">
        <w:t xml:space="preserve"> es</w:t>
      </w:r>
      <w:r w:rsidR="00B721DC">
        <w:t xml:space="preserve"> la</w:t>
      </w:r>
      <w:r w:rsidRPr="00125C51">
        <w:t xml:space="preserve"> “Insuficiente coordinación de los programas y estrategias de la Política Nacional Turística (PNT)”.</w:t>
      </w:r>
    </w:p>
    <w:p w14:paraId="1CEA3A6A" w14:textId="77777777" w:rsidR="00D82633" w:rsidRPr="00125C51" w:rsidRDefault="00D82633" w:rsidP="00D82633">
      <w:pPr>
        <w:pStyle w:val="Cdetexto"/>
      </w:pPr>
      <w:r w:rsidRPr="00125C51">
        <w:t xml:space="preserve">El fin del </w:t>
      </w:r>
      <w:proofErr w:type="spellStart"/>
      <w:r w:rsidRPr="00125C51">
        <w:t>Pp</w:t>
      </w:r>
      <w:proofErr w:type="spellEnd"/>
      <w:r w:rsidRPr="00125C51">
        <w:t xml:space="preserve"> es “Contribuir a transformar el sector turístico y fortalecer esquemas de colaboración y corresponsabilidad para aprovechar el potencial turístico mediante políticas públicas acordes con la Política Nacional Turística”.</w:t>
      </w:r>
    </w:p>
    <w:p w14:paraId="60CFA416" w14:textId="77777777" w:rsidR="00D82633" w:rsidRPr="00125C51" w:rsidRDefault="00D82633" w:rsidP="00D82633">
      <w:pPr>
        <w:pStyle w:val="Cdetexto"/>
      </w:pPr>
      <w:r w:rsidRPr="00125C51">
        <w:t xml:space="preserve">El propósito definido para el </w:t>
      </w:r>
      <w:proofErr w:type="spellStart"/>
      <w:r w:rsidRPr="00125C51">
        <w:t>Pp</w:t>
      </w:r>
      <w:proofErr w:type="spellEnd"/>
      <w:r w:rsidRPr="00125C51">
        <w:t xml:space="preserve"> es “</w:t>
      </w:r>
      <w:r>
        <w:t>L</w:t>
      </w:r>
      <w:r w:rsidRPr="00125C51">
        <w:t>os programas y estrategias de la PNT se rigen con planeación integral”. Cuenta con cuatro componentes:</w:t>
      </w:r>
      <w:r>
        <w:t xml:space="preserve"> </w:t>
      </w:r>
      <w:r w:rsidRPr="00125C51">
        <w:t xml:space="preserve">1) </w:t>
      </w:r>
      <w:r w:rsidR="00AB2575">
        <w:t>“</w:t>
      </w:r>
      <w:r w:rsidRPr="00125C51">
        <w:t>Programas con seguimiento y evaluación conforme a los lineamientos</w:t>
      </w:r>
      <w:r w:rsidR="00AB2575">
        <w:t>”;</w:t>
      </w:r>
      <w:r w:rsidRPr="00125C51">
        <w:t xml:space="preserve"> 2) </w:t>
      </w:r>
      <w:r w:rsidR="00AB2575">
        <w:t>“</w:t>
      </w:r>
      <w:r w:rsidRPr="00125C51">
        <w:t>Herramientas de política turística territorial, impulsados</w:t>
      </w:r>
      <w:r w:rsidR="00AB2575">
        <w:t>”;</w:t>
      </w:r>
      <w:r w:rsidRPr="00125C51">
        <w:t xml:space="preserve"> 3) </w:t>
      </w:r>
      <w:r w:rsidR="00AB2575">
        <w:t>“</w:t>
      </w:r>
      <w:r w:rsidRPr="00125C51">
        <w:t>Información estadística y de promoción del sector turístico mexicano, difundida</w:t>
      </w:r>
      <w:r w:rsidR="00AB2575">
        <w:t>”;</w:t>
      </w:r>
      <w:r w:rsidRPr="00125C51">
        <w:t xml:space="preserve"> y 4) </w:t>
      </w:r>
      <w:r w:rsidR="00AB2575">
        <w:t>“</w:t>
      </w:r>
      <w:r w:rsidRPr="00125C51">
        <w:t>Instrumentos de planeación y política para los programas y estrategias del sector turismo, promovidos</w:t>
      </w:r>
      <w:r w:rsidR="00AB2575">
        <w:t>”</w:t>
      </w:r>
      <w:r w:rsidRPr="00125C51">
        <w:t>.</w:t>
      </w:r>
    </w:p>
    <w:p w14:paraId="18D6C6F2" w14:textId="77777777" w:rsidR="00D82633" w:rsidRPr="00125C51" w:rsidRDefault="00D82633" w:rsidP="00D82633">
      <w:pPr>
        <w:pStyle w:val="Cdetexto"/>
      </w:pPr>
      <w:r w:rsidRPr="00125C51">
        <w:t xml:space="preserve">El </w:t>
      </w:r>
      <w:proofErr w:type="spellStart"/>
      <w:r w:rsidRPr="00125C51">
        <w:t>AEPo</w:t>
      </w:r>
      <w:proofErr w:type="spellEnd"/>
      <w:r w:rsidRPr="00125C51">
        <w:t xml:space="preserve"> está definida </w:t>
      </w:r>
      <w:r>
        <w:t xml:space="preserve">en el diagnóstico como </w:t>
      </w:r>
      <w:r w:rsidR="005F1420">
        <w:t>“</w:t>
      </w:r>
      <w:r>
        <w:t>los p</w:t>
      </w:r>
      <w:r w:rsidRPr="00125C51">
        <w:t>rogramas y estrategias de</w:t>
      </w:r>
      <w:r>
        <w:t xml:space="preserve"> la PNT</w:t>
      </w:r>
      <w:r w:rsidR="005F1420">
        <w:t>”</w:t>
      </w:r>
      <w:r>
        <w:t>.</w:t>
      </w:r>
    </w:p>
    <w:p w14:paraId="029AFB6C" w14:textId="77777777" w:rsidR="00D82633" w:rsidRPr="00474FC4" w:rsidRDefault="00D82633" w:rsidP="00D82633">
      <w:pPr>
        <w:pStyle w:val="Cdetexto"/>
      </w:pPr>
      <w:r w:rsidRPr="00A20B68">
        <w:t xml:space="preserve">El </w:t>
      </w:r>
      <w:proofErr w:type="spellStart"/>
      <w:r w:rsidRPr="00A20B68">
        <w:t>Pp</w:t>
      </w:r>
      <w:proofErr w:type="spellEnd"/>
      <w:r w:rsidRPr="00A20B68">
        <w:t xml:space="preserve"> está vinculado a</w:t>
      </w:r>
      <w:r>
        <w:t>l PND a través de</w:t>
      </w:r>
      <w:r w:rsidR="005F1420">
        <w:t xml:space="preserve"> la Meta Nacional IV. México Pró</w:t>
      </w:r>
      <w:r w:rsidRPr="00A20B68">
        <w:t>spero</w:t>
      </w:r>
      <w:r>
        <w:t>,</w:t>
      </w:r>
      <w:r w:rsidRPr="00A20B68">
        <w:t xml:space="preserve"> </w:t>
      </w:r>
      <w:r w:rsidR="00195E83">
        <w:t>y su</w:t>
      </w:r>
      <w:r w:rsidRPr="00A20B68">
        <w:t xml:space="preserve"> Objetivo 4.11</w:t>
      </w:r>
      <w:r w:rsidR="00195E83">
        <w:t>.</w:t>
      </w:r>
      <w:r w:rsidRPr="00A20B68">
        <w:t xml:space="preserve"> Aprovechar el potencial turístico de México para generar una mayor derrama económica en el país y al Programa Sectorial de Turismo 2013-2018</w:t>
      </w:r>
      <w:r w:rsidR="003234BD">
        <w:t xml:space="preserve"> (PROSECTUR)</w:t>
      </w:r>
      <w:r w:rsidRPr="00A20B68">
        <w:t xml:space="preserve"> a través del Objetivo 1. Transformar el sector turístico</w:t>
      </w:r>
      <w:r w:rsidRPr="00270110">
        <w:t xml:space="preserve"> y fortalecer esquemas de colaboración y corresponsabilidad para aprovechar el potencial turístico</w:t>
      </w:r>
      <w:r>
        <w:t>.</w:t>
      </w:r>
    </w:p>
    <w:p w14:paraId="0EAC18FB" w14:textId="77777777" w:rsidR="00D82633" w:rsidRPr="0043350C" w:rsidRDefault="00D82633" w:rsidP="00D82633">
      <w:pPr>
        <w:spacing w:line="250" w:lineRule="exact"/>
        <w:jc w:val="both"/>
        <w:rPr>
          <w:rFonts w:eastAsia="Times New Roman" w:cs="Arial"/>
          <w:b/>
          <w:szCs w:val="20"/>
          <w:lang w:val="es-ES"/>
        </w:rPr>
      </w:pPr>
      <w:r w:rsidRPr="0043350C">
        <w:rPr>
          <w:rFonts w:eastAsia="Times New Roman" w:cs="Arial"/>
          <w:b/>
          <w:szCs w:val="20"/>
          <w:lang w:val="es-ES"/>
        </w:rPr>
        <w:t>Principales Hallazgos</w:t>
      </w:r>
    </w:p>
    <w:p w14:paraId="7B47183E" w14:textId="77777777" w:rsidR="00D82633" w:rsidRPr="0043350C" w:rsidRDefault="00D82633" w:rsidP="00D82633">
      <w:pPr>
        <w:spacing w:line="250" w:lineRule="exact"/>
        <w:jc w:val="both"/>
        <w:rPr>
          <w:i/>
          <w:lang w:val="es-ES"/>
        </w:rPr>
      </w:pPr>
      <w:r w:rsidRPr="0043350C">
        <w:rPr>
          <w:i/>
          <w:lang w:val="es-ES"/>
        </w:rPr>
        <w:t>Diseño:</w:t>
      </w:r>
    </w:p>
    <w:p w14:paraId="717A092B" w14:textId="77777777" w:rsidR="00D82633" w:rsidRDefault="00D82633" w:rsidP="00D82633">
      <w:pPr>
        <w:pStyle w:val="Cdetexto"/>
      </w:pPr>
      <w:r>
        <w:t xml:space="preserve">El </w:t>
      </w:r>
      <w:proofErr w:type="spellStart"/>
      <w:r>
        <w:t>Pp</w:t>
      </w:r>
      <w:proofErr w:type="spellEnd"/>
      <w:r>
        <w:t xml:space="preserve"> cuenta con un diagnóstico</w:t>
      </w:r>
      <w:r w:rsidR="00195E83">
        <w:t>;</w:t>
      </w:r>
      <w:r>
        <w:t xml:space="preserve"> sin embargo</w:t>
      </w:r>
      <w:r w:rsidR="00195E83">
        <w:t>,</w:t>
      </w:r>
      <w:r>
        <w:t xml:space="preserve"> la justificación teórica y empírica de la intervención </w:t>
      </w:r>
      <w:r w:rsidR="005F1420">
        <w:t>es débil</w:t>
      </w:r>
      <w:r>
        <w:t xml:space="preserve">. Por otra parte, entre las causas y efectos mencionados dentro del diagnóstico no se identifica una lógica causal clara. </w:t>
      </w:r>
    </w:p>
    <w:p w14:paraId="71BEA031" w14:textId="77777777" w:rsidR="00D82633" w:rsidRDefault="00195E83" w:rsidP="00D82633">
      <w:pPr>
        <w:pStyle w:val="Cdetexto"/>
      </w:pPr>
      <w:r>
        <w:lastRenderedPageBreak/>
        <w:t xml:space="preserve">Asimismo, </w:t>
      </w:r>
      <w:r w:rsidR="005F1420">
        <w:t>el AEO identificada no es la correcta</w:t>
      </w:r>
      <w:r w:rsidR="00D82633">
        <w:t xml:space="preserve">, en virtud de que </w:t>
      </w:r>
      <w:r w:rsidR="00D82633" w:rsidRPr="00DC2EFC">
        <w:t>quienes tienen insuficiente coordinación son los actores</w:t>
      </w:r>
      <w:r w:rsidR="00D82633">
        <w:t xml:space="preserve"> involucrados en la conducción de la política de turismo</w:t>
      </w:r>
      <w:r w:rsidR="00D82633" w:rsidRPr="00DC2EFC">
        <w:t>, no los programas o estrategias</w:t>
      </w:r>
      <w:r w:rsidR="00D82633">
        <w:t>.</w:t>
      </w:r>
    </w:p>
    <w:p w14:paraId="39147575" w14:textId="77777777" w:rsidR="00D82633" w:rsidRPr="0043350C" w:rsidRDefault="00D82633" w:rsidP="00D82633">
      <w:pPr>
        <w:pStyle w:val="Cdetexto"/>
      </w:pPr>
      <w:r>
        <w:t xml:space="preserve">La MIR no contempla todos los entregables que produce el </w:t>
      </w:r>
      <w:proofErr w:type="spellStart"/>
      <w:r>
        <w:t>Pp</w:t>
      </w:r>
      <w:proofErr w:type="spellEnd"/>
      <w:r>
        <w:t xml:space="preserve"> y su resumen narrativo no se encuentra plasmado en documentos institucionales. Por otro lado, las metas planteadas no contribuyen necesariamente a la mejora del desempeño del Pp.</w:t>
      </w:r>
    </w:p>
    <w:p w14:paraId="60EAD481" w14:textId="77777777" w:rsidR="00D82633" w:rsidRPr="0043350C" w:rsidRDefault="00D82633" w:rsidP="00D82633">
      <w:pPr>
        <w:spacing w:line="250" w:lineRule="exact"/>
        <w:jc w:val="both"/>
        <w:rPr>
          <w:i/>
          <w:lang w:val="es-ES"/>
        </w:rPr>
      </w:pPr>
      <w:r w:rsidRPr="0043350C">
        <w:rPr>
          <w:i/>
          <w:lang w:val="es-ES"/>
        </w:rPr>
        <w:t>Planeación y Orientación a Resultados:</w:t>
      </w:r>
    </w:p>
    <w:p w14:paraId="2BE75240" w14:textId="77777777" w:rsidR="00F754D2" w:rsidRDefault="00F754D2" w:rsidP="00F754D2">
      <w:pPr>
        <w:pStyle w:val="Cdetexto"/>
      </w:pPr>
      <w:r>
        <w:t xml:space="preserve">El </w:t>
      </w:r>
      <w:proofErr w:type="spellStart"/>
      <w:r>
        <w:t>Pp</w:t>
      </w:r>
      <w:proofErr w:type="spellEnd"/>
      <w:r>
        <w:t xml:space="preserve"> no cuenta con un plan estratégico propio, ni con un Plan Anual de Trabajo que englobe a todas las UR involucradas (aunque el </w:t>
      </w:r>
      <w:r w:rsidRPr="004F1C9F">
        <w:t>Programa de Trabajo</w:t>
      </w:r>
      <w:r>
        <w:t xml:space="preserve"> de cada UR </w:t>
      </w:r>
      <w:r w:rsidRPr="004F1C9F">
        <w:t>se integra al Programa de Trabajo de</w:t>
      </w:r>
      <w:r>
        <w:t xml:space="preserve"> Desarrollo Institucional pero éste no es exclusivo del </w:t>
      </w:r>
      <w:proofErr w:type="spellStart"/>
      <w:r>
        <w:t>Pp</w:t>
      </w:r>
      <w:proofErr w:type="spellEnd"/>
      <w:r>
        <w:t xml:space="preserve"> </w:t>
      </w:r>
      <w:r w:rsidR="00195E83">
        <w:t>P</w:t>
      </w:r>
      <w:r>
        <w:t>001)</w:t>
      </w:r>
      <w:r w:rsidR="00195E83">
        <w:t>.</w:t>
      </w:r>
    </w:p>
    <w:p w14:paraId="644B1E9D" w14:textId="77777777" w:rsidR="00D82633" w:rsidRPr="0043350C" w:rsidRDefault="00D82633" w:rsidP="00D82633">
      <w:pPr>
        <w:spacing w:before="240" w:line="250" w:lineRule="exact"/>
        <w:jc w:val="both"/>
        <w:rPr>
          <w:i/>
          <w:lang w:val="es-ES"/>
        </w:rPr>
      </w:pPr>
      <w:r w:rsidRPr="0043350C">
        <w:rPr>
          <w:i/>
          <w:szCs w:val="22"/>
        </w:rPr>
        <w:t>Cobertura y Focalización:</w:t>
      </w:r>
    </w:p>
    <w:p w14:paraId="30E2642C" w14:textId="77777777" w:rsidR="003562B5" w:rsidRPr="0043350C" w:rsidRDefault="00F754D2" w:rsidP="00195E83">
      <w:pPr>
        <w:pStyle w:val="Cdetexto"/>
      </w:pPr>
      <w:r>
        <w:t xml:space="preserve">El </w:t>
      </w:r>
      <w:proofErr w:type="spellStart"/>
      <w:r>
        <w:t>Pp</w:t>
      </w:r>
      <w:proofErr w:type="spellEnd"/>
      <w:r>
        <w:t xml:space="preserve"> no cuenta con una estrategia de cobertura, ni con una </w:t>
      </w:r>
      <w:proofErr w:type="spellStart"/>
      <w:r>
        <w:t>AEPo</w:t>
      </w:r>
      <w:proofErr w:type="spellEnd"/>
      <w:r>
        <w:t xml:space="preserve"> claramente definida o una </w:t>
      </w:r>
      <w:r w:rsidR="00195E83">
        <w:t>metodología para identificarla.</w:t>
      </w:r>
    </w:p>
    <w:p w14:paraId="7829BE7A" w14:textId="77777777" w:rsidR="00D82633" w:rsidRDefault="00D82633" w:rsidP="006F4A52">
      <w:pPr>
        <w:spacing w:after="0"/>
        <w:rPr>
          <w:i/>
          <w:szCs w:val="18"/>
        </w:rPr>
      </w:pPr>
      <w:r w:rsidRPr="0043350C">
        <w:rPr>
          <w:i/>
          <w:szCs w:val="18"/>
        </w:rPr>
        <w:t>Operación:</w:t>
      </w:r>
    </w:p>
    <w:p w14:paraId="747D4DFF" w14:textId="77777777" w:rsidR="00F754D2" w:rsidRDefault="00F754D2" w:rsidP="00F754D2">
      <w:pPr>
        <w:pStyle w:val="Cdetexto"/>
      </w:pPr>
      <w:r>
        <w:t xml:space="preserve">Según los manuales de procedimientos de las UR involucradas, existen 16 procesos clave para generar entregables del </w:t>
      </w:r>
      <w:proofErr w:type="spellStart"/>
      <w:r>
        <w:t>Pp</w:t>
      </w:r>
      <w:proofErr w:type="spellEnd"/>
      <w:r>
        <w:t>, sin embargo solo 10 de ellos están considerados dentro de la MIR del programa.</w:t>
      </w:r>
    </w:p>
    <w:p w14:paraId="06261D43" w14:textId="77777777" w:rsidR="00F754D2" w:rsidRDefault="00F754D2" w:rsidP="00F754D2">
      <w:pPr>
        <w:pStyle w:val="Cdetexto"/>
      </w:pPr>
      <w:r>
        <w:t>Por otra parte, no se cuenta con información sistematizada que permita calcular la demanda de cada uno de los co</w:t>
      </w:r>
      <w:r w:rsidR="00195E83">
        <w:t>mponentes producidos por el Pp.</w:t>
      </w:r>
    </w:p>
    <w:p w14:paraId="7F3D3CEC" w14:textId="77777777" w:rsidR="00195E83" w:rsidRDefault="00F754D2" w:rsidP="00F754D2">
      <w:pPr>
        <w:pStyle w:val="Cdetexto"/>
      </w:pPr>
      <w:r>
        <w:t>En lo que se refiere a mecanismos de selección, para el componente “</w:t>
      </w:r>
      <w:r w:rsidRPr="0056310F">
        <w:t>Mecanismos de vinculación en operación</w:t>
      </w:r>
      <w:r w:rsidR="00195E83">
        <w:t>”</w:t>
      </w:r>
      <w:r>
        <w:t xml:space="preserve"> </w:t>
      </w:r>
      <w:r w:rsidR="00195E83">
        <w:t xml:space="preserve">no existe </w:t>
      </w:r>
      <w:r>
        <w:t xml:space="preserve">un mecanismo con criterios de elegibilidad claramente especificados, estandarizado, sistematizado y de difusión pública, </w:t>
      </w:r>
      <w:r w:rsidR="00195E83">
        <w:t xml:space="preserve">y tampoco se establecen los </w:t>
      </w:r>
      <w:r>
        <w:t xml:space="preserve">medios de verificación del procedimiento de selección. </w:t>
      </w:r>
    </w:p>
    <w:p w14:paraId="6B5722AB" w14:textId="77777777" w:rsidR="00D82633" w:rsidRDefault="00F754D2" w:rsidP="00F754D2">
      <w:pPr>
        <w:pStyle w:val="Cdetexto"/>
      </w:pPr>
      <w:r>
        <w:t>Adicionalmente, no se cuenta con mecanismos para verificar el proceso de entrega de los componentes.</w:t>
      </w:r>
    </w:p>
    <w:p w14:paraId="08D9DA8F" w14:textId="77777777" w:rsidR="00D82633" w:rsidRPr="0043350C" w:rsidRDefault="00D82633" w:rsidP="00D82633">
      <w:pPr>
        <w:pStyle w:val="Cdetexto"/>
      </w:pPr>
      <w:r w:rsidRPr="0043350C">
        <w:rPr>
          <w:i/>
          <w:szCs w:val="22"/>
        </w:rPr>
        <w:t>Percepción de la Población Atendida:</w:t>
      </w:r>
    </w:p>
    <w:p w14:paraId="28A24ABC" w14:textId="77777777" w:rsidR="00D82633" w:rsidRDefault="00F754D2" w:rsidP="00D82633">
      <w:pPr>
        <w:pStyle w:val="Cdetexto"/>
      </w:pPr>
      <w:r>
        <w:t xml:space="preserve">No existen medios para medir el grado de satisfacción de la AEO, pero se estima que no es necesario por la naturaleza de los receptores de los componentes del </w:t>
      </w:r>
      <w:r w:rsidR="00195E83">
        <w:t>Pp</w:t>
      </w:r>
      <w:r>
        <w:t>.</w:t>
      </w:r>
    </w:p>
    <w:p w14:paraId="7519DD45" w14:textId="77777777" w:rsidR="00D82633" w:rsidRPr="0043350C" w:rsidRDefault="00D82633" w:rsidP="00D82633">
      <w:pPr>
        <w:pStyle w:val="Cdetexto"/>
        <w:rPr>
          <w:i/>
          <w:szCs w:val="22"/>
        </w:rPr>
      </w:pPr>
      <w:r w:rsidRPr="0043350C">
        <w:rPr>
          <w:i/>
          <w:szCs w:val="22"/>
        </w:rPr>
        <w:t>Medición de Resultados:</w:t>
      </w:r>
    </w:p>
    <w:p w14:paraId="7C4A8B23" w14:textId="77777777" w:rsidR="006A3E21" w:rsidRDefault="00F754D2" w:rsidP="00F754D2">
      <w:pPr>
        <w:pStyle w:val="Cdetexto"/>
      </w:pPr>
      <w:r>
        <w:t>Al cierre de la cuenta pública de 2016, l</w:t>
      </w:r>
      <w:r w:rsidRPr="00426927">
        <w:t xml:space="preserve">os indicadores a nivel de </w:t>
      </w:r>
      <w:r w:rsidR="00195E83">
        <w:t>f</w:t>
      </w:r>
      <w:r w:rsidRPr="00426927">
        <w:t xml:space="preserve">in y de </w:t>
      </w:r>
      <w:r w:rsidR="00195E83">
        <w:t>p</w:t>
      </w:r>
      <w:r w:rsidRPr="00426927">
        <w:t>ropósito muestran un avance de</w:t>
      </w:r>
      <w:r w:rsidR="006A3E21">
        <w:t xml:space="preserve"> 100 por ciento;</w:t>
      </w:r>
      <w:r w:rsidRPr="00426927">
        <w:t xml:space="preserve"> es decir</w:t>
      </w:r>
      <w:r w:rsidR="006A3E21">
        <w:t>,</w:t>
      </w:r>
      <w:r w:rsidRPr="00426927">
        <w:t xml:space="preserve"> </w:t>
      </w:r>
      <w:r w:rsidR="006A3E21">
        <w:t>un desempeño Medio Alto y Alto.</w:t>
      </w:r>
    </w:p>
    <w:p w14:paraId="52C8AD48" w14:textId="77777777" w:rsidR="00F754D2" w:rsidRDefault="00F754D2" w:rsidP="00F754D2">
      <w:pPr>
        <w:pStyle w:val="Cdetexto"/>
      </w:pPr>
      <w:r w:rsidRPr="00426927">
        <w:t>De los cuatro indicadores de nivel</w:t>
      </w:r>
      <w:r w:rsidR="006A3E21">
        <w:t xml:space="preserve"> c</w:t>
      </w:r>
      <w:r w:rsidRPr="00426927">
        <w:t>omponente, todos muestran un a</w:t>
      </w:r>
      <w:r>
        <w:t>vance entre Medio Alto y Alto. C</w:t>
      </w:r>
      <w:r w:rsidRPr="00426927">
        <w:t>omparativamente con años anteriores, el nivel de desempeño fue el mismo en tres</w:t>
      </w:r>
      <w:r w:rsidR="006A3E21">
        <w:t xml:space="preserve"> y mayor en el i</w:t>
      </w:r>
      <w:r w:rsidRPr="00426927">
        <w:t>ndicador “Porcentaje de programas con Seguimiento y Evaluación conforme a los Lineamientos”.</w:t>
      </w:r>
    </w:p>
    <w:p w14:paraId="77AC8ED3" w14:textId="77777777" w:rsidR="00D82633" w:rsidRPr="0043350C" w:rsidRDefault="00F754D2" w:rsidP="00F754D2">
      <w:pPr>
        <w:pStyle w:val="Cdetexto"/>
      </w:pPr>
      <w:r>
        <w:t>Se considera que</w:t>
      </w:r>
      <w:r w:rsidR="006A3E21">
        <w:t>,</w:t>
      </w:r>
      <w:r>
        <w:t xml:space="preserve"> debido a los problemas en la lógica vertical y horizontal de la MIR, estos resultados no necesariamente muestran que el </w:t>
      </w:r>
      <w:proofErr w:type="spellStart"/>
      <w:r>
        <w:t>Pp</w:t>
      </w:r>
      <w:proofErr w:type="spellEnd"/>
      <w:r>
        <w:t xml:space="preserve"> cumple con su propósito y contribuye al fin.</w:t>
      </w:r>
    </w:p>
    <w:p w14:paraId="31F03588" w14:textId="77777777" w:rsidR="00D82633" w:rsidRPr="0043350C" w:rsidRDefault="00D82633" w:rsidP="00D82633">
      <w:pPr>
        <w:spacing w:line="250" w:lineRule="exact"/>
        <w:jc w:val="both"/>
        <w:rPr>
          <w:rFonts w:eastAsia="Times New Roman" w:cs="Arial"/>
          <w:b/>
          <w:szCs w:val="20"/>
          <w:lang w:val="es-ES"/>
        </w:rPr>
      </w:pPr>
      <w:r w:rsidRPr="0043350C">
        <w:rPr>
          <w:rFonts w:eastAsia="Times New Roman" w:cs="Arial"/>
          <w:b/>
          <w:szCs w:val="20"/>
          <w:lang w:val="es-ES"/>
        </w:rPr>
        <w:t>Principales Recomendaciones</w:t>
      </w:r>
    </w:p>
    <w:p w14:paraId="67426610" w14:textId="77777777" w:rsidR="00F754D2" w:rsidRPr="0043350C" w:rsidRDefault="00F754D2" w:rsidP="00F754D2">
      <w:pPr>
        <w:pStyle w:val="Bala"/>
        <w:numPr>
          <w:ilvl w:val="0"/>
          <w:numId w:val="1"/>
        </w:numPr>
        <w:ind w:left="357" w:hanging="357"/>
      </w:pPr>
      <w:r w:rsidRPr="00162606">
        <w:t xml:space="preserve">Revisar </w:t>
      </w:r>
      <w:r w:rsidR="005F1420">
        <w:t xml:space="preserve">la </w:t>
      </w:r>
      <w:r w:rsidRPr="00162606">
        <w:t>lógica causal de</w:t>
      </w:r>
      <w:r>
        <w:t>l</w:t>
      </w:r>
      <w:r w:rsidRPr="00162606">
        <w:t xml:space="preserve"> árbol de problemas del </w:t>
      </w:r>
      <w:r w:rsidR="006A3E21">
        <w:t>d</w:t>
      </w:r>
      <w:r w:rsidRPr="00162606">
        <w:t>iagnóstico</w:t>
      </w:r>
      <w:r w:rsidRPr="00C3084D">
        <w:t>.</w:t>
      </w:r>
    </w:p>
    <w:p w14:paraId="795274D6" w14:textId="77777777" w:rsidR="00F754D2" w:rsidRPr="0043350C" w:rsidRDefault="00F754D2" w:rsidP="00F754D2">
      <w:pPr>
        <w:pStyle w:val="Bala"/>
        <w:numPr>
          <w:ilvl w:val="0"/>
          <w:numId w:val="1"/>
        </w:numPr>
        <w:ind w:left="357" w:hanging="357"/>
      </w:pPr>
      <w:r>
        <w:lastRenderedPageBreak/>
        <w:t xml:space="preserve">Redefinir el </w:t>
      </w:r>
      <w:proofErr w:type="spellStart"/>
      <w:r>
        <w:t>AEPo</w:t>
      </w:r>
      <w:proofErr w:type="spellEnd"/>
      <w:r>
        <w:t>, el AEO y el AEA.</w:t>
      </w:r>
    </w:p>
    <w:p w14:paraId="6B592DB3" w14:textId="77777777" w:rsidR="00F754D2" w:rsidRDefault="00F754D2" w:rsidP="00F754D2">
      <w:pPr>
        <w:pStyle w:val="Bala"/>
        <w:numPr>
          <w:ilvl w:val="0"/>
          <w:numId w:val="1"/>
        </w:numPr>
        <w:ind w:left="357" w:hanging="357"/>
      </w:pPr>
      <w:r>
        <w:t xml:space="preserve">Incluir </w:t>
      </w:r>
      <w:r w:rsidR="005F1420">
        <w:t xml:space="preserve">en la MIR </w:t>
      </w:r>
      <w:r>
        <w:t>todos los entregables que generan todas las UR involucradas</w:t>
      </w:r>
      <w:r w:rsidR="00835755">
        <w:t xml:space="preserve"> en la gestión del Pp</w:t>
      </w:r>
      <w:r>
        <w:t>.</w:t>
      </w:r>
    </w:p>
    <w:p w14:paraId="573B24E3" w14:textId="77777777" w:rsidR="00F754D2" w:rsidRPr="0043350C" w:rsidRDefault="00F754D2" w:rsidP="00F754D2">
      <w:pPr>
        <w:pStyle w:val="Bala"/>
        <w:numPr>
          <w:ilvl w:val="0"/>
          <w:numId w:val="1"/>
        </w:numPr>
        <w:ind w:left="357" w:hanging="357"/>
      </w:pPr>
      <w:r w:rsidRPr="00162606">
        <w:t>Generar un documento normativo o inst</w:t>
      </w:r>
      <w:r w:rsidR="00835755">
        <w:t xml:space="preserve">itucional del </w:t>
      </w:r>
      <w:proofErr w:type="spellStart"/>
      <w:r w:rsidR="00835755">
        <w:t>Pp</w:t>
      </w:r>
      <w:proofErr w:type="spellEnd"/>
      <w:r w:rsidR="00835755">
        <w:t xml:space="preserve"> (adicional al d</w:t>
      </w:r>
      <w:r w:rsidRPr="00162606">
        <w:t>iagnóstico) que contenga</w:t>
      </w:r>
      <w:r w:rsidR="00835755">
        <w:t xml:space="preserve"> el</w:t>
      </w:r>
      <w:r w:rsidRPr="00162606">
        <w:t xml:space="preserve"> resumen narrativo de la MIR</w:t>
      </w:r>
      <w:r w:rsidR="00835755">
        <w:t xml:space="preserve">; </w:t>
      </w:r>
      <w:r w:rsidRPr="00162606">
        <w:t xml:space="preserve">las instancias involucradas en la operación del </w:t>
      </w:r>
      <w:proofErr w:type="spellStart"/>
      <w:r w:rsidRPr="00162606">
        <w:t>Pp</w:t>
      </w:r>
      <w:proofErr w:type="spellEnd"/>
      <w:r w:rsidRPr="00162606">
        <w:t xml:space="preserve">, identificando el papel de cada una de ellas en específico en el marco del </w:t>
      </w:r>
      <w:proofErr w:type="spellStart"/>
      <w:r w:rsidRPr="00162606">
        <w:t>Pp</w:t>
      </w:r>
      <w:proofErr w:type="spellEnd"/>
      <w:r w:rsidR="00835755">
        <w:t>;</w:t>
      </w:r>
      <w:r w:rsidRPr="00162606">
        <w:t xml:space="preserve"> y una </w:t>
      </w:r>
      <w:r>
        <w:t>descripción de cómo debe operar</w:t>
      </w:r>
      <w:r w:rsidRPr="00162606">
        <w:t xml:space="preserve"> cada una de ellas.</w:t>
      </w:r>
    </w:p>
    <w:p w14:paraId="1302F1DB" w14:textId="77777777" w:rsidR="00F754D2" w:rsidRDefault="00F754D2" w:rsidP="00F754D2">
      <w:pPr>
        <w:pStyle w:val="Bala"/>
        <w:numPr>
          <w:ilvl w:val="0"/>
          <w:numId w:val="1"/>
        </w:numPr>
        <w:ind w:left="357" w:hanging="357"/>
      </w:pPr>
      <w:r>
        <w:t xml:space="preserve">Incorporar </w:t>
      </w:r>
      <w:r w:rsidRPr="00162606">
        <w:t>do</w:t>
      </w:r>
      <w:r w:rsidR="00835755">
        <w:t>s c</w:t>
      </w:r>
      <w:r>
        <w:t xml:space="preserve">omponentes que el </w:t>
      </w:r>
      <w:proofErr w:type="spellStart"/>
      <w:r>
        <w:t>Pp</w:t>
      </w:r>
      <w:proofErr w:type="spellEnd"/>
      <w:r>
        <w:t xml:space="preserve"> produce; m</w:t>
      </w:r>
      <w:r w:rsidRPr="00162606">
        <w:t>odificar el resumen narrativo de la MIR para cumplir con la lógica vertical y</w:t>
      </w:r>
      <w:r w:rsidR="00835755">
        <w:t>,</w:t>
      </w:r>
      <w:r w:rsidRPr="00162606">
        <w:t xml:space="preserve"> posteriormente</w:t>
      </w:r>
      <w:r w:rsidR="00835755">
        <w:t>,</w:t>
      </w:r>
      <w:r w:rsidRPr="00162606">
        <w:t xml:space="preserve"> adecuar los indicadores para poder también cumplir con la lógica horizontal</w:t>
      </w:r>
      <w:r>
        <w:t>.</w:t>
      </w:r>
    </w:p>
    <w:p w14:paraId="73052CC8" w14:textId="77777777" w:rsidR="00F754D2" w:rsidRDefault="00F754D2" w:rsidP="00F754D2">
      <w:pPr>
        <w:pStyle w:val="Bala"/>
        <w:numPr>
          <w:ilvl w:val="0"/>
          <w:numId w:val="1"/>
        </w:numPr>
        <w:ind w:left="357" w:hanging="357"/>
      </w:pPr>
      <w:r w:rsidRPr="00162606">
        <w:t xml:space="preserve">Llevar a cabo un ejercicio de planeación del </w:t>
      </w:r>
      <w:proofErr w:type="spellStart"/>
      <w:r w:rsidRPr="00162606">
        <w:t>Pp</w:t>
      </w:r>
      <w:proofErr w:type="spellEnd"/>
      <w:r w:rsidRPr="00162606">
        <w:t xml:space="preserve"> del cual derive un plan estratégico que establezca los entregables (y sus indicadores)</w:t>
      </w:r>
      <w:r>
        <w:t>.</w:t>
      </w:r>
    </w:p>
    <w:p w14:paraId="2893E6C6" w14:textId="77777777" w:rsidR="00F754D2" w:rsidRDefault="00F754D2" w:rsidP="00F754D2">
      <w:pPr>
        <w:pStyle w:val="Bala"/>
        <w:numPr>
          <w:ilvl w:val="0"/>
          <w:numId w:val="1"/>
        </w:numPr>
        <w:ind w:left="357" w:hanging="357"/>
      </w:pPr>
      <w:r w:rsidRPr="00162606">
        <w:t xml:space="preserve">Documentar un </w:t>
      </w:r>
      <w:r>
        <w:t>mecanismo de selección para el c</w:t>
      </w:r>
      <w:r w:rsidRPr="00162606">
        <w:t>omponente</w:t>
      </w:r>
      <w:r>
        <w:t xml:space="preserve"> </w:t>
      </w:r>
      <w:r w:rsidRPr="00162606">
        <w:t>“Mecanismos de vinculación en operación”</w:t>
      </w:r>
      <w:r>
        <w:t>.</w:t>
      </w:r>
    </w:p>
    <w:p w14:paraId="4D0905FB" w14:textId="77777777" w:rsidR="00F754D2" w:rsidRDefault="00F754D2" w:rsidP="00F754D2">
      <w:pPr>
        <w:pStyle w:val="Bala"/>
        <w:numPr>
          <w:ilvl w:val="0"/>
          <w:numId w:val="1"/>
        </w:numPr>
        <w:ind w:left="357" w:hanging="357"/>
      </w:pPr>
      <w:r>
        <w:t>R</w:t>
      </w:r>
      <w:r w:rsidRPr="00C3084D">
        <w:t xml:space="preserve">eplantear el concepto del </w:t>
      </w:r>
      <w:proofErr w:type="spellStart"/>
      <w:r>
        <w:t>AEPo</w:t>
      </w:r>
      <w:proofErr w:type="spellEnd"/>
      <w:r w:rsidRPr="00C3084D">
        <w:t xml:space="preserve"> como </w:t>
      </w:r>
      <w:r>
        <w:t>“D</w:t>
      </w:r>
      <w:r w:rsidRPr="00C3084D">
        <w:t>estinos susceptibles para desarrollos urbano-turísticos, que a su vez están integradas por todas las obras y proyectos necesarios para ser aprovechados para su uso comercial</w:t>
      </w:r>
      <w:r>
        <w:t>”</w:t>
      </w:r>
      <w:r w:rsidRPr="00C3084D">
        <w:t xml:space="preserve">. El </w:t>
      </w:r>
      <w:r>
        <w:t>AEO</w:t>
      </w:r>
      <w:r w:rsidRPr="00C3084D">
        <w:t xml:space="preserve"> serían aquellos </w:t>
      </w:r>
      <w:r>
        <w:t>“D</w:t>
      </w:r>
      <w:r w:rsidRPr="00C3084D">
        <w:t>estinos susceptibles para desarrollos urbano-turísticos cons</w:t>
      </w:r>
      <w:r>
        <w:t xml:space="preserve">iderados a atenderse en un año”. Finalmente, </w:t>
      </w:r>
      <w:r w:rsidRPr="00C3084D">
        <w:t xml:space="preserve">el </w:t>
      </w:r>
      <w:r>
        <w:t xml:space="preserve">AEA </w:t>
      </w:r>
      <w:r w:rsidRPr="00C3084D">
        <w:t>sería la que, al final del año, recibió las obras y proyectos</w:t>
      </w:r>
      <w:r>
        <w:t>.</w:t>
      </w:r>
    </w:p>
    <w:p w14:paraId="6E375608" w14:textId="77777777" w:rsidR="00D82633" w:rsidRDefault="00F754D2" w:rsidP="00F754D2">
      <w:pPr>
        <w:pStyle w:val="Bala"/>
        <w:numPr>
          <w:ilvl w:val="0"/>
          <w:numId w:val="1"/>
        </w:numPr>
        <w:ind w:left="357" w:hanging="357"/>
      </w:pPr>
      <w:r>
        <w:t>D</w:t>
      </w:r>
      <w:r w:rsidRPr="00C3084D">
        <w:t xml:space="preserve">iseñar un método y los instrumentos para identificar </w:t>
      </w:r>
      <w:r>
        <w:t>la satisfacción del AEA</w:t>
      </w:r>
      <w:r w:rsidRPr="00C3084D">
        <w:t>, considerando la no inducción de respu</w:t>
      </w:r>
      <w:r>
        <w:t>estas y la representatividad de tales instrumentos.</w:t>
      </w:r>
    </w:p>
    <w:p w14:paraId="5BEC67AB" w14:textId="77777777" w:rsidR="00D82633" w:rsidRPr="00D82633" w:rsidRDefault="00D82633" w:rsidP="00D82633">
      <w:pPr>
        <w:rPr>
          <w:lang w:val="es-ES"/>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D82633" w:rsidRPr="0043350C" w14:paraId="7BA52515" w14:textId="77777777" w:rsidTr="0014275D">
        <w:tc>
          <w:tcPr>
            <w:tcW w:w="749" w:type="pct"/>
            <w:vAlign w:val="center"/>
          </w:tcPr>
          <w:p w14:paraId="1751E137" w14:textId="77777777" w:rsidR="00D82633" w:rsidRPr="0043350C" w:rsidRDefault="00D82633" w:rsidP="0014275D">
            <w:pPr>
              <w:spacing w:before="20" w:after="0"/>
              <w:ind w:left="170"/>
              <w:rPr>
                <w:b/>
                <w:sz w:val="16"/>
                <w:lang w:val="es-ES"/>
              </w:rPr>
            </w:pPr>
            <w:r w:rsidRPr="0043350C">
              <w:rPr>
                <w:b/>
                <w:sz w:val="16"/>
                <w:lang w:val="es-ES"/>
              </w:rPr>
              <w:t>Evaluador Externo:</w:t>
            </w:r>
          </w:p>
        </w:tc>
        <w:tc>
          <w:tcPr>
            <w:tcW w:w="4251" w:type="pct"/>
            <w:gridSpan w:val="3"/>
          </w:tcPr>
          <w:p w14:paraId="3B39C982" w14:textId="77777777" w:rsidR="00D82633" w:rsidRPr="0043350C" w:rsidRDefault="00D82633" w:rsidP="0014275D">
            <w:pPr>
              <w:spacing w:before="20" w:after="0"/>
              <w:ind w:left="113"/>
              <w:rPr>
                <w:sz w:val="16"/>
                <w:lang w:val="es-ES"/>
              </w:rPr>
            </w:pPr>
            <w:r w:rsidRPr="0043350C">
              <w:rPr>
                <w:sz w:val="16"/>
                <w:lang w:val="es-ES"/>
              </w:rPr>
              <w:t xml:space="preserve">1. Instancia Evaluadora: </w:t>
            </w:r>
            <w:r w:rsidR="00F754D2" w:rsidRPr="00162606">
              <w:rPr>
                <w:sz w:val="16"/>
                <w:lang w:val="es-ES"/>
              </w:rPr>
              <w:t>Centro de Estudios de Competitividad del Instituto Tecnológico Autónomo de México (CEC-ITAM)</w:t>
            </w:r>
          </w:p>
          <w:p w14:paraId="32F4417D" w14:textId="77777777" w:rsidR="00D82633" w:rsidRPr="0043350C" w:rsidRDefault="00D82633" w:rsidP="0014275D">
            <w:pPr>
              <w:spacing w:before="20" w:after="0"/>
              <w:ind w:left="113"/>
              <w:rPr>
                <w:sz w:val="16"/>
                <w:lang w:val="es-ES"/>
              </w:rPr>
            </w:pPr>
            <w:r w:rsidRPr="0043350C">
              <w:rPr>
                <w:sz w:val="16"/>
                <w:lang w:val="es-ES"/>
              </w:rPr>
              <w:t xml:space="preserve">2. Coordinador de la Evaluación: </w:t>
            </w:r>
            <w:r w:rsidR="00F754D2" w:rsidRPr="00162606">
              <w:rPr>
                <w:sz w:val="16"/>
                <w:lang w:val="es-ES"/>
              </w:rPr>
              <w:t xml:space="preserve">Guillermo </w:t>
            </w:r>
            <w:proofErr w:type="spellStart"/>
            <w:r w:rsidR="00F754D2" w:rsidRPr="00162606">
              <w:rPr>
                <w:sz w:val="16"/>
                <w:lang w:val="es-ES"/>
              </w:rPr>
              <w:t>Abdel</w:t>
            </w:r>
            <w:proofErr w:type="spellEnd"/>
            <w:r w:rsidR="00F754D2" w:rsidRPr="00162606">
              <w:rPr>
                <w:sz w:val="16"/>
                <w:lang w:val="es-ES"/>
              </w:rPr>
              <w:t xml:space="preserve"> </w:t>
            </w:r>
            <w:proofErr w:type="spellStart"/>
            <w:r w:rsidR="00F754D2" w:rsidRPr="00162606">
              <w:rPr>
                <w:sz w:val="16"/>
                <w:lang w:val="es-ES"/>
              </w:rPr>
              <w:t>Musik</w:t>
            </w:r>
            <w:proofErr w:type="spellEnd"/>
          </w:p>
          <w:p w14:paraId="5F813A44" w14:textId="77777777" w:rsidR="00D82633" w:rsidRPr="0043350C" w:rsidRDefault="00D82633" w:rsidP="0014275D">
            <w:pPr>
              <w:spacing w:before="20" w:after="0"/>
              <w:ind w:left="113"/>
              <w:rPr>
                <w:sz w:val="16"/>
                <w:lang w:val="es-ES"/>
              </w:rPr>
            </w:pPr>
            <w:r w:rsidRPr="0043350C">
              <w:rPr>
                <w:sz w:val="16"/>
                <w:lang w:val="es-ES"/>
              </w:rPr>
              <w:t xml:space="preserve">3. Forma de contratación: </w:t>
            </w:r>
            <w:r w:rsidR="00F754D2" w:rsidRPr="00EA52E6">
              <w:rPr>
                <w:sz w:val="16"/>
                <w:lang w:val="es-ES"/>
              </w:rPr>
              <w:t>Invitación a cuando menos tres personas de carácter nacional electrónica</w:t>
            </w:r>
          </w:p>
        </w:tc>
      </w:tr>
      <w:tr w:rsidR="00D82633" w:rsidRPr="0043350C" w14:paraId="4140196E" w14:textId="77777777" w:rsidTr="0014275D">
        <w:tc>
          <w:tcPr>
            <w:tcW w:w="749" w:type="pct"/>
            <w:vAlign w:val="center"/>
          </w:tcPr>
          <w:p w14:paraId="098C836E" w14:textId="77777777" w:rsidR="00D82633" w:rsidRPr="0043350C" w:rsidRDefault="00D82633" w:rsidP="0014275D">
            <w:pPr>
              <w:spacing w:before="20" w:after="0"/>
              <w:ind w:left="170"/>
              <w:rPr>
                <w:b/>
                <w:sz w:val="16"/>
                <w:lang w:val="es-ES"/>
              </w:rPr>
            </w:pPr>
          </w:p>
        </w:tc>
        <w:tc>
          <w:tcPr>
            <w:tcW w:w="4251" w:type="pct"/>
            <w:gridSpan w:val="3"/>
          </w:tcPr>
          <w:p w14:paraId="6E9ABC8B" w14:textId="77777777" w:rsidR="00D82633" w:rsidRPr="0043350C" w:rsidRDefault="00D82633" w:rsidP="0014275D">
            <w:pPr>
              <w:spacing w:before="20" w:after="0"/>
              <w:ind w:left="113"/>
              <w:rPr>
                <w:sz w:val="16"/>
                <w:lang w:val="es-ES"/>
              </w:rPr>
            </w:pPr>
          </w:p>
        </w:tc>
      </w:tr>
      <w:tr w:rsidR="00D82633" w:rsidRPr="0043350C" w14:paraId="28EA0389" w14:textId="77777777" w:rsidTr="0014275D">
        <w:tc>
          <w:tcPr>
            <w:tcW w:w="749" w:type="pct"/>
            <w:vAlign w:val="center"/>
          </w:tcPr>
          <w:p w14:paraId="531C7165" w14:textId="77777777" w:rsidR="00D82633" w:rsidRPr="0043350C" w:rsidRDefault="00D82633" w:rsidP="0014275D">
            <w:pPr>
              <w:spacing w:before="20" w:after="0"/>
              <w:ind w:left="170"/>
              <w:rPr>
                <w:b/>
                <w:sz w:val="16"/>
                <w:lang w:val="es-ES"/>
              </w:rPr>
            </w:pPr>
            <w:r w:rsidRPr="0043350C">
              <w:rPr>
                <w:b/>
                <w:sz w:val="16"/>
                <w:lang w:val="es-ES"/>
              </w:rPr>
              <w:t>Costo:</w:t>
            </w:r>
          </w:p>
        </w:tc>
        <w:tc>
          <w:tcPr>
            <w:tcW w:w="1113" w:type="pct"/>
            <w:vAlign w:val="center"/>
          </w:tcPr>
          <w:p w14:paraId="053700C5" w14:textId="77777777" w:rsidR="00D82633" w:rsidRPr="0043350C" w:rsidRDefault="00D82633" w:rsidP="00F754D2">
            <w:pPr>
              <w:spacing w:before="20" w:after="0"/>
              <w:ind w:left="113"/>
              <w:rPr>
                <w:sz w:val="16"/>
                <w:lang w:val="es-ES"/>
              </w:rPr>
            </w:pPr>
            <w:r w:rsidRPr="0043350C">
              <w:rPr>
                <w:sz w:val="16"/>
                <w:lang w:val="es-ES"/>
              </w:rPr>
              <w:t>$</w:t>
            </w:r>
            <w:r w:rsidR="00F754D2">
              <w:rPr>
                <w:sz w:val="16"/>
                <w:lang w:val="es-ES"/>
              </w:rPr>
              <w:t>597</w:t>
            </w:r>
            <w:r>
              <w:rPr>
                <w:sz w:val="16"/>
                <w:lang w:val="es-ES"/>
              </w:rPr>
              <w:t>,</w:t>
            </w:r>
            <w:r w:rsidR="00F754D2">
              <w:rPr>
                <w:sz w:val="16"/>
                <w:lang w:val="es-ES"/>
              </w:rPr>
              <w:t>400</w:t>
            </w:r>
            <w:r>
              <w:rPr>
                <w:sz w:val="16"/>
                <w:lang w:val="es-ES"/>
              </w:rPr>
              <w:t>.</w:t>
            </w:r>
            <w:r w:rsidR="00F754D2">
              <w:rPr>
                <w:sz w:val="16"/>
                <w:lang w:val="es-ES"/>
              </w:rPr>
              <w:t>00</w:t>
            </w:r>
            <w:r>
              <w:rPr>
                <w:sz w:val="16"/>
                <w:lang w:val="es-ES"/>
              </w:rPr>
              <w:t xml:space="preserve"> </w:t>
            </w:r>
            <w:r w:rsidRPr="0043350C">
              <w:rPr>
                <w:sz w:val="16"/>
                <w:lang w:val="es-ES"/>
              </w:rPr>
              <w:t>IVA</w:t>
            </w:r>
            <w:r>
              <w:rPr>
                <w:sz w:val="16"/>
                <w:lang w:val="es-ES"/>
              </w:rPr>
              <w:t xml:space="preserve"> incluido</w:t>
            </w:r>
          </w:p>
        </w:tc>
        <w:tc>
          <w:tcPr>
            <w:tcW w:w="904" w:type="pct"/>
            <w:vAlign w:val="center"/>
          </w:tcPr>
          <w:p w14:paraId="2A252736" w14:textId="77777777" w:rsidR="00D82633" w:rsidRPr="0043350C" w:rsidRDefault="00D82633" w:rsidP="0014275D">
            <w:pPr>
              <w:spacing w:before="20" w:after="0"/>
              <w:ind w:left="170"/>
              <w:rPr>
                <w:b/>
                <w:sz w:val="16"/>
                <w:lang w:val="es-ES"/>
              </w:rPr>
            </w:pPr>
            <w:r w:rsidRPr="0043350C">
              <w:rPr>
                <w:b/>
                <w:sz w:val="16"/>
                <w:lang w:val="es-ES"/>
              </w:rPr>
              <w:t>Fuente de Financiamiento:</w:t>
            </w:r>
          </w:p>
        </w:tc>
        <w:tc>
          <w:tcPr>
            <w:tcW w:w="2234" w:type="pct"/>
            <w:vAlign w:val="center"/>
          </w:tcPr>
          <w:p w14:paraId="6E5E0B72" w14:textId="77777777" w:rsidR="00D82633" w:rsidRPr="00C3084D" w:rsidRDefault="00D82633" w:rsidP="0014275D">
            <w:pPr>
              <w:spacing w:before="20" w:after="0"/>
              <w:ind w:left="113"/>
              <w:rPr>
                <w:sz w:val="16"/>
                <w:lang w:val="es-ES"/>
              </w:rPr>
            </w:pPr>
            <w:r w:rsidRPr="00C3084D">
              <w:rPr>
                <w:sz w:val="16"/>
                <w:lang w:val="es-ES"/>
              </w:rPr>
              <w:t>Recursos fiscales</w:t>
            </w:r>
          </w:p>
        </w:tc>
      </w:tr>
      <w:tr w:rsidR="00D82633" w:rsidRPr="0043350C" w14:paraId="23708B5E" w14:textId="77777777" w:rsidTr="0014275D">
        <w:tc>
          <w:tcPr>
            <w:tcW w:w="749" w:type="pct"/>
            <w:tcBorders>
              <w:bottom w:val="single" w:sz="4" w:space="0" w:color="auto"/>
            </w:tcBorders>
            <w:vAlign w:val="bottom"/>
          </w:tcPr>
          <w:p w14:paraId="349660A2" w14:textId="77777777" w:rsidR="00D82633" w:rsidRPr="0043350C" w:rsidRDefault="00D82633" w:rsidP="0014275D">
            <w:pPr>
              <w:spacing w:before="20" w:after="0"/>
              <w:ind w:left="170"/>
              <w:rPr>
                <w:b/>
                <w:sz w:val="16"/>
                <w:szCs w:val="16"/>
                <w:lang w:val="es-ES" w:eastAsia="en-US"/>
              </w:rPr>
            </w:pPr>
            <w:r w:rsidRPr="0043350C">
              <w:rPr>
                <w:b/>
                <w:sz w:val="16"/>
                <w:szCs w:val="16"/>
                <w:lang w:val="es-ES" w:eastAsia="en-US"/>
              </w:rPr>
              <w:t>Coordinación de la Evaluación:</w:t>
            </w:r>
          </w:p>
        </w:tc>
        <w:tc>
          <w:tcPr>
            <w:tcW w:w="1113" w:type="pct"/>
            <w:tcBorders>
              <w:bottom w:val="single" w:sz="4" w:space="0" w:color="auto"/>
            </w:tcBorders>
            <w:vAlign w:val="center"/>
          </w:tcPr>
          <w:p w14:paraId="0805F3BB" w14:textId="77777777" w:rsidR="00D82633" w:rsidRPr="0043350C" w:rsidRDefault="00D82633" w:rsidP="0014275D">
            <w:pPr>
              <w:spacing w:after="0"/>
              <w:jc w:val="center"/>
              <w:rPr>
                <w:rFonts w:eastAsia="Times New Roman" w:cs="Arial"/>
                <w:sz w:val="14"/>
                <w:szCs w:val="14"/>
                <w:lang w:val="es-ES"/>
              </w:rPr>
            </w:pPr>
            <w:r w:rsidRPr="005E2AAE">
              <w:rPr>
                <w:rFonts w:eastAsia="Times New Roman" w:cs="Arial"/>
                <w:sz w:val="16"/>
                <w:szCs w:val="14"/>
                <w:lang w:val="es-ES"/>
              </w:rPr>
              <w:t>SHCP</w:t>
            </w:r>
          </w:p>
        </w:tc>
        <w:tc>
          <w:tcPr>
            <w:tcW w:w="904" w:type="pct"/>
            <w:tcBorders>
              <w:bottom w:val="single" w:sz="4" w:space="0" w:color="auto"/>
            </w:tcBorders>
            <w:vAlign w:val="center"/>
          </w:tcPr>
          <w:p w14:paraId="67640E58" w14:textId="77777777" w:rsidR="00D82633" w:rsidRPr="0043350C" w:rsidRDefault="00D82633" w:rsidP="0014275D">
            <w:pPr>
              <w:spacing w:before="20" w:after="0"/>
              <w:ind w:left="170"/>
              <w:rPr>
                <w:b/>
                <w:sz w:val="16"/>
                <w:szCs w:val="16"/>
                <w:lang w:val="es-ES" w:eastAsia="en-US"/>
              </w:rPr>
            </w:pPr>
            <w:r w:rsidRPr="0043350C">
              <w:rPr>
                <w:b/>
                <w:sz w:val="16"/>
                <w:szCs w:val="16"/>
                <w:lang w:val="es-ES" w:eastAsia="en-US"/>
              </w:rPr>
              <w:t>Informe completo:</w:t>
            </w:r>
          </w:p>
        </w:tc>
        <w:tc>
          <w:tcPr>
            <w:tcW w:w="2234" w:type="pct"/>
            <w:tcBorders>
              <w:bottom w:val="single" w:sz="4" w:space="0" w:color="auto"/>
            </w:tcBorders>
            <w:vAlign w:val="center"/>
          </w:tcPr>
          <w:p w14:paraId="048735C4" w14:textId="77777777" w:rsidR="00D82633" w:rsidRPr="0043350C" w:rsidRDefault="00D82633" w:rsidP="0014275D">
            <w:pPr>
              <w:spacing w:before="20" w:after="0"/>
              <w:ind w:left="113"/>
              <w:rPr>
                <w:rFonts w:eastAsia="Times New Roman"/>
                <w:sz w:val="16"/>
                <w:szCs w:val="16"/>
                <w:lang w:val="es-ES" w:eastAsia="en-US"/>
              </w:rPr>
            </w:pPr>
            <w:r w:rsidRPr="0043350C">
              <w:rPr>
                <w:rFonts w:eastAsia="Times New Roman"/>
                <w:sz w:val="16"/>
                <w:szCs w:val="16"/>
                <w:lang w:val="es-ES" w:eastAsia="en-US"/>
              </w:rPr>
              <w:t>Disponible en:</w:t>
            </w:r>
          </w:p>
          <w:p w14:paraId="522653FA" w14:textId="77777777" w:rsidR="00D82633" w:rsidRPr="0043350C" w:rsidRDefault="00D82633" w:rsidP="0014275D">
            <w:pPr>
              <w:spacing w:before="20" w:after="0"/>
              <w:ind w:left="113"/>
              <w:rPr>
                <w:rFonts w:eastAsia="Times New Roman"/>
                <w:sz w:val="16"/>
                <w:szCs w:val="16"/>
                <w:lang w:val="es-ES" w:eastAsia="en-US"/>
              </w:rPr>
            </w:pPr>
            <w:r w:rsidRPr="0043350C">
              <w:rPr>
                <w:rFonts w:eastAsia="Times New Roman"/>
                <w:sz w:val="16"/>
                <w:szCs w:val="16"/>
                <w:lang w:val="es-ES" w:eastAsia="en-US"/>
              </w:rPr>
              <w:t>http://www.transparenciapresupuestaria.gob.mx/</w:t>
            </w:r>
          </w:p>
        </w:tc>
      </w:tr>
    </w:tbl>
    <w:p w14:paraId="2F9F5E0E" w14:textId="77777777" w:rsidR="00D82633" w:rsidRDefault="00D82633" w:rsidP="00D82633"/>
    <w:p w14:paraId="0FE80ED0" w14:textId="77777777" w:rsidR="00C14BE7" w:rsidRPr="0043350C" w:rsidRDefault="00C14BE7" w:rsidP="00C14BE7">
      <w:r w:rsidRPr="0043350C">
        <w:br w:type="page"/>
      </w:r>
    </w:p>
    <w:p w14:paraId="548CFF3A" w14:textId="77777777" w:rsidR="00F13410" w:rsidRDefault="00F13410" w:rsidP="00861209">
      <w:pPr>
        <w:pStyle w:val="Ttulo3"/>
        <w:spacing w:after="120"/>
      </w:pPr>
      <w:bookmarkStart w:id="15" w:name="_Toc512364669"/>
      <w:r w:rsidRPr="00FC7306">
        <w:lastRenderedPageBreak/>
        <w:t>EVALUACIONES DE PROCESOS</w:t>
      </w:r>
      <w:bookmarkEnd w:id="14"/>
      <w:bookmarkEnd w:id="15"/>
      <w:r w:rsidRPr="00FC7306">
        <w:t xml:space="preserve"> </w:t>
      </w:r>
    </w:p>
    <w:p w14:paraId="402840B7" w14:textId="77777777" w:rsidR="006435C0" w:rsidRPr="006435C0" w:rsidRDefault="006435C0" w:rsidP="006435C0">
      <w:pPr>
        <w:pStyle w:val="Cdetextonegrita"/>
        <w:rPr>
          <w:lang w:eastAsia="en-US"/>
        </w:rPr>
      </w:pPr>
      <w:r>
        <w:rPr>
          <w:lang w:eastAsia="en-US"/>
        </w:rPr>
        <w:t>Introducción</w:t>
      </w:r>
    </w:p>
    <w:p w14:paraId="634794DB" w14:textId="77777777" w:rsidR="00ED528F" w:rsidRDefault="00ED528F" w:rsidP="00ED528F">
      <w:pPr>
        <w:pStyle w:val="Cdetexto"/>
      </w:pPr>
      <w:r>
        <w:t xml:space="preserve">Los Lineamientos de Evaluación establecen, en su numeral Décimo Sexto, que la Evaluación de Procesos (EP) analiza mediante trabajo de campo y de gabinete si el </w:t>
      </w:r>
      <w:proofErr w:type="spellStart"/>
      <w:r>
        <w:t>Pp</w:t>
      </w:r>
      <w:proofErr w:type="spellEnd"/>
      <w:r>
        <w:t xml:space="preserve"> lleva a cabo sus procesos operativos con eficacia, oportunidad, suficiencia y pertinencia</w:t>
      </w:r>
      <w:r w:rsidR="00B94CAE">
        <w:t>, así como</w:t>
      </w:r>
      <w:r w:rsidR="00B94CAE" w:rsidRPr="006F4565">
        <w:t xml:space="preserve"> si contribuye</w:t>
      </w:r>
      <w:r w:rsidR="00B94CAE">
        <w:t>n</w:t>
      </w:r>
      <w:r w:rsidR="00B94CAE" w:rsidRPr="006F4565">
        <w:t xml:space="preserve"> al mejoramiento de la gestión</w:t>
      </w:r>
      <w:r>
        <w:t>.</w:t>
      </w:r>
    </w:p>
    <w:p w14:paraId="4C26705F" w14:textId="77777777" w:rsidR="00ED528F" w:rsidRDefault="00ED528F" w:rsidP="00ED528F">
      <w:pPr>
        <w:pStyle w:val="Cdetexto"/>
      </w:pPr>
      <w:r>
        <w:t>La EP permite revisar los procesos ejecutados en la operació</w:t>
      </w:r>
      <w:r w:rsidR="00D64B77">
        <w:t xml:space="preserve">n de un </w:t>
      </w:r>
      <w:proofErr w:type="spellStart"/>
      <w:r w:rsidR="00D64B77">
        <w:t>Pp</w:t>
      </w:r>
      <w:proofErr w:type="spellEnd"/>
      <w:r w:rsidR="00D64B77">
        <w:t xml:space="preserve"> para identificar si é</w:t>
      </w:r>
      <w:r>
        <w:t xml:space="preserve">stos favorecen al logro de su meta a nivel propósito. En este sentido, el adecuado diseño del </w:t>
      </w:r>
      <w:proofErr w:type="spellStart"/>
      <w:r>
        <w:t>Pp</w:t>
      </w:r>
      <w:proofErr w:type="spellEnd"/>
      <w:r>
        <w:t>, que repercute en su correcta operación, permitirá la consecución de las metas de cada uno de los componentes establecidos en su MIR y, por lo tanto, contribuirá al logro de su propósito.</w:t>
      </w:r>
    </w:p>
    <w:p w14:paraId="79B1CC0B" w14:textId="77777777" w:rsidR="00ED528F" w:rsidRDefault="00ED528F" w:rsidP="00ED528F">
      <w:pPr>
        <w:pStyle w:val="Cdetexto"/>
      </w:pPr>
      <w:r>
        <w:t xml:space="preserve">Para ello, la EP contempla la revisión del funcionamiento y la organización del </w:t>
      </w:r>
      <w:proofErr w:type="spellStart"/>
      <w:r>
        <w:t>Pp</w:t>
      </w:r>
      <w:proofErr w:type="spellEnd"/>
      <w:r>
        <w:t>, lo que permite identificar áreas de oportunidad en torno a su operación y gestión, con el objetivo de incidir directamente en la mejora de la eficacia y la eficiencia de la misma. Adicionalmente, los resultados que arroja la EP pueden ser utilizados para realizar ejercicios comparativos para la mejora de su gestión y medición en el tiempo.</w:t>
      </w:r>
    </w:p>
    <w:p w14:paraId="34EDB28A" w14:textId="77777777" w:rsidR="00ED528F" w:rsidRDefault="00ED528F" w:rsidP="00ED528F">
      <w:pPr>
        <w:pStyle w:val="Cdetexto"/>
      </w:pPr>
      <w:r>
        <w:t xml:space="preserve">Cabe señalar que para la realización de las EP se utiliza 1) el Modelo de Términos de Referencia para la Evaluación de Procesos, aplicable a evaluaciones cuya Instancia de Coordinación es la SHCP, y 2) el Modelo de Términos de Referencia para la Evaluación de Procesos emitido por el CONEVAL; este último para evaluar </w:t>
      </w:r>
      <w:proofErr w:type="spellStart"/>
      <w:r>
        <w:t>Pp</w:t>
      </w:r>
      <w:proofErr w:type="spellEnd"/>
      <w:r>
        <w:t xml:space="preserve"> considerados por el CONEVAL como de desarrollo social; de tal forma que para realizar una EP a un </w:t>
      </w:r>
      <w:proofErr w:type="spellStart"/>
      <w:r>
        <w:t>Pp</w:t>
      </w:r>
      <w:proofErr w:type="spellEnd"/>
      <w:r w:rsidR="00282C72">
        <w:t>,</w:t>
      </w:r>
      <w:r>
        <w:t xml:space="preserve"> se utiliza el modelo de términos de referencia del ámbito de coordinación correspondiente.</w:t>
      </w:r>
    </w:p>
    <w:p w14:paraId="1DE72B61" w14:textId="77777777" w:rsidR="00ED528F" w:rsidRPr="00ED528F" w:rsidRDefault="00ED528F" w:rsidP="006F32D4">
      <w:pPr>
        <w:pStyle w:val="Cdetextonegrita"/>
      </w:pPr>
      <w:r w:rsidRPr="00ED528F">
        <w:t xml:space="preserve">Objetivo General </w:t>
      </w:r>
    </w:p>
    <w:p w14:paraId="4877FA82" w14:textId="77777777" w:rsidR="00ED528F" w:rsidRDefault="00ED528F" w:rsidP="00ED528F">
      <w:pPr>
        <w:pStyle w:val="Cdetexto"/>
      </w:pPr>
      <w:r>
        <w:t xml:space="preserve">Realizar un análisis sistemático, mediante trabajo de campo y de gabinete, sobre la operación del </w:t>
      </w:r>
      <w:proofErr w:type="spellStart"/>
      <w:r>
        <w:t>Pp</w:t>
      </w:r>
      <w:proofErr w:type="spellEnd"/>
      <w:r>
        <w:t xml:space="preserve"> con la finalidad de conocer, cómo sus procesos (traducidos en sus componentes) conducen al logro de la meta del </w:t>
      </w:r>
      <w:proofErr w:type="spellStart"/>
      <w:r>
        <w:t>Pp</w:t>
      </w:r>
      <w:proofErr w:type="spellEnd"/>
      <w:r>
        <w:t xml:space="preserve"> a nivel propósito, así como detectar los problemas operativos a los que se enfrenta y las buenas prácticas que se realizan, de manera que se pueden emitir recomendaciones para mejorar su gestión.</w:t>
      </w:r>
    </w:p>
    <w:p w14:paraId="3DD23800" w14:textId="77777777" w:rsidR="00ED528F" w:rsidRPr="00ED528F" w:rsidRDefault="00ED528F" w:rsidP="00ED528F">
      <w:pPr>
        <w:pStyle w:val="Cdetexto"/>
        <w:rPr>
          <w:b/>
        </w:rPr>
      </w:pPr>
      <w:r w:rsidRPr="00ED528F">
        <w:rPr>
          <w:b/>
        </w:rPr>
        <w:t>Objetivos específicos</w:t>
      </w:r>
    </w:p>
    <w:p w14:paraId="44BB2B9F" w14:textId="77777777" w:rsidR="00ED528F" w:rsidRDefault="00ED528F" w:rsidP="00000CD2">
      <w:pPr>
        <w:pStyle w:val="Bala"/>
        <w:numPr>
          <w:ilvl w:val="0"/>
          <w:numId w:val="16"/>
        </w:numPr>
        <w:spacing w:line="250" w:lineRule="exact"/>
        <w:ind w:left="426"/>
      </w:pPr>
      <w:r>
        <w:t xml:space="preserve">Describir la operación del </w:t>
      </w:r>
      <w:proofErr w:type="spellStart"/>
      <w:r>
        <w:t>Pp</w:t>
      </w:r>
      <w:proofErr w:type="spellEnd"/>
      <w:r>
        <w:t>, por medio de sus procesos operativos, en los distintos órdenes de gobierno en los que se llevan a cabo.</w:t>
      </w:r>
    </w:p>
    <w:p w14:paraId="5B854183" w14:textId="77777777" w:rsidR="00ED528F" w:rsidRDefault="00ED528F" w:rsidP="00000CD2">
      <w:pPr>
        <w:pStyle w:val="Bala"/>
        <w:numPr>
          <w:ilvl w:val="0"/>
          <w:numId w:val="16"/>
        </w:numPr>
        <w:spacing w:line="250" w:lineRule="exact"/>
        <w:ind w:left="426"/>
      </w:pPr>
      <w:r>
        <w:t>Detectar aquellos procesos operativos en los cuales se estén presentando fallas que afecten, en alguna medida, el desempeño eficaz del Pp.</w:t>
      </w:r>
    </w:p>
    <w:p w14:paraId="222F14C2" w14:textId="77777777" w:rsidR="00ED528F" w:rsidRDefault="00ED528F" w:rsidP="00000CD2">
      <w:pPr>
        <w:pStyle w:val="Bala"/>
        <w:numPr>
          <w:ilvl w:val="0"/>
          <w:numId w:val="16"/>
        </w:numPr>
        <w:spacing w:line="250" w:lineRule="exact"/>
        <w:ind w:left="426"/>
      </w:pPr>
      <w:r>
        <w:t xml:space="preserve">Identificar en qué medida los procesos operativos de los </w:t>
      </w:r>
      <w:proofErr w:type="spellStart"/>
      <w:r>
        <w:t>Pp</w:t>
      </w:r>
      <w:proofErr w:type="spellEnd"/>
      <w:r>
        <w:t xml:space="preserve"> son eficaces y suficientes.</w:t>
      </w:r>
    </w:p>
    <w:p w14:paraId="033C2BF9" w14:textId="77777777" w:rsidR="00ED528F" w:rsidRDefault="00ED528F" w:rsidP="00000CD2">
      <w:pPr>
        <w:pStyle w:val="Bala"/>
        <w:numPr>
          <w:ilvl w:val="0"/>
          <w:numId w:val="16"/>
        </w:numPr>
        <w:spacing w:line="250" w:lineRule="exact"/>
        <w:ind w:left="426"/>
      </w:pPr>
      <w:r>
        <w:t xml:space="preserve">Identificar en qué medida y de qué manera los procesos, manifestados en los instrumentos normativos de la operación de los </w:t>
      </w:r>
      <w:proofErr w:type="spellStart"/>
      <w:r>
        <w:t>Pp</w:t>
      </w:r>
      <w:proofErr w:type="spellEnd"/>
      <w:r>
        <w:t>, son adecuados para lograr los objetivos planteados.</w:t>
      </w:r>
    </w:p>
    <w:p w14:paraId="366FAC99" w14:textId="77777777" w:rsidR="00ED528F" w:rsidRDefault="00ED528F" w:rsidP="00000CD2">
      <w:pPr>
        <w:pStyle w:val="Bala"/>
        <w:numPr>
          <w:ilvl w:val="0"/>
          <w:numId w:val="16"/>
        </w:numPr>
        <w:spacing w:line="250" w:lineRule="exact"/>
        <w:ind w:left="426"/>
      </w:pPr>
      <w:r>
        <w:t xml:space="preserve">Identificar y describir los problemas que obstaculizan la operación de los </w:t>
      </w:r>
      <w:proofErr w:type="spellStart"/>
      <w:r>
        <w:t>Pp</w:t>
      </w:r>
      <w:proofErr w:type="spellEnd"/>
      <w:r>
        <w:t>, así como las fortalezas y buenas prácticas que mejoran su capacidad de operación.</w:t>
      </w:r>
    </w:p>
    <w:p w14:paraId="753D4BD0" w14:textId="77777777" w:rsidR="00ED528F" w:rsidRDefault="00B94CAE" w:rsidP="00000CD2">
      <w:pPr>
        <w:pStyle w:val="Bala"/>
        <w:numPr>
          <w:ilvl w:val="0"/>
          <w:numId w:val="16"/>
        </w:numPr>
        <w:spacing w:line="250" w:lineRule="exact"/>
        <w:ind w:left="426"/>
      </w:pPr>
      <w:r>
        <w:t>Identificar</w:t>
      </w:r>
      <w:r w:rsidR="00ED528F">
        <w:t xml:space="preserve"> factores para</w:t>
      </w:r>
      <w:r>
        <w:t>, en su caso,</w:t>
      </w:r>
      <w:r w:rsidR="00ED528F">
        <w:t xml:space="preserve"> definir la readecuación de los instrumentos normativos de la operación del Pp.</w:t>
      </w:r>
    </w:p>
    <w:p w14:paraId="4B92606D" w14:textId="77777777" w:rsidR="001B210A" w:rsidRDefault="003955DD" w:rsidP="001B210A">
      <w:pPr>
        <w:pStyle w:val="Cdetexto"/>
      </w:pPr>
      <w:r w:rsidRPr="00115A2A">
        <w:t xml:space="preserve">Durante el </w:t>
      </w:r>
      <w:r w:rsidR="00A615D2">
        <w:t>primer</w:t>
      </w:r>
      <w:r w:rsidRPr="00115A2A">
        <w:t xml:space="preserve"> trimestre de 201</w:t>
      </w:r>
      <w:r w:rsidR="00A615D2">
        <w:t>8</w:t>
      </w:r>
      <w:r w:rsidR="001B210A" w:rsidRPr="00115A2A">
        <w:t xml:space="preserve"> se </w:t>
      </w:r>
      <w:r w:rsidR="00A91516" w:rsidRPr="00115A2A">
        <w:t>recibieron</w:t>
      </w:r>
      <w:r w:rsidR="00115A2A">
        <w:t xml:space="preserve"> </w:t>
      </w:r>
      <w:r w:rsidR="00C57697" w:rsidRPr="00C57697">
        <w:t>seis</w:t>
      </w:r>
      <w:r w:rsidR="00115A2A" w:rsidRPr="00C57697">
        <w:t xml:space="preserve"> </w:t>
      </w:r>
      <w:r w:rsidR="001B210A" w:rsidRPr="00C57697">
        <w:t>EP realizada</w:t>
      </w:r>
      <w:r w:rsidR="00A91516" w:rsidRPr="00C57697">
        <w:t>s</w:t>
      </w:r>
      <w:r w:rsidR="001B210A" w:rsidRPr="00C57697">
        <w:t xml:space="preserve"> a </w:t>
      </w:r>
      <w:r w:rsidR="00C57697" w:rsidRPr="00C57697">
        <w:t>cuatro</w:t>
      </w:r>
      <w:r w:rsidR="001B210A" w:rsidRPr="00C57697">
        <w:t xml:space="preserve"> </w:t>
      </w:r>
      <w:proofErr w:type="spellStart"/>
      <w:r w:rsidR="001B210A" w:rsidRPr="00C57697">
        <w:t>Pp</w:t>
      </w:r>
      <w:proofErr w:type="spellEnd"/>
      <w:r w:rsidR="001B210A" w:rsidRPr="00C57697">
        <w:t xml:space="preserve"> del </w:t>
      </w:r>
      <w:r w:rsidR="00A91516" w:rsidRPr="00C57697">
        <w:t>Ramo 04 Gobernación</w:t>
      </w:r>
      <w:r w:rsidR="00C57697" w:rsidRPr="00C57697">
        <w:t>,</w:t>
      </w:r>
      <w:r w:rsidR="00A91516" w:rsidRPr="00C57697">
        <w:t xml:space="preserve"> </w:t>
      </w:r>
      <w:r w:rsidR="00C57697" w:rsidRPr="00C57697">
        <w:t xml:space="preserve">a un </w:t>
      </w:r>
      <w:proofErr w:type="spellStart"/>
      <w:r w:rsidR="00C57697" w:rsidRPr="00C57697">
        <w:t>Pp</w:t>
      </w:r>
      <w:proofErr w:type="spellEnd"/>
      <w:r w:rsidR="00C57697" w:rsidRPr="00C57697">
        <w:t xml:space="preserve"> del Ramo 09 Comunicaciones y Transportes </w:t>
      </w:r>
      <w:r w:rsidR="00A91516" w:rsidRPr="00C57697">
        <w:t xml:space="preserve">y a un </w:t>
      </w:r>
      <w:proofErr w:type="spellStart"/>
      <w:r w:rsidR="00A91516" w:rsidRPr="00C57697">
        <w:t>Pp</w:t>
      </w:r>
      <w:proofErr w:type="spellEnd"/>
      <w:r w:rsidR="00A91516" w:rsidRPr="00C57697">
        <w:t xml:space="preserve"> del </w:t>
      </w:r>
      <w:r w:rsidR="001B210A" w:rsidRPr="00C57697">
        <w:t xml:space="preserve">Ramo </w:t>
      </w:r>
      <w:r w:rsidR="00C57697" w:rsidRPr="00C57697">
        <w:t>47</w:t>
      </w:r>
      <w:r w:rsidR="004858F1" w:rsidRPr="00C57697">
        <w:t xml:space="preserve"> </w:t>
      </w:r>
      <w:r w:rsidR="00C57697" w:rsidRPr="00C57697">
        <w:t xml:space="preserve">Entidades </w:t>
      </w:r>
      <w:r w:rsidR="00C57697" w:rsidRPr="00C57697">
        <w:lastRenderedPageBreak/>
        <w:t>no Sectorizadas</w:t>
      </w:r>
      <w:r w:rsidR="004858F1" w:rsidRPr="00C57697">
        <w:t>;</w:t>
      </w:r>
      <w:r w:rsidR="001B210A" w:rsidRPr="00C57697">
        <w:t xml:space="preserve"> </w:t>
      </w:r>
      <w:r w:rsidR="00B4461A" w:rsidRPr="00C57697">
        <w:t xml:space="preserve">a continuación se presenta una síntesis de </w:t>
      </w:r>
      <w:r w:rsidR="004858F1" w:rsidRPr="00C57697">
        <w:t>la</w:t>
      </w:r>
      <w:r w:rsidR="00B4461A" w:rsidRPr="00C57697">
        <w:t xml:space="preserve"> evaluación con sus principa</w:t>
      </w:r>
      <w:r w:rsidR="00D41939" w:rsidRPr="00C57697">
        <w:t>les hallazgos y recomendaciones.</w:t>
      </w:r>
    </w:p>
    <w:p w14:paraId="498A04CC" w14:textId="74E9DE4B" w:rsidR="00A615D2" w:rsidRDefault="00A615D2">
      <w:pPr>
        <w:spacing w:after="0"/>
        <w:rPr>
          <w:rFonts w:eastAsia="Times New Roman" w:cs="Arial"/>
          <w:szCs w:val="20"/>
          <w:lang w:val="es-ES"/>
        </w:rPr>
      </w:pPr>
    </w:p>
    <w:tbl>
      <w:tblPr>
        <w:tblStyle w:val="Tablaconcuadrcula32"/>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A91516" w:rsidRPr="00FC7306" w14:paraId="0A219F57" w14:textId="77777777" w:rsidTr="00AC728A">
        <w:trPr>
          <w:trHeight w:val="358"/>
          <w:jc w:val="center"/>
        </w:trPr>
        <w:tc>
          <w:tcPr>
            <w:tcW w:w="9923" w:type="dxa"/>
            <w:gridSpan w:val="5"/>
            <w:shd w:val="clear" w:color="auto" w:fill="D6E3BC" w:themeFill="accent3" w:themeFillTint="66"/>
            <w:vAlign w:val="center"/>
          </w:tcPr>
          <w:p w14:paraId="4EE6DFB9" w14:textId="77777777" w:rsidR="00A91516" w:rsidRPr="000203DE" w:rsidRDefault="00A91516" w:rsidP="00A91516">
            <w:pPr>
              <w:pStyle w:val="CABEZA"/>
              <w:ind w:left="0"/>
              <w:rPr>
                <w:lang w:val="es-MX"/>
              </w:rPr>
            </w:pPr>
            <w:r w:rsidRPr="00282C72">
              <w:rPr>
                <w:lang w:val="es-MX"/>
              </w:rPr>
              <w:br w:type="page"/>
            </w:r>
            <w:r w:rsidRPr="006C2077">
              <w:rPr>
                <w:lang w:val="es-MX"/>
              </w:rPr>
              <w:t xml:space="preserve">Ramo </w:t>
            </w:r>
            <w:r>
              <w:rPr>
                <w:lang w:val="es-MX"/>
              </w:rPr>
              <w:t xml:space="preserve">04 </w:t>
            </w:r>
            <w:r w:rsidRPr="000203DE">
              <w:rPr>
                <w:lang w:val="es-MX"/>
              </w:rPr>
              <w:t xml:space="preserve">– </w:t>
            </w:r>
            <w:r>
              <w:rPr>
                <w:lang w:val="es-MX"/>
              </w:rPr>
              <w:t>Gobernación</w:t>
            </w:r>
          </w:p>
        </w:tc>
      </w:tr>
      <w:tr w:rsidR="00A91516" w:rsidRPr="00FC7306" w14:paraId="02551684" w14:textId="77777777" w:rsidTr="00AC728A">
        <w:trPr>
          <w:jc w:val="center"/>
        </w:trPr>
        <w:tc>
          <w:tcPr>
            <w:tcW w:w="1359" w:type="dxa"/>
            <w:shd w:val="clear" w:color="auto" w:fill="D9D9D9" w:themeFill="background1" w:themeFillShade="D9"/>
          </w:tcPr>
          <w:p w14:paraId="46EA8BFF" w14:textId="77777777" w:rsidR="00A91516" w:rsidRPr="00FC7306" w:rsidRDefault="00A91516" w:rsidP="00AC728A">
            <w:pPr>
              <w:spacing w:before="20"/>
              <w:rPr>
                <w:b/>
                <w:sz w:val="16"/>
                <w:lang w:val="es-ES"/>
              </w:rPr>
            </w:pPr>
            <w:r w:rsidRPr="00FC7306">
              <w:rPr>
                <w:b/>
                <w:sz w:val="16"/>
                <w:lang w:val="es-ES"/>
              </w:rPr>
              <w:t xml:space="preserve">Clave del </w:t>
            </w:r>
            <w:proofErr w:type="spellStart"/>
            <w:r w:rsidRPr="00FC7306">
              <w:rPr>
                <w:b/>
                <w:sz w:val="16"/>
                <w:lang w:val="es-ES"/>
              </w:rPr>
              <w:t>Pp</w:t>
            </w:r>
            <w:proofErr w:type="spellEnd"/>
            <w:r w:rsidRPr="00FC7306">
              <w:rPr>
                <w:b/>
                <w:sz w:val="16"/>
                <w:lang w:val="es-ES"/>
              </w:rPr>
              <w:t>:</w:t>
            </w:r>
          </w:p>
        </w:tc>
        <w:tc>
          <w:tcPr>
            <w:tcW w:w="734" w:type="dxa"/>
            <w:shd w:val="clear" w:color="auto" w:fill="D9D9D9" w:themeFill="background1" w:themeFillShade="D9"/>
          </w:tcPr>
          <w:p w14:paraId="2F0982BD" w14:textId="77777777" w:rsidR="00A91516" w:rsidRPr="00FC7306" w:rsidRDefault="00B2789A" w:rsidP="00B2789A">
            <w:pPr>
              <w:contextualSpacing/>
              <w:rPr>
                <w:sz w:val="16"/>
                <w:szCs w:val="16"/>
                <w:lang w:val="es-ES" w:eastAsia="en-US"/>
              </w:rPr>
            </w:pPr>
            <w:r>
              <w:rPr>
                <w:sz w:val="16"/>
                <w:szCs w:val="16"/>
                <w:lang w:val="es-ES" w:eastAsia="en-US"/>
              </w:rPr>
              <w:t>N001</w:t>
            </w:r>
          </w:p>
        </w:tc>
        <w:tc>
          <w:tcPr>
            <w:tcW w:w="1701" w:type="dxa"/>
            <w:gridSpan w:val="2"/>
            <w:shd w:val="clear" w:color="auto" w:fill="D9D9D9" w:themeFill="background1" w:themeFillShade="D9"/>
          </w:tcPr>
          <w:p w14:paraId="1AE962FB" w14:textId="77777777" w:rsidR="00A91516" w:rsidRPr="00FC7306" w:rsidRDefault="00A91516" w:rsidP="00AC728A">
            <w:pPr>
              <w:spacing w:before="20"/>
              <w:rPr>
                <w:b/>
                <w:sz w:val="16"/>
                <w:lang w:val="es-ES"/>
              </w:rPr>
            </w:pPr>
            <w:r w:rsidRPr="00FC7306">
              <w:rPr>
                <w:b/>
                <w:sz w:val="16"/>
                <w:lang w:val="es-ES"/>
              </w:rPr>
              <w:t>Denominación:</w:t>
            </w:r>
          </w:p>
        </w:tc>
        <w:tc>
          <w:tcPr>
            <w:tcW w:w="6129" w:type="dxa"/>
            <w:shd w:val="clear" w:color="auto" w:fill="D9D9D9" w:themeFill="background1" w:themeFillShade="D9"/>
          </w:tcPr>
          <w:p w14:paraId="0686F441" w14:textId="77777777" w:rsidR="00A91516" w:rsidRPr="00FC7306" w:rsidRDefault="00B2789A" w:rsidP="00AC728A">
            <w:pPr>
              <w:contextualSpacing/>
              <w:rPr>
                <w:sz w:val="16"/>
                <w:szCs w:val="16"/>
                <w:lang w:eastAsia="en-US"/>
              </w:rPr>
            </w:pPr>
            <w:r w:rsidRPr="00B2789A">
              <w:rPr>
                <w:sz w:val="16"/>
                <w:szCs w:val="16"/>
                <w:lang w:val="es-ES" w:eastAsia="en-US"/>
              </w:rPr>
              <w:t>Coordinación del Sistema Nacional de Protección Civil</w:t>
            </w:r>
          </w:p>
        </w:tc>
      </w:tr>
      <w:tr w:rsidR="00A91516" w:rsidRPr="00FC7306" w14:paraId="0BF91D1E" w14:textId="77777777" w:rsidTr="00AC728A">
        <w:trPr>
          <w:jc w:val="center"/>
        </w:trPr>
        <w:tc>
          <w:tcPr>
            <w:tcW w:w="2778" w:type="dxa"/>
            <w:gridSpan w:val="3"/>
          </w:tcPr>
          <w:p w14:paraId="154D8293" w14:textId="77777777" w:rsidR="00A91516" w:rsidRPr="00FC7306" w:rsidRDefault="00A91516" w:rsidP="00AC728A">
            <w:pPr>
              <w:spacing w:before="20"/>
              <w:rPr>
                <w:b/>
                <w:sz w:val="16"/>
                <w:lang w:val="es-ES"/>
              </w:rPr>
            </w:pPr>
            <w:r>
              <w:rPr>
                <w:b/>
                <w:sz w:val="16"/>
                <w:lang w:val="es-ES"/>
              </w:rPr>
              <w:t>Unidad Administrativa:</w:t>
            </w:r>
          </w:p>
        </w:tc>
        <w:tc>
          <w:tcPr>
            <w:tcW w:w="7145" w:type="dxa"/>
            <w:gridSpan w:val="2"/>
          </w:tcPr>
          <w:p w14:paraId="5996F2DB" w14:textId="77777777" w:rsidR="00B2789A" w:rsidRDefault="00B2789A" w:rsidP="00AC728A">
            <w:pPr>
              <w:spacing w:before="20" w:after="0"/>
              <w:rPr>
                <w:rFonts w:eastAsia="Times New Roman"/>
                <w:sz w:val="16"/>
                <w:szCs w:val="16"/>
                <w:lang w:val="es-MX" w:eastAsia="en-US"/>
              </w:rPr>
            </w:pPr>
            <w:r w:rsidRPr="00B2789A">
              <w:rPr>
                <w:rFonts w:eastAsia="Times New Roman"/>
                <w:sz w:val="16"/>
                <w:szCs w:val="16"/>
                <w:lang w:val="es-MX" w:eastAsia="en-US"/>
              </w:rPr>
              <w:t>Coordinación Nacional de Protección Civil</w:t>
            </w:r>
          </w:p>
          <w:p w14:paraId="0EEFA7E9" w14:textId="77777777" w:rsidR="00B2789A" w:rsidRDefault="00B2789A" w:rsidP="00AC728A">
            <w:pPr>
              <w:spacing w:before="20" w:after="0"/>
              <w:rPr>
                <w:rFonts w:eastAsia="Times New Roman"/>
                <w:sz w:val="16"/>
                <w:szCs w:val="16"/>
                <w:lang w:val="es-MX" w:eastAsia="en-US"/>
              </w:rPr>
            </w:pPr>
            <w:r w:rsidRPr="00B2789A">
              <w:rPr>
                <w:rFonts w:eastAsia="Times New Roman"/>
                <w:sz w:val="16"/>
                <w:szCs w:val="16"/>
                <w:lang w:val="es-MX" w:eastAsia="en-US"/>
              </w:rPr>
              <w:t>Dirección General de Protección Civil</w:t>
            </w:r>
          </w:p>
          <w:p w14:paraId="1B093BC9" w14:textId="77777777" w:rsidR="00B2789A" w:rsidRDefault="00B2789A" w:rsidP="00AC728A">
            <w:pPr>
              <w:spacing w:before="20" w:after="0"/>
              <w:rPr>
                <w:rFonts w:eastAsia="Times New Roman"/>
                <w:sz w:val="16"/>
                <w:szCs w:val="16"/>
                <w:lang w:val="es-MX" w:eastAsia="en-US"/>
              </w:rPr>
            </w:pPr>
            <w:r w:rsidRPr="00B2789A">
              <w:rPr>
                <w:rFonts w:eastAsia="Times New Roman"/>
                <w:sz w:val="16"/>
                <w:szCs w:val="16"/>
                <w:lang w:val="es-MX" w:eastAsia="en-US"/>
              </w:rPr>
              <w:t>Dirección General para la Gestión de Riesgos</w:t>
            </w:r>
          </w:p>
          <w:p w14:paraId="4C4752F4" w14:textId="77777777" w:rsidR="00B2789A" w:rsidRDefault="00B2789A" w:rsidP="00B2789A">
            <w:pPr>
              <w:spacing w:before="20" w:after="0"/>
              <w:rPr>
                <w:rFonts w:eastAsia="Times New Roman"/>
                <w:sz w:val="16"/>
                <w:szCs w:val="16"/>
                <w:lang w:val="es-MX" w:eastAsia="en-US"/>
              </w:rPr>
            </w:pPr>
            <w:r w:rsidRPr="00B2789A">
              <w:rPr>
                <w:rFonts w:eastAsia="Times New Roman"/>
                <w:sz w:val="16"/>
                <w:szCs w:val="16"/>
                <w:lang w:val="es-MX" w:eastAsia="en-US"/>
              </w:rPr>
              <w:t>Dirección General de Vinculación, Innovación y Normatividad en Materia de Protección Civil</w:t>
            </w:r>
          </w:p>
          <w:p w14:paraId="674638AC" w14:textId="77777777" w:rsidR="00A91516" w:rsidRPr="00BD7CE9" w:rsidRDefault="00B2789A" w:rsidP="00B2789A">
            <w:pPr>
              <w:spacing w:before="20" w:after="0"/>
              <w:rPr>
                <w:sz w:val="16"/>
                <w:lang w:val="es-ES"/>
              </w:rPr>
            </w:pPr>
            <w:r w:rsidRPr="00B2789A">
              <w:rPr>
                <w:rFonts w:eastAsia="Times New Roman"/>
                <w:sz w:val="16"/>
                <w:szCs w:val="16"/>
                <w:lang w:val="es-MX" w:eastAsia="en-US"/>
              </w:rPr>
              <w:t>Centro Nacional de Prevención de Desastres</w:t>
            </w:r>
          </w:p>
        </w:tc>
      </w:tr>
      <w:tr w:rsidR="00A91516" w:rsidRPr="00FC7306" w14:paraId="07218C8E" w14:textId="77777777" w:rsidTr="00AC728A">
        <w:trPr>
          <w:jc w:val="center"/>
        </w:trPr>
        <w:tc>
          <w:tcPr>
            <w:tcW w:w="2778" w:type="dxa"/>
            <w:gridSpan w:val="3"/>
          </w:tcPr>
          <w:p w14:paraId="6EDEBA53" w14:textId="77777777" w:rsidR="00A91516" w:rsidRPr="00FC7306" w:rsidRDefault="00A91516" w:rsidP="00AC728A">
            <w:pPr>
              <w:spacing w:before="20"/>
              <w:rPr>
                <w:b/>
                <w:sz w:val="16"/>
                <w:lang w:val="es-ES"/>
              </w:rPr>
            </w:pPr>
            <w:r w:rsidRPr="00FC7306">
              <w:rPr>
                <w:b/>
                <w:sz w:val="16"/>
                <w:lang w:val="es-ES"/>
              </w:rPr>
              <w:t>Responsable</w:t>
            </w:r>
            <w:r>
              <w:rPr>
                <w:b/>
                <w:sz w:val="16"/>
                <w:lang w:val="es-ES"/>
              </w:rPr>
              <w:t>:</w:t>
            </w:r>
            <w:r w:rsidRPr="00FC7306">
              <w:rPr>
                <w:b/>
                <w:sz w:val="16"/>
                <w:lang w:val="es-ES"/>
              </w:rPr>
              <w:t xml:space="preserve"> </w:t>
            </w:r>
          </w:p>
        </w:tc>
        <w:tc>
          <w:tcPr>
            <w:tcW w:w="7145" w:type="dxa"/>
            <w:gridSpan w:val="2"/>
          </w:tcPr>
          <w:p w14:paraId="719EE55B" w14:textId="77777777" w:rsidR="00B2789A" w:rsidRPr="00B2789A" w:rsidRDefault="00B2789A" w:rsidP="00B2789A">
            <w:pPr>
              <w:spacing w:before="20" w:after="0"/>
              <w:rPr>
                <w:sz w:val="16"/>
                <w:lang w:val="es-ES"/>
              </w:rPr>
            </w:pPr>
            <w:r>
              <w:rPr>
                <w:sz w:val="16"/>
                <w:lang w:val="es-ES"/>
              </w:rPr>
              <w:t>Luis Felipe Puente Espinosa</w:t>
            </w:r>
          </w:p>
          <w:p w14:paraId="77D1C0C7" w14:textId="77777777" w:rsidR="00B2789A" w:rsidRPr="00B2789A" w:rsidRDefault="00B2789A" w:rsidP="00B2789A">
            <w:pPr>
              <w:spacing w:before="20" w:after="0"/>
              <w:rPr>
                <w:sz w:val="16"/>
                <w:lang w:val="es-ES"/>
              </w:rPr>
            </w:pPr>
            <w:r w:rsidRPr="00B2789A">
              <w:rPr>
                <w:sz w:val="16"/>
                <w:lang w:val="es-ES"/>
              </w:rPr>
              <w:t xml:space="preserve">Ricardo de la Cruz </w:t>
            </w:r>
            <w:proofErr w:type="spellStart"/>
            <w:r w:rsidRPr="00B2789A">
              <w:rPr>
                <w:sz w:val="16"/>
                <w:lang w:val="es-ES"/>
              </w:rPr>
              <w:t>Musalem</w:t>
            </w:r>
            <w:proofErr w:type="spellEnd"/>
          </w:p>
          <w:p w14:paraId="44DD81B6" w14:textId="77777777" w:rsidR="00B2789A" w:rsidRPr="00B2789A" w:rsidRDefault="00B2789A" w:rsidP="00B2789A">
            <w:pPr>
              <w:spacing w:before="20" w:after="0"/>
              <w:rPr>
                <w:sz w:val="16"/>
                <w:lang w:val="es-ES"/>
              </w:rPr>
            </w:pPr>
            <w:r w:rsidRPr="00B2789A">
              <w:rPr>
                <w:sz w:val="16"/>
                <w:lang w:val="es-ES"/>
              </w:rPr>
              <w:t>José María Tapia Franco</w:t>
            </w:r>
          </w:p>
          <w:p w14:paraId="00C600DB" w14:textId="77777777" w:rsidR="00B2789A" w:rsidRPr="00B2789A" w:rsidRDefault="00B2789A" w:rsidP="00B2789A">
            <w:pPr>
              <w:spacing w:before="20" w:after="0"/>
              <w:rPr>
                <w:sz w:val="16"/>
                <w:lang w:val="es-ES"/>
              </w:rPr>
            </w:pPr>
            <w:r w:rsidRPr="00B2789A">
              <w:rPr>
                <w:sz w:val="16"/>
                <w:lang w:val="es-ES"/>
              </w:rPr>
              <w:t>Rogelio Rafael Conde García</w:t>
            </w:r>
          </w:p>
          <w:p w14:paraId="471B8DF3" w14:textId="77777777" w:rsidR="00A91516" w:rsidRPr="00FC7306" w:rsidRDefault="00B2789A" w:rsidP="00B2789A">
            <w:pPr>
              <w:spacing w:before="20" w:after="0"/>
              <w:rPr>
                <w:sz w:val="16"/>
                <w:highlight w:val="yellow"/>
                <w:lang w:val="es-ES"/>
              </w:rPr>
            </w:pPr>
            <w:r>
              <w:rPr>
                <w:sz w:val="16"/>
                <w:lang w:val="es-ES"/>
              </w:rPr>
              <w:t>Carlos Miguel Valdés González</w:t>
            </w:r>
          </w:p>
        </w:tc>
      </w:tr>
      <w:tr w:rsidR="00A91516" w:rsidRPr="00FC7306" w14:paraId="3ACBF03A" w14:textId="77777777" w:rsidTr="00AC728A">
        <w:trPr>
          <w:jc w:val="center"/>
        </w:trPr>
        <w:tc>
          <w:tcPr>
            <w:tcW w:w="2778" w:type="dxa"/>
            <w:gridSpan w:val="3"/>
            <w:tcBorders>
              <w:bottom w:val="single" w:sz="4" w:space="0" w:color="auto"/>
            </w:tcBorders>
            <w:shd w:val="clear" w:color="auto" w:fill="D9D9D9" w:themeFill="background1" w:themeFillShade="D9"/>
          </w:tcPr>
          <w:p w14:paraId="2D19EA65" w14:textId="77777777" w:rsidR="00A91516" w:rsidRPr="00FC7306" w:rsidRDefault="00A91516" w:rsidP="00AC728A">
            <w:pPr>
              <w:spacing w:before="20"/>
              <w:rPr>
                <w:b/>
                <w:sz w:val="16"/>
                <w:lang w:val="es-ES"/>
              </w:rPr>
            </w:pPr>
            <w:r w:rsidRPr="00FC7306">
              <w:rPr>
                <w:b/>
                <w:sz w:val="16"/>
                <w:lang w:val="es-ES"/>
              </w:rPr>
              <w:t>Tipo de Evaluación</w:t>
            </w:r>
            <w:r>
              <w:rPr>
                <w:b/>
                <w:sz w:val="16"/>
                <w:lang w:val="es-ES"/>
              </w:rPr>
              <w:t>:</w:t>
            </w:r>
          </w:p>
        </w:tc>
        <w:tc>
          <w:tcPr>
            <w:tcW w:w="7145" w:type="dxa"/>
            <w:gridSpan w:val="2"/>
            <w:tcBorders>
              <w:bottom w:val="single" w:sz="4" w:space="0" w:color="auto"/>
            </w:tcBorders>
            <w:shd w:val="clear" w:color="auto" w:fill="D9D9D9" w:themeFill="background1" w:themeFillShade="D9"/>
          </w:tcPr>
          <w:p w14:paraId="5641F11E" w14:textId="77777777" w:rsidR="00A91516" w:rsidRPr="00FC7306" w:rsidRDefault="00A91516" w:rsidP="00AC728A">
            <w:pPr>
              <w:spacing w:before="20"/>
              <w:rPr>
                <w:sz w:val="16"/>
                <w:lang w:val="es-ES"/>
              </w:rPr>
            </w:pPr>
            <w:r>
              <w:rPr>
                <w:sz w:val="16"/>
                <w:lang w:val="es-ES"/>
              </w:rPr>
              <w:t>Procesos, PAE 2016</w:t>
            </w:r>
          </w:p>
        </w:tc>
      </w:tr>
    </w:tbl>
    <w:p w14:paraId="3CCBC33A" w14:textId="77777777" w:rsidR="00A91516" w:rsidRPr="00FC7306" w:rsidRDefault="00A91516" w:rsidP="00A91516">
      <w:pPr>
        <w:rPr>
          <w:lang w:eastAsia="en-US"/>
        </w:rPr>
      </w:pPr>
    </w:p>
    <w:p w14:paraId="700D5FF5" w14:textId="77777777" w:rsidR="00A91516" w:rsidRPr="000530E2" w:rsidRDefault="00A91516" w:rsidP="00A91516">
      <w:pPr>
        <w:pStyle w:val="Cdetextonegrita"/>
      </w:pPr>
      <w:r w:rsidRPr="000530E2">
        <w:t xml:space="preserve">Descripción del </w:t>
      </w:r>
      <w:proofErr w:type="spellStart"/>
      <w:r w:rsidRPr="000530E2">
        <w:t>Pp</w:t>
      </w:r>
      <w:proofErr w:type="spellEnd"/>
    </w:p>
    <w:p w14:paraId="4C273CAE" w14:textId="77777777" w:rsidR="00A91516" w:rsidRDefault="00B61241" w:rsidP="00A91516">
      <w:pPr>
        <w:pStyle w:val="Cdetexto"/>
      </w:pPr>
      <w:r>
        <w:t xml:space="preserve">El </w:t>
      </w:r>
      <w:proofErr w:type="spellStart"/>
      <w:r>
        <w:t>Pp</w:t>
      </w:r>
      <w:proofErr w:type="spellEnd"/>
      <w:r>
        <w:t xml:space="preserve"> </w:t>
      </w:r>
      <w:r w:rsidR="004849DA">
        <w:t xml:space="preserve">inició operaciones en </w:t>
      </w:r>
      <w:r w:rsidR="00A92B1F">
        <w:t xml:space="preserve">el ejercicio fiscal </w:t>
      </w:r>
      <w:r w:rsidR="004849DA">
        <w:t xml:space="preserve">2008. Sus </w:t>
      </w:r>
      <w:r w:rsidR="004849DA" w:rsidRPr="002E391D">
        <w:t>antecedentes se</w:t>
      </w:r>
      <w:r w:rsidR="002E391D" w:rsidRPr="002E391D">
        <w:t xml:space="preserve"> remontan a la creación de la</w:t>
      </w:r>
      <w:r w:rsidR="004849DA" w:rsidRPr="002E391D">
        <w:t xml:space="preserve"> </w:t>
      </w:r>
      <w:r w:rsidR="006463F4" w:rsidRPr="002E391D">
        <w:t>Comisión Nacional de Reconstrucción</w:t>
      </w:r>
      <w:r w:rsidR="002E391D" w:rsidRPr="002E391D">
        <w:t>,</w:t>
      </w:r>
      <w:r w:rsidR="006463F4" w:rsidRPr="002E391D">
        <w:t xml:space="preserve"> el 4 de octubre de 1985 en el marco del Sistema Nacional de Planeación Democrática. </w:t>
      </w:r>
      <w:r w:rsidR="002E391D" w:rsidRPr="002E391D">
        <w:t>Entre los o</w:t>
      </w:r>
      <w:r w:rsidR="006463F4" w:rsidRPr="002E391D">
        <w:t>bjetivo</w:t>
      </w:r>
      <w:r w:rsidR="002E391D" w:rsidRPr="002E391D">
        <w:t>s de esta Comisión se encontraba e</w:t>
      </w:r>
      <w:r w:rsidR="006463F4" w:rsidRPr="002E391D">
        <w:t xml:space="preserve">stablecer un Sistema Nacional de Protección Civil </w:t>
      </w:r>
      <w:r w:rsidR="002E391D" w:rsidRPr="002E391D">
        <w:t xml:space="preserve">(SINAPROC) </w:t>
      </w:r>
      <w:r w:rsidR="006463F4" w:rsidRPr="002E391D">
        <w:t xml:space="preserve">que permitiera elaborar preceptos legales, programas, estrategias, manuales, instrumentos, organización, operación y procesos para que se lograra brindar protección a la población civil tanto en fase preventiva como después de los desastres. </w:t>
      </w:r>
      <w:r w:rsidR="002E391D" w:rsidRPr="002E391D">
        <w:t xml:space="preserve">El SINAPROC se creó en </w:t>
      </w:r>
      <w:r w:rsidR="006463F4" w:rsidRPr="002E391D">
        <w:t xml:space="preserve">1986 </w:t>
      </w:r>
      <w:r w:rsidR="002E391D" w:rsidRPr="002E391D">
        <w:t xml:space="preserve">y en </w:t>
      </w:r>
      <w:r w:rsidR="006463F4" w:rsidRPr="002E391D">
        <w:t>1988 se instaló el Centro Nacional de Prevención de Desastres (CENAPRED) como una institución que estudiara los aspectos técnicos para la prevención de desastres.</w:t>
      </w:r>
      <w:r w:rsidRPr="002E391D">
        <w:t xml:space="preserve"> </w:t>
      </w:r>
      <w:r w:rsidR="002E391D" w:rsidRPr="002E391D">
        <w:t xml:space="preserve">Más tarde, en </w:t>
      </w:r>
      <w:r w:rsidRPr="002E391D">
        <w:t xml:space="preserve">1990 se creó </w:t>
      </w:r>
      <w:r w:rsidR="002E391D" w:rsidRPr="002E391D">
        <w:t xml:space="preserve">el Consejo Nacional de Protección Civil, </w:t>
      </w:r>
      <w:r w:rsidRPr="002E391D">
        <w:t>como órgano consultivo y de coordinación de la política, acciones y de participación social en materia de Protección Civil.</w:t>
      </w:r>
    </w:p>
    <w:p w14:paraId="184FB0A9" w14:textId="77777777" w:rsidR="00A91516" w:rsidRDefault="00814636" w:rsidP="00A91516">
      <w:pPr>
        <w:pStyle w:val="Cdetexto"/>
      </w:pPr>
      <w:r>
        <w:t xml:space="preserve">El </w:t>
      </w:r>
      <w:r w:rsidR="004849DA">
        <w:t xml:space="preserve">problema público que busca solucionar el </w:t>
      </w:r>
      <w:proofErr w:type="spellStart"/>
      <w:r>
        <w:t>Pp</w:t>
      </w:r>
      <w:proofErr w:type="spellEnd"/>
      <w:r w:rsidR="000F12FC">
        <w:t xml:space="preserve"> </w:t>
      </w:r>
      <w:r w:rsidR="004849DA">
        <w:t>es “</w:t>
      </w:r>
      <w:r w:rsidR="004849DA" w:rsidRPr="004849DA">
        <w:t>Contribuir a coordinar el Sistema Nacional de Protección Civil para salvaguardar a la población, sus bienes y entorno ante fenómenos perturbadores mediante la Coordinación Ejecutiva del Sistema Nacional de Protección Civil</w:t>
      </w:r>
      <w:r w:rsidR="004849DA">
        <w:t>”</w:t>
      </w:r>
      <w:r w:rsidR="00A91516">
        <w:t>.</w:t>
      </w:r>
    </w:p>
    <w:p w14:paraId="443907E1" w14:textId="77777777" w:rsidR="00A91516" w:rsidRDefault="00A91516" w:rsidP="00A91516">
      <w:pPr>
        <w:pStyle w:val="Cdetexto"/>
      </w:pPr>
      <w:r>
        <w:t>E</w:t>
      </w:r>
      <w:r w:rsidRPr="000B698A">
        <w:t xml:space="preserve">l fin del </w:t>
      </w:r>
      <w:proofErr w:type="spellStart"/>
      <w:r w:rsidRPr="000B698A">
        <w:t>Pp</w:t>
      </w:r>
      <w:proofErr w:type="spellEnd"/>
      <w:r w:rsidRPr="000B698A">
        <w:t xml:space="preserve"> está identificado como “</w:t>
      </w:r>
      <w:r w:rsidR="002E391D" w:rsidRPr="002E391D">
        <w:t>Contribuir a coordinar el Sistema Nacional de Protección Civil para salvaguardar a la población, sus bienes y entorno ante fenómenos perturbadores mediante la Coordinación Ejecutiva del Siste</w:t>
      </w:r>
      <w:r w:rsidR="002E391D">
        <w:t>ma Nacional de Protección Civil</w:t>
      </w:r>
      <w:r>
        <w:t>”.</w:t>
      </w:r>
    </w:p>
    <w:p w14:paraId="5AF01D53" w14:textId="77777777" w:rsidR="00A91516" w:rsidRDefault="00A91516" w:rsidP="00A91516">
      <w:pPr>
        <w:pStyle w:val="Cdetexto"/>
      </w:pPr>
      <w:r>
        <w:t>La MIR 201</w:t>
      </w:r>
      <w:r w:rsidR="00912DA2">
        <w:t>6</w:t>
      </w:r>
      <w:r>
        <w:t xml:space="preserve"> plantea como propósito “</w:t>
      </w:r>
      <w:r w:rsidR="002E391D" w:rsidRPr="002E391D">
        <w:t>La población que está expuesta a una emergencia o desastre conozca y reciba información preventiva de autocuidado y autoprotección</w:t>
      </w:r>
      <w:r>
        <w:t>”.</w:t>
      </w:r>
    </w:p>
    <w:p w14:paraId="48A1EA25" w14:textId="77777777" w:rsidR="00A91516" w:rsidRDefault="001557E0" w:rsidP="00A91516">
      <w:pPr>
        <w:pStyle w:val="Cdetexto"/>
      </w:pPr>
      <w:r>
        <w:t xml:space="preserve">El </w:t>
      </w:r>
      <w:proofErr w:type="spellStart"/>
      <w:r>
        <w:t>Pp</w:t>
      </w:r>
      <w:proofErr w:type="spellEnd"/>
      <w:r>
        <w:t xml:space="preserve"> no cuenta con una definición de </w:t>
      </w:r>
      <w:proofErr w:type="spellStart"/>
      <w:r w:rsidR="00A91516">
        <w:t>PPo</w:t>
      </w:r>
      <w:proofErr w:type="spellEnd"/>
      <w:r>
        <w:t>,</w:t>
      </w:r>
      <w:r w:rsidR="00A91516">
        <w:t xml:space="preserve"> PO </w:t>
      </w:r>
      <w:r>
        <w:t>y PA</w:t>
      </w:r>
      <w:r w:rsidR="00A91516">
        <w:t>.</w:t>
      </w:r>
    </w:p>
    <w:p w14:paraId="06A063FD" w14:textId="77777777" w:rsidR="001557E0" w:rsidRDefault="009D5B63" w:rsidP="00A91516">
      <w:pPr>
        <w:pStyle w:val="Cdetexto"/>
      </w:pPr>
      <w:r w:rsidRPr="009D5B63">
        <w:t xml:space="preserve">El </w:t>
      </w:r>
      <w:proofErr w:type="spellStart"/>
      <w:r w:rsidRPr="009D5B63">
        <w:t>Pp</w:t>
      </w:r>
      <w:proofErr w:type="spellEnd"/>
      <w:r w:rsidRPr="009D5B63">
        <w:t xml:space="preserve"> se encuentra </w:t>
      </w:r>
      <w:r w:rsidRPr="006415C2">
        <w:t>alineado a la Meta Nacional I. México en Paz del PND</w:t>
      </w:r>
      <w:r w:rsidR="004849DA" w:rsidRPr="006415C2">
        <w:t>, a través del Objetivo 1.6</w:t>
      </w:r>
      <w:r w:rsidR="00D00E0A">
        <w:t>.</w:t>
      </w:r>
      <w:r w:rsidR="004849DA" w:rsidRPr="006415C2">
        <w:t xml:space="preserve"> Salvaguardar a la población, a sus bienes y a su entorno ante un desastre de</w:t>
      </w:r>
      <w:r w:rsidR="004849DA" w:rsidRPr="004849DA">
        <w:t xml:space="preserve"> origen natural o humano</w:t>
      </w:r>
      <w:r w:rsidR="00883083">
        <w:t>; también está alineado</w:t>
      </w:r>
      <w:r w:rsidRPr="009D5B63">
        <w:t xml:space="preserve"> </w:t>
      </w:r>
      <w:r w:rsidR="00BE29D7">
        <w:t>al PSG</w:t>
      </w:r>
      <w:r>
        <w:t xml:space="preserve"> y</w:t>
      </w:r>
      <w:r w:rsidRPr="009D5B63">
        <w:t xml:space="preserve"> </w:t>
      </w:r>
      <w:r w:rsidR="00BE29D7">
        <w:t>al Programa Nacional de Protección Civil</w:t>
      </w:r>
      <w:r w:rsidRPr="009D5B63">
        <w:t xml:space="preserve"> 2014-2018</w:t>
      </w:r>
      <w:r w:rsidR="00E21046">
        <w:t xml:space="preserve"> (PNPC)</w:t>
      </w:r>
      <w:r w:rsidR="001557E0">
        <w:t>.</w:t>
      </w:r>
    </w:p>
    <w:p w14:paraId="52288C85" w14:textId="77777777" w:rsidR="00A91516" w:rsidRPr="00FC7306" w:rsidRDefault="00A91516" w:rsidP="00A91516">
      <w:pPr>
        <w:pStyle w:val="Cdetextonegrita"/>
      </w:pPr>
      <w:r w:rsidRPr="00FC7306">
        <w:t>Principales Hallazgos</w:t>
      </w:r>
    </w:p>
    <w:p w14:paraId="78A39936" w14:textId="77777777" w:rsidR="00F93BAC" w:rsidRDefault="006415C2" w:rsidP="00A91516">
      <w:pPr>
        <w:pStyle w:val="Cdetexto"/>
      </w:pPr>
      <w:r w:rsidRPr="003A33C4">
        <w:lastRenderedPageBreak/>
        <w:t>Se de</w:t>
      </w:r>
      <w:r>
        <w:t xml:space="preserve">tectaron </w:t>
      </w:r>
      <w:r w:rsidR="00883083">
        <w:t xml:space="preserve">los siguientes </w:t>
      </w:r>
      <w:r>
        <w:t xml:space="preserve">tres </w:t>
      </w:r>
      <w:proofErr w:type="spellStart"/>
      <w:r>
        <w:t>macroprocesos</w:t>
      </w:r>
      <w:proofErr w:type="spellEnd"/>
      <w:r w:rsidR="00883083">
        <w:t>:</w:t>
      </w:r>
      <w:r>
        <w:t xml:space="preserve"> </w:t>
      </w:r>
      <w:proofErr w:type="spellStart"/>
      <w:r>
        <w:t>Macroproceso</w:t>
      </w:r>
      <w:proofErr w:type="spellEnd"/>
      <w:r>
        <w:t xml:space="preserve"> de Prevención,</w:t>
      </w:r>
      <w:r w:rsidRPr="003A33C4">
        <w:t xml:space="preserve"> </w:t>
      </w:r>
      <w:proofErr w:type="spellStart"/>
      <w:r w:rsidRPr="003A33C4">
        <w:t>Macroproce</w:t>
      </w:r>
      <w:r>
        <w:t>so</w:t>
      </w:r>
      <w:proofErr w:type="spellEnd"/>
      <w:r>
        <w:t xml:space="preserve"> de Reacción y Atención y </w:t>
      </w:r>
      <w:proofErr w:type="spellStart"/>
      <w:r w:rsidRPr="003A33C4">
        <w:t>Macroproceso</w:t>
      </w:r>
      <w:proofErr w:type="spellEnd"/>
      <w:r w:rsidRPr="003A33C4">
        <w:t xml:space="preserve"> de Operación Científica y </w:t>
      </w:r>
      <w:proofErr w:type="spellStart"/>
      <w:r w:rsidRPr="003A33C4">
        <w:t>Técnica</w:t>
      </w:r>
      <w:r>
        <w:t>.</w:t>
      </w:r>
      <w:r w:rsidR="00A92B1F">
        <w:t>E</w:t>
      </w:r>
      <w:r w:rsidR="00E21046">
        <w:t>l</w:t>
      </w:r>
      <w:proofErr w:type="spellEnd"/>
      <w:r w:rsidR="00E21046">
        <w:t xml:space="preserve"> </w:t>
      </w:r>
      <w:proofErr w:type="spellStart"/>
      <w:r w:rsidR="00E21046">
        <w:t>Macroproceso</w:t>
      </w:r>
      <w:proofErr w:type="spellEnd"/>
      <w:r w:rsidR="003A33C4" w:rsidRPr="003A33C4">
        <w:t xml:space="preserve"> de Reacción y Atención es el más consolidado en materia legal y organizacional</w:t>
      </w:r>
      <w:r w:rsidR="00A92B1F">
        <w:t xml:space="preserve">, debido </w:t>
      </w:r>
      <w:r w:rsidR="003A33C4" w:rsidRPr="003A33C4">
        <w:t>al desarrollo que ha tenido institucionalmente el país para atender los desastres naturales derivado de la experiencia del Terremoto de la Ciudad de México en 1985</w:t>
      </w:r>
      <w:r w:rsidR="000F12FC">
        <w:t>.</w:t>
      </w:r>
    </w:p>
    <w:p w14:paraId="3739B716" w14:textId="77777777" w:rsidR="003A33C4" w:rsidRDefault="003A33C4" w:rsidP="00A91516">
      <w:pPr>
        <w:pStyle w:val="Cdetexto"/>
      </w:pPr>
      <w:r w:rsidRPr="003A33C4">
        <w:t>La política del Gobierno Federal, en lo que respecta a Protección Civil, se fundamenta en acciones orientadas a la prevención y a la G</w:t>
      </w:r>
      <w:r w:rsidR="00DB5851">
        <w:t xml:space="preserve">estión </w:t>
      </w:r>
      <w:r w:rsidRPr="003A33C4">
        <w:t>I</w:t>
      </w:r>
      <w:r w:rsidR="00DB5851">
        <w:t xml:space="preserve">ntegral de </w:t>
      </w:r>
      <w:r w:rsidRPr="003A33C4">
        <w:t>R</w:t>
      </w:r>
      <w:r w:rsidR="00DB5851">
        <w:t>iesgos</w:t>
      </w:r>
      <w:r w:rsidRPr="003A33C4">
        <w:t xml:space="preserve">; sin embargo, se detectó que los </w:t>
      </w:r>
      <w:proofErr w:type="spellStart"/>
      <w:r w:rsidRPr="003A33C4">
        <w:t>macroprocesos</w:t>
      </w:r>
      <w:proofErr w:type="spellEnd"/>
      <w:r w:rsidRPr="003A33C4">
        <w:t xml:space="preserve"> de Prevención y Operación Científica, nodales para cumplir con este efecto tendencial, deben tener una reingeniería específica para obtener el mismo nivel de consolidación que el </w:t>
      </w:r>
      <w:proofErr w:type="spellStart"/>
      <w:r w:rsidRPr="003A33C4">
        <w:t>Macroproceso</w:t>
      </w:r>
      <w:proofErr w:type="spellEnd"/>
      <w:r w:rsidRPr="003A33C4">
        <w:t xml:space="preserve"> de Reacción y Atención a nivel normativo como se dispone en el Manual de Organización del SINAPROC</w:t>
      </w:r>
      <w:r w:rsidR="00DB5851">
        <w:t>.</w:t>
      </w:r>
    </w:p>
    <w:p w14:paraId="3C31943E" w14:textId="77777777" w:rsidR="00E601CB" w:rsidRDefault="00E601CB" w:rsidP="00A91516">
      <w:pPr>
        <w:pStyle w:val="Cdetexto"/>
      </w:pPr>
      <w:r w:rsidRPr="00E601CB">
        <w:t xml:space="preserve">Los Manuales de Organización Específicos en el caso de la Dirección General de Protección Civil, la Dirección General para la Gestión de Riesgos y el Centro Nacional de Prevención de Desastres se encuentran desactualizados, razón por la cual los distintos </w:t>
      </w:r>
      <w:proofErr w:type="spellStart"/>
      <w:r w:rsidRPr="00E601CB">
        <w:t>macroprocesos</w:t>
      </w:r>
      <w:proofErr w:type="spellEnd"/>
      <w:r w:rsidRPr="00E601CB">
        <w:t>, procesos, subprocesos y actividades no se encuentran consolidados integralmente ni alineados a los objetivos, estrategias y líneas de acción de instrumentos de planeación nacional</w:t>
      </w:r>
      <w:r>
        <w:t>.</w:t>
      </w:r>
    </w:p>
    <w:p w14:paraId="5510F2C7" w14:textId="77777777" w:rsidR="00E601CB" w:rsidRDefault="00E601CB" w:rsidP="00A91516">
      <w:pPr>
        <w:pStyle w:val="Cdetexto"/>
      </w:pPr>
      <w:r w:rsidRPr="00E601CB">
        <w:t xml:space="preserve">En lo que corresponde a los Manuales de Organización, se identificó que la alineación de </w:t>
      </w:r>
      <w:r w:rsidR="00E21046">
        <w:t>e</w:t>
      </w:r>
      <w:r w:rsidRPr="00E601CB">
        <w:t xml:space="preserve">stos con los instrumentos de planeación nacional como el </w:t>
      </w:r>
      <w:r w:rsidR="00883083">
        <w:t>PND</w:t>
      </w:r>
      <w:r w:rsidRPr="00E601CB">
        <w:t xml:space="preserve">, el </w:t>
      </w:r>
      <w:r w:rsidR="00E21046">
        <w:t>PNPC</w:t>
      </w:r>
      <w:r w:rsidR="006F4A52">
        <w:t xml:space="preserve"> </w:t>
      </w:r>
      <w:r w:rsidRPr="00E601CB">
        <w:t xml:space="preserve">y el </w:t>
      </w:r>
      <w:r w:rsidR="00883083">
        <w:t>PSG no se encuentra actualizada</w:t>
      </w:r>
      <w:r w:rsidRPr="00E601CB">
        <w:t xml:space="preserve">, situación que afecta la capacidad estructural de los procesos que se desarrollan en la </w:t>
      </w:r>
      <w:r w:rsidR="00BE29D7">
        <w:t xml:space="preserve">UR </w:t>
      </w:r>
      <w:r w:rsidRPr="00E601CB">
        <w:t xml:space="preserve">del </w:t>
      </w:r>
      <w:r w:rsidR="00BE29D7">
        <w:t>Pp</w:t>
      </w:r>
      <w:r>
        <w:t>.</w:t>
      </w:r>
    </w:p>
    <w:p w14:paraId="063E977C" w14:textId="77777777" w:rsidR="00E601CB" w:rsidRDefault="00E601CB" w:rsidP="00E601CB">
      <w:pPr>
        <w:pStyle w:val="Cdetexto"/>
      </w:pPr>
      <w:r>
        <w:t>Se evide</w:t>
      </w:r>
      <w:r w:rsidR="00883083">
        <w:t>nció que procesos relacionados con</w:t>
      </w:r>
      <w:r>
        <w:t xml:space="preserve"> actividades de Planeación</w:t>
      </w:r>
      <w:r w:rsidRPr="00BE29D7">
        <w:t>, G</w:t>
      </w:r>
      <w:r w:rsidR="00BE29D7" w:rsidRPr="00BE29D7">
        <w:t xml:space="preserve">estión </w:t>
      </w:r>
      <w:r w:rsidRPr="00BE29D7">
        <w:t>I</w:t>
      </w:r>
      <w:r w:rsidR="00BE29D7" w:rsidRPr="00BE29D7">
        <w:t xml:space="preserve">ntegral de </w:t>
      </w:r>
      <w:r w:rsidRPr="00BE29D7">
        <w:t>R</w:t>
      </w:r>
      <w:r w:rsidR="00BE29D7" w:rsidRPr="00BE29D7">
        <w:t>iesgos</w:t>
      </w:r>
      <w:r>
        <w:t>, Vinculación y Fomento a la Cultura de la Protección Civil se desarrollan en las distintas direcciones de la Coordinación, situación que causa duplicidades de funciones afectando a elementos de simplificación administrativa y eficiencia.</w:t>
      </w:r>
    </w:p>
    <w:p w14:paraId="2A4625B2" w14:textId="77777777" w:rsidR="00E601CB" w:rsidRDefault="00E601CB" w:rsidP="00E601CB">
      <w:pPr>
        <w:pStyle w:val="Cdetexto"/>
      </w:pPr>
      <w:r>
        <w:t xml:space="preserve">Se observó que los procesos dentro de la Coordinación Nacional de Protección Civil no se encuentran digitalizados. Todo esto deriva de la inexistencia de un Manual de Procedimientos, de la desactualización de Manuales de Organización Específicos y </w:t>
      </w:r>
      <w:r w:rsidR="00A92B1F">
        <w:t xml:space="preserve">de </w:t>
      </w:r>
      <w:r>
        <w:t>las limitantes que presenta la Secretaria de Gobernación para mejorar la conectividad, la inclusión de habilidades digitales, la interoperabilidad y los datos abiertos en las acciones de gobierno a nivel nacional tal y como lo dictan los Planes de Acción de la Estrategia Digital Nacional.</w:t>
      </w:r>
    </w:p>
    <w:p w14:paraId="6020F999" w14:textId="77777777" w:rsidR="009D5B63" w:rsidRDefault="009D5B63" w:rsidP="00E601CB">
      <w:pPr>
        <w:pStyle w:val="Cdetexto"/>
      </w:pPr>
      <w:r w:rsidRPr="009D5B63">
        <w:t>Se pudo observar que la Coordinación Nacional de Protección Civil necesita implementar una estrategia de acopio de información relacionada a la percepción de la población en lo que corresponde a temas de Protección Civil como la prevención, la autoprotección y la percepción social sobre el riesgo.</w:t>
      </w:r>
    </w:p>
    <w:p w14:paraId="6C145DE9" w14:textId="77777777" w:rsidR="00A91516" w:rsidRDefault="008A1DB4" w:rsidP="00A91516">
      <w:pPr>
        <w:pStyle w:val="Cdetexto"/>
      </w:pPr>
      <w:r>
        <w:t>Finalmente, l</w:t>
      </w:r>
      <w:r w:rsidRPr="008A1DB4">
        <w:t>a homologación entre las disposiciones federales en materia de Protección Civil con las unidades estatales y municipales es limitada.</w:t>
      </w:r>
    </w:p>
    <w:p w14:paraId="6463B318" w14:textId="77777777" w:rsidR="00A91516" w:rsidRPr="00FC7306" w:rsidRDefault="00A91516" w:rsidP="00A91516">
      <w:pPr>
        <w:pStyle w:val="Cdetextonegrita"/>
      </w:pPr>
      <w:r w:rsidRPr="00FC7306">
        <w:t>Principales Recomendaciones</w:t>
      </w:r>
    </w:p>
    <w:p w14:paraId="5FDA9EDF" w14:textId="77777777" w:rsidR="00927938" w:rsidRDefault="003031D5" w:rsidP="003031D5">
      <w:pPr>
        <w:pStyle w:val="Bala"/>
        <w:numPr>
          <w:ilvl w:val="0"/>
          <w:numId w:val="19"/>
        </w:numPr>
      </w:pPr>
      <w:r w:rsidRPr="003031D5">
        <w:t>Optimizar los mecanismos de planeación para mejorar la homologación de normas en materia de Protección Civil en los tres órdenes de gobierno</w:t>
      </w:r>
      <w:r w:rsidR="00927938">
        <w:t>.</w:t>
      </w:r>
    </w:p>
    <w:p w14:paraId="610DB437" w14:textId="77777777" w:rsidR="00927938" w:rsidRDefault="003031D5" w:rsidP="003031D5">
      <w:pPr>
        <w:pStyle w:val="Bala"/>
        <w:numPr>
          <w:ilvl w:val="0"/>
          <w:numId w:val="19"/>
        </w:numPr>
      </w:pPr>
      <w:r w:rsidRPr="003031D5">
        <w:t xml:space="preserve">Mejorar la comunicación entre las </w:t>
      </w:r>
      <w:r w:rsidRPr="00631960">
        <w:t xml:space="preserve">diferentes áreas de la </w:t>
      </w:r>
      <w:r w:rsidR="00631960" w:rsidRPr="00631960">
        <w:t xml:space="preserve">Coordinación </w:t>
      </w:r>
      <w:r w:rsidRPr="00631960">
        <w:t>N</w:t>
      </w:r>
      <w:r w:rsidR="00631960" w:rsidRPr="00631960">
        <w:t xml:space="preserve">acional de Protección </w:t>
      </w:r>
      <w:r w:rsidRPr="00631960">
        <w:t>C</w:t>
      </w:r>
      <w:r w:rsidR="00631960" w:rsidRPr="00631960">
        <w:t>ivil</w:t>
      </w:r>
      <w:r w:rsidRPr="00631960">
        <w:t xml:space="preserve"> y</w:t>
      </w:r>
      <w:r w:rsidR="006F4A52">
        <w:t xml:space="preserve"> </w:t>
      </w:r>
      <w:r w:rsidRPr="00631960">
        <w:t>el CENAPRED para evitar duplicidad de</w:t>
      </w:r>
      <w:r w:rsidRPr="003031D5">
        <w:t xml:space="preserve"> procesos.</w:t>
      </w:r>
    </w:p>
    <w:p w14:paraId="65C78EB3" w14:textId="77777777" w:rsidR="00927938" w:rsidRDefault="005E184F" w:rsidP="005E184F">
      <w:pPr>
        <w:pStyle w:val="Bala"/>
        <w:numPr>
          <w:ilvl w:val="0"/>
          <w:numId w:val="19"/>
        </w:numPr>
      </w:pPr>
      <w:r>
        <w:t>Definir claramente a la PO de</w:t>
      </w:r>
      <w:r w:rsidRPr="005E184F">
        <w:t>l Pp</w:t>
      </w:r>
      <w:r w:rsidR="00927938">
        <w:t>.</w:t>
      </w:r>
    </w:p>
    <w:p w14:paraId="33BA585F" w14:textId="77777777" w:rsidR="00927938" w:rsidRDefault="005E184F" w:rsidP="005E184F">
      <w:pPr>
        <w:pStyle w:val="Bala"/>
        <w:numPr>
          <w:ilvl w:val="0"/>
          <w:numId w:val="19"/>
        </w:numPr>
      </w:pPr>
      <w:r w:rsidRPr="005E184F">
        <w:lastRenderedPageBreak/>
        <w:t>Diseñar e implementar un Manual de Procedimientos en el que se estructure un mapeo y catálogo de procesos, utilizando la lógica</w:t>
      </w:r>
      <w:r w:rsidR="00883083">
        <w:t xml:space="preserve"> siguiente:</w:t>
      </w:r>
      <w:r w:rsidRPr="005E184F">
        <w:t xml:space="preserve"> </w:t>
      </w:r>
      <w:proofErr w:type="spellStart"/>
      <w:r w:rsidRPr="005E184F">
        <w:t>Macroproceso</w:t>
      </w:r>
      <w:proofErr w:type="spellEnd"/>
      <w:r w:rsidRPr="005E184F">
        <w:t>, proceso (sustantivos y adjetivos), subproceso</w:t>
      </w:r>
      <w:r w:rsidR="00B721DC">
        <w:t xml:space="preserve"> y</w:t>
      </w:r>
      <w:r w:rsidRPr="005E184F">
        <w:t xml:space="preserve"> actividad.</w:t>
      </w:r>
    </w:p>
    <w:p w14:paraId="0EDD0B35" w14:textId="77777777" w:rsidR="00927938" w:rsidRDefault="005E184F" w:rsidP="005E184F">
      <w:pPr>
        <w:pStyle w:val="Bala"/>
        <w:numPr>
          <w:ilvl w:val="0"/>
          <w:numId w:val="19"/>
        </w:numPr>
      </w:pPr>
      <w:r w:rsidRPr="005E184F">
        <w:t xml:space="preserve">Elaborar un diagnóstico del </w:t>
      </w:r>
      <w:proofErr w:type="spellStart"/>
      <w:r w:rsidRPr="005E184F">
        <w:t>Pp</w:t>
      </w:r>
      <w:proofErr w:type="spellEnd"/>
      <w:r w:rsidRPr="005E184F">
        <w:t xml:space="preserve"> que permita visualizar contexto histórico, objetivos, estrategias y mecanismos de acción</w:t>
      </w:r>
      <w:r w:rsidR="00927938">
        <w:t>.</w:t>
      </w:r>
    </w:p>
    <w:p w14:paraId="5103A9CC" w14:textId="77777777" w:rsidR="00927938" w:rsidRDefault="005E184F" w:rsidP="005E184F">
      <w:pPr>
        <w:pStyle w:val="Bala"/>
        <w:numPr>
          <w:ilvl w:val="0"/>
          <w:numId w:val="19"/>
        </w:numPr>
      </w:pPr>
      <w:r w:rsidRPr="005E184F">
        <w:t xml:space="preserve">Homologar </w:t>
      </w:r>
      <w:r w:rsidR="00631960">
        <w:t xml:space="preserve">la </w:t>
      </w:r>
      <w:r>
        <w:t>normativa</w:t>
      </w:r>
      <w:r w:rsidRPr="005E184F">
        <w:t xml:space="preserve"> con las </w:t>
      </w:r>
      <w:r>
        <w:t>e</w:t>
      </w:r>
      <w:r w:rsidRPr="005E184F">
        <w:t xml:space="preserve">ntidades </w:t>
      </w:r>
      <w:r>
        <w:t>f</w:t>
      </w:r>
      <w:r w:rsidRPr="005E184F">
        <w:t xml:space="preserve">ederativas y </w:t>
      </w:r>
      <w:r>
        <w:t>m</w:t>
      </w:r>
      <w:r w:rsidRPr="005E184F">
        <w:t xml:space="preserve">unicipios para combatir las limitaciones estructurales </w:t>
      </w:r>
      <w:r>
        <w:t>y</w:t>
      </w:r>
      <w:r w:rsidRPr="005E184F">
        <w:t xml:space="preserve"> ofrecer los servicios a la población en situación de emergencia o aquella población o sectores que sean objetivo de actividades de prevención</w:t>
      </w:r>
      <w:r w:rsidR="007366E8">
        <w:t>.</w:t>
      </w:r>
    </w:p>
    <w:p w14:paraId="1495E422" w14:textId="77777777" w:rsidR="00A91516" w:rsidRPr="00FC7306" w:rsidRDefault="00A91516" w:rsidP="005E184F">
      <w:pPr>
        <w:pStyle w:val="Bala"/>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A91516" w:rsidRPr="00FC7306" w14:paraId="0FEDC206" w14:textId="77777777" w:rsidTr="00AC728A">
        <w:trPr>
          <w:trHeight w:val="675"/>
        </w:trPr>
        <w:tc>
          <w:tcPr>
            <w:tcW w:w="749" w:type="pct"/>
            <w:vAlign w:val="center"/>
          </w:tcPr>
          <w:p w14:paraId="555DAAD7" w14:textId="77777777" w:rsidR="00A91516" w:rsidRPr="00FC7306" w:rsidRDefault="00A91516" w:rsidP="00AC728A">
            <w:pPr>
              <w:spacing w:before="20" w:after="0"/>
              <w:ind w:left="170"/>
              <w:rPr>
                <w:b/>
                <w:sz w:val="16"/>
                <w:lang w:val="es-ES"/>
              </w:rPr>
            </w:pPr>
            <w:r w:rsidRPr="00FC7306">
              <w:rPr>
                <w:b/>
                <w:sz w:val="16"/>
                <w:lang w:val="es-ES"/>
              </w:rPr>
              <w:t>Evaluador Externo</w:t>
            </w:r>
            <w:r>
              <w:rPr>
                <w:b/>
                <w:sz w:val="16"/>
                <w:lang w:val="es-ES"/>
              </w:rPr>
              <w:t>:</w:t>
            </w:r>
          </w:p>
        </w:tc>
        <w:tc>
          <w:tcPr>
            <w:tcW w:w="4251" w:type="pct"/>
            <w:gridSpan w:val="3"/>
          </w:tcPr>
          <w:p w14:paraId="056FE6AE" w14:textId="77777777" w:rsidR="00A91516" w:rsidRDefault="00A91516" w:rsidP="00AC728A">
            <w:pPr>
              <w:spacing w:before="20" w:after="0"/>
              <w:ind w:left="113"/>
              <w:rPr>
                <w:sz w:val="16"/>
                <w:lang w:val="es-ES"/>
              </w:rPr>
            </w:pPr>
            <w:r w:rsidRPr="00FC7306">
              <w:rPr>
                <w:sz w:val="16"/>
                <w:lang w:val="es-ES"/>
              </w:rPr>
              <w:t>1. Instancia Evaluadora</w:t>
            </w:r>
            <w:r>
              <w:rPr>
                <w:sz w:val="16"/>
                <w:lang w:val="es-ES"/>
              </w:rPr>
              <w:t>:</w:t>
            </w:r>
            <w:r w:rsidRPr="00FC7306">
              <w:rPr>
                <w:sz w:val="16"/>
                <w:lang w:val="es-ES"/>
              </w:rPr>
              <w:t xml:space="preserve"> </w:t>
            </w:r>
            <w:r w:rsidR="00912DA2" w:rsidRPr="00912DA2">
              <w:rPr>
                <w:sz w:val="16"/>
                <w:lang w:val="es-ES"/>
              </w:rPr>
              <w:t xml:space="preserve">Instituto de Investigaciones Sociales </w:t>
            </w:r>
            <w:r w:rsidR="00912DA2">
              <w:rPr>
                <w:sz w:val="16"/>
                <w:lang w:val="es-ES"/>
              </w:rPr>
              <w:t>de la UNAM</w:t>
            </w:r>
          </w:p>
          <w:p w14:paraId="30F15C41" w14:textId="77777777" w:rsidR="00A91516" w:rsidRPr="00FC7306" w:rsidRDefault="00A91516" w:rsidP="00912DA2">
            <w:pPr>
              <w:spacing w:before="20" w:after="0"/>
              <w:ind w:left="113"/>
              <w:rPr>
                <w:sz w:val="16"/>
                <w:lang w:val="es-ES"/>
              </w:rPr>
            </w:pPr>
            <w:r w:rsidRPr="00FC7306">
              <w:rPr>
                <w:sz w:val="16"/>
                <w:lang w:val="es-ES"/>
              </w:rPr>
              <w:t xml:space="preserve">2. Coordinador de la Evaluación: </w:t>
            </w:r>
            <w:r w:rsidR="00912DA2" w:rsidRPr="00912DA2">
              <w:rPr>
                <w:sz w:val="16"/>
                <w:lang w:val="es-ES"/>
              </w:rPr>
              <w:t>Manuel Perló Cohen</w:t>
            </w:r>
          </w:p>
          <w:p w14:paraId="366D088C" w14:textId="77777777" w:rsidR="00A91516" w:rsidRPr="00FC7306" w:rsidRDefault="00A91516" w:rsidP="00912DA2">
            <w:pPr>
              <w:spacing w:before="20" w:after="0"/>
              <w:ind w:left="113"/>
              <w:rPr>
                <w:sz w:val="16"/>
                <w:lang w:val="es-ES"/>
              </w:rPr>
            </w:pPr>
            <w:r w:rsidRPr="00FC7306">
              <w:rPr>
                <w:sz w:val="16"/>
                <w:lang w:val="es-ES"/>
              </w:rPr>
              <w:t xml:space="preserve">3. Forma de contratación: </w:t>
            </w:r>
            <w:r w:rsidR="00912DA2">
              <w:rPr>
                <w:sz w:val="16"/>
                <w:lang w:val="es-ES"/>
              </w:rPr>
              <w:t>Adjudicación Directa</w:t>
            </w:r>
          </w:p>
        </w:tc>
      </w:tr>
      <w:tr w:rsidR="00993F6E" w:rsidRPr="00FC7306" w14:paraId="36F1017E" w14:textId="77777777" w:rsidTr="00993F6E">
        <w:trPr>
          <w:trHeight w:val="80"/>
        </w:trPr>
        <w:tc>
          <w:tcPr>
            <w:tcW w:w="749" w:type="pct"/>
            <w:vAlign w:val="center"/>
          </w:tcPr>
          <w:p w14:paraId="2F390785" w14:textId="77777777" w:rsidR="00993F6E" w:rsidRPr="00FC7306" w:rsidRDefault="00993F6E" w:rsidP="00AC728A">
            <w:pPr>
              <w:spacing w:before="20" w:after="0"/>
              <w:ind w:left="170"/>
              <w:rPr>
                <w:b/>
                <w:sz w:val="16"/>
                <w:lang w:val="es-ES"/>
              </w:rPr>
            </w:pPr>
          </w:p>
        </w:tc>
        <w:tc>
          <w:tcPr>
            <w:tcW w:w="4251" w:type="pct"/>
            <w:gridSpan w:val="3"/>
          </w:tcPr>
          <w:p w14:paraId="39E23AA8" w14:textId="77777777" w:rsidR="00993F6E" w:rsidRPr="00FC7306" w:rsidRDefault="00993F6E" w:rsidP="00AC728A">
            <w:pPr>
              <w:spacing w:before="20" w:after="0"/>
              <w:ind w:left="113"/>
              <w:rPr>
                <w:sz w:val="16"/>
                <w:lang w:val="es-ES"/>
              </w:rPr>
            </w:pPr>
          </w:p>
        </w:tc>
      </w:tr>
      <w:tr w:rsidR="00A91516" w:rsidRPr="00FC7306" w14:paraId="12C434A6" w14:textId="77777777" w:rsidTr="00AC728A">
        <w:tc>
          <w:tcPr>
            <w:tcW w:w="749" w:type="pct"/>
            <w:vAlign w:val="center"/>
          </w:tcPr>
          <w:p w14:paraId="56D31D08" w14:textId="77777777" w:rsidR="00A91516" w:rsidRPr="00FC7306" w:rsidRDefault="00A91516" w:rsidP="00AC728A">
            <w:pPr>
              <w:spacing w:before="20" w:after="0"/>
              <w:ind w:left="170"/>
              <w:rPr>
                <w:b/>
                <w:sz w:val="16"/>
                <w:lang w:val="es-ES"/>
              </w:rPr>
            </w:pPr>
            <w:r w:rsidRPr="00FC7306">
              <w:rPr>
                <w:b/>
                <w:sz w:val="16"/>
                <w:lang w:val="es-ES"/>
              </w:rPr>
              <w:t>Costo:</w:t>
            </w:r>
          </w:p>
        </w:tc>
        <w:tc>
          <w:tcPr>
            <w:tcW w:w="1113" w:type="pct"/>
            <w:vAlign w:val="center"/>
          </w:tcPr>
          <w:p w14:paraId="7C0DA913" w14:textId="77777777" w:rsidR="00A91516" w:rsidRPr="00FC7306" w:rsidRDefault="00A91516" w:rsidP="00687B66">
            <w:pPr>
              <w:spacing w:before="20" w:after="0"/>
              <w:ind w:left="113"/>
              <w:rPr>
                <w:sz w:val="16"/>
                <w:lang w:val="es-ES"/>
              </w:rPr>
            </w:pPr>
            <w:r w:rsidRPr="00FC7306">
              <w:rPr>
                <w:sz w:val="16"/>
                <w:lang w:val="es-ES"/>
              </w:rPr>
              <w:t>$</w:t>
            </w:r>
            <w:r w:rsidR="00B2789A">
              <w:rPr>
                <w:sz w:val="16"/>
                <w:lang w:val="es-ES"/>
              </w:rPr>
              <w:t>1</w:t>
            </w:r>
            <w:r w:rsidRPr="007816BF">
              <w:rPr>
                <w:sz w:val="16"/>
                <w:lang w:val="es-ES"/>
              </w:rPr>
              <w:t>,</w:t>
            </w:r>
            <w:r w:rsidR="00B2789A">
              <w:rPr>
                <w:sz w:val="16"/>
                <w:lang w:val="es-ES"/>
              </w:rPr>
              <w:t>5</w:t>
            </w:r>
            <w:r>
              <w:rPr>
                <w:sz w:val="16"/>
                <w:lang w:val="es-ES"/>
              </w:rPr>
              <w:t>00</w:t>
            </w:r>
            <w:r w:rsidRPr="007816BF">
              <w:rPr>
                <w:sz w:val="16"/>
                <w:lang w:val="es-ES"/>
              </w:rPr>
              <w:t>,</w:t>
            </w:r>
            <w:r>
              <w:rPr>
                <w:sz w:val="16"/>
                <w:lang w:val="es-ES"/>
              </w:rPr>
              <w:t>0</w:t>
            </w:r>
            <w:r w:rsidRPr="007816BF">
              <w:rPr>
                <w:sz w:val="16"/>
                <w:lang w:val="es-ES"/>
              </w:rPr>
              <w:t>00.00</w:t>
            </w:r>
            <w:r w:rsidRPr="00993F6E">
              <w:rPr>
                <w:sz w:val="16"/>
                <w:lang w:val="es-ES"/>
              </w:rPr>
              <w:t xml:space="preserve"> </w:t>
            </w:r>
            <w:r w:rsidR="00687B66">
              <w:rPr>
                <w:sz w:val="16"/>
                <w:lang w:val="es-ES"/>
              </w:rPr>
              <w:t>N</w:t>
            </w:r>
            <w:r w:rsidR="00993F6E" w:rsidRPr="00C8161B">
              <w:rPr>
                <w:sz w:val="16"/>
                <w:lang w:val="es-ES"/>
              </w:rPr>
              <w:t>o genera IVA</w:t>
            </w:r>
          </w:p>
        </w:tc>
        <w:tc>
          <w:tcPr>
            <w:tcW w:w="904" w:type="pct"/>
            <w:vAlign w:val="center"/>
          </w:tcPr>
          <w:p w14:paraId="331C30B2" w14:textId="77777777" w:rsidR="00A91516" w:rsidRPr="00FC7306" w:rsidRDefault="00A91516" w:rsidP="00AC728A">
            <w:pPr>
              <w:spacing w:before="20" w:after="0"/>
              <w:ind w:left="170"/>
              <w:rPr>
                <w:b/>
                <w:sz w:val="16"/>
                <w:lang w:val="es-ES"/>
              </w:rPr>
            </w:pPr>
            <w:r>
              <w:rPr>
                <w:b/>
                <w:sz w:val="16"/>
                <w:lang w:val="es-ES"/>
              </w:rPr>
              <w:t>Fuente de Financiamiento:</w:t>
            </w:r>
            <w:r w:rsidRPr="00FC7306">
              <w:rPr>
                <w:b/>
                <w:sz w:val="16"/>
                <w:lang w:val="es-ES"/>
              </w:rPr>
              <w:t xml:space="preserve"> </w:t>
            </w:r>
          </w:p>
        </w:tc>
        <w:tc>
          <w:tcPr>
            <w:tcW w:w="2234" w:type="pct"/>
            <w:vAlign w:val="center"/>
          </w:tcPr>
          <w:p w14:paraId="5B84DAA1" w14:textId="77777777" w:rsidR="00A91516" w:rsidRPr="00FC7306" w:rsidRDefault="00A91516" w:rsidP="00AC728A">
            <w:pPr>
              <w:spacing w:before="20" w:after="0"/>
              <w:rPr>
                <w:sz w:val="16"/>
                <w:lang w:val="es-ES"/>
              </w:rPr>
            </w:pPr>
            <w:r w:rsidRPr="008A45C7">
              <w:rPr>
                <w:sz w:val="16"/>
                <w:lang w:val="es-ES"/>
              </w:rPr>
              <w:t xml:space="preserve">Recursos </w:t>
            </w:r>
            <w:r>
              <w:rPr>
                <w:sz w:val="16"/>
                <w:lang w:val="es-ES"/>
              </w:rPr>
              <w:t>Fiscales</w:t>
            </w:r>
          </w:p>
        </w:tc>
      </w:tr>
      <w:tr w:rsidR="00A91516" w:rsidRPr="00FC7306" w14:paraId="28E9577C" w14:textId="77777777" w:rsidTr="00AC728A">
        <w:tc>
          <w:tcPr>
            <w:tcW w:w="749" w:type="pct"/>
            <w:tcBorders>
              <w:bottom w:val="single" w:sz="4" w:space="0" w:color="auto"/>
            </w:tcBorders>
            <w:vAlign w:val="bottom"/>
          </w:tcPr>
          <w:p w14:paraId="0C2475D6" w14:textId="77777777" w:rsidR="00A91516" w:rsidRPr="00FC7306" w:rsidRDefault="00A91516" w:rsidP="00AC728A">
            <w:pPr>
              <w:pStyle w:val="Textocuadroneg1"/>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14:paraId="6DC948B0" w14:textId="77777777" w:rsidR="00A91516" w:rsidRPr="00FC7306" w:rsidRDefault="00A91516" w:rsidP="00AC728A">
            <w:pPr>
              <w:pStyle w:val="Cdetexto"/>
              <w:spacing w:after="0"/>
              <w:jc w:val="center"/>
              <w:rPr>
                <w:sz w:val="14"/>
                <w:szCs w:val="14"/>
              </w:rPr>
            </w:pPr>
            <w:r w:rsidRPr="007816BF">
              <w:rPr>
                <w:sz w:val="16"/>
                <w:szCs w:val="14"/>
              </w:rPr>
              <w:t>SHCP</w:t>
            </w:r>
          </w:p>
        </w:tc>
        <w:tc>
          <w:tcPr>
            <w:tcW w:w="904" w:type="pct"/>
            <w:tcBorders>
              <w:bottom w:val="single" w:sz="4" w:space="0" w:color="auto"/>
            </w:tcBorders>
            <w:vAlign w:val="center"/>
          </w:tcPr>
          <w:p w14:paraId="5DF67FBF" w14:textId="77777777" w:rsidR="00A91516" w:rsidRPr="00FC7306" w:rsidRDefault="00A91516" w:rsidP="00AC728A">
            <w:pPr>
              <w:pStyle w:val="Textocuadroneg1"/>
              <w:rPr>
                <w:sz w:val="16"/>
                <w:szCs w:val="16"/>
              </w:rPr>
            </w:pPr>
            <w:r w:rsidRPr="00FC7306">
              <w:rPr>
                <w:sz w:val="16"/>
                <w:szCs w:val="16"/>
              </w:rPr>
              <w:t>Informe completo</w:t>
            </w:r>
            <w:r>
              <w:rPr>
                <w:sz w:val="16"/>
                <w:szCs w:val="16"/>
              </w:rPr>
              <w:t>:</w:t>
            </w:r>
          </w:p>
        </w:tc>
        <w:tc>
          <w:tcPr>
            <w:tcW w:w="2234" w:type="pct"/>
            <w:tcBorders>
              <w:bottom w:val="single" w:sz="4" w:space="0" w:color="auto"/>
            </w:tcBorders>
            <w:vAlign w:val="center"/>
          </w:tcPr>
          <w:p w14:paraId="548FAD4F" w14:textId="77777777" w:rsidR="00A91516" w:rsidRPr="00FC7306" w:rsidRDefault="00A91516" w:rsidP="00AC728A">
            <w:pPr>
              <w:pStyle w:val="Textocuadro1"/>
              <w:rPr>
                <w:sz w:val="16"/>
                <w:szCs w:val="16"/>
              </w:rPr>
            </w:pPr>
            <w:r w:rsidRPr="00FC7306">
              <w:rPr>
                <w:sz w:val="16"/>
                <w:szCs w:val="16"/>
              </w:rPr>
              <w:t>Disponible en:</w:t>
            </w:r>
          </w:p>
          <w:p w14:paraId="26F89142" w14:textId="77777777" w:rsidR="00A91516" w:rsidRPr="00FC7306" w:rsidRDefault="00A91516" w:rsidP="00AC728A">
            <w:pPr>
              <w:pStyle w:val="Textocuadro1"/>
              <w:rPr>
                <w:sz w:val="16"/>
                <w:szCs w:val="16"/>
              </w:rPr>
            </w:pPr>
            <w:r w:rsidRPr="00FC7306">
              <w:rPr>
                <w:sz w:val="16"/>
                <w:szCs w:val="16"/>
              </w:rPr>
              <w:t>http://www.transparenciapresupuestaria.gob.mx/</w:t>
            </w:r>
          </w:p>
        </w:tc>
      </w:tr>
    </w:tbl>
    <w:p w14:paraId="1ACE06F7" w14:textId="77777777" w:rsidR="00A91516" w:rsidRDefault="00A91516" w:rsidP="001B210A">
      <w:pPr>
        <w:pStyle w:val="Cdetexto"/>
      </w:pPr>
    </w:p>
    <w:tbl>
      <w:tblPr>
        <w:tblStyle w:val="Tablaconcuadrcula32"/>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DA7487" w:rsidRPr="00FC7306" w14:paraId="0189C55F" w14:textId="77777777" w:rsidTr="00AA7139">
        <w:trPr>
          <w:trHeight w:val="358"/>
          <w:jc w:val="center"/>
        </w:trPr>
        <w:tc>
          <w:tcPr>
            <w:tcW w:w="9923" w:type="dxa"/>
            <w:gridSpan w:val="5"/>
            <w:shd w:val="clear" w:color="auto" w:fill="D6E3BC" w:themeFill="accent3" w:themeFillTint="66"/>
            <w:vAlign w:val="center"/>
          </w:tcPr>
          <w:p w14:paraId="6CEE002E" w14:textId="77777777" w:rsidR="00DA7487" w:rsidRPr="000203DE" w:rsidRDefault="00DA7487" w:rsidP="00AA7139">
            <w:pPr>
              <w:pStyle w:val="CABEZA"/>
              <w:ind w:left="0"/>
              <w:rPr>
                <w:lang w:val="es-MX"/>
              </w:rPr>
            </w:pPr>
            <w:r w:rsidRPr="00282C72">
              <w:rPr>
                <w:lang w:val="es-MX"/>
              </w:rPr>
              <w:br w:type="page"/>
            </w:r>
            <w:r w:rsidRPr="00274DF7">
              <w:rPr>
                <w:lang w:val="es-MX"/>
              </w:rPr>
              <w:t>Ramo 04 – Gobernación</w:t>
            </w:r>
          </w:p>
        </w:tc>
      </w:tr>
      <w:tr w:rsidR="00DA7487" w:rsidRPr="00FC7306" w14:paraId="2B7C4EEB" w14:textId="77777777" w:rsidTr="00AA7139">
        <w:trPr>
          <w:jc w:val="center"/>
        </w:trPr>
        <w:tc>
          <w:tcPr>
            <w:tcW w:w="1359" w:type="dxa"/>
            <w:shd w:val="clear" w:color="auto" w:fill="D9D9D9" w:themeFill="background1" w:themeFillShade="D9"/>
          </w:tcPr>
          <w:p w14:paraId="1D658D47" w14:textId="77777777" w:rsidR="00DA7487" w:rsidRPr="00FC7306" w:rsidRDefault="00DA7487" w:rsidP="00AA7139">
            <w:pPr>
              <w:spacing w:before="20"/>
              <w:rPr>
                <w:b/>
                <w:sz w:val="16"/>
                <w:lang w:val="es-ES"/>
              </w:rPr>
            </w:pPr>
            <w:r w:rsidRPr="00FC7306">
              <w:rPr>
                <w:b/>
                <w:sz w:val="16"/>
                <w:lang w:val="es-ES"/>
              </w:rPr>
              <w:t xml:space="preserve">Clave del </w:t>
            </w:r>
            <w:proofErr w:type="spellStart"/>
            <w:r w:rsidRPr="00FC7306">
              <w:rPr>
                <w:b/>
                <w:sz w:val="16"/>
                <w:lang w:val="es-ES"/>
              </w:rPr>
              <w:t>Pp</w:t>
            </w:r>
            <w:proofErr w:type="spellEnd"/>
            <w:r w:rsidRPr="00FC7306">
              <w:rPr>
                <w:b/>
                <w:sz w:val="16"/>
                <w:lang w:val="es-ES"/>
              </w:rPr>
              <w:t>:</w:t>
            </w:r>
          </w:p>
        </w:tc>
        <w:tc>
          <w:tcPr>
            <w:tcW w:w="734" w:type="dxa"/>
            <w:shd w:val="clear" w:color="auto" w:fill="D9D9D9" w:themeFill="background1" w:themeFillShade="D9"/>
          </w:tcPr>
          <w:p w14:paraId="5BE9A65F" w14:textId="77777777" w:rsidR="00DA7487" w:rsidRPr="00FC7306" w:rsidRDefault="00DA7487" w:rsidP="00AA7139">
            <w:pPr>
              <w:contextualSpacing/>
              <w:rPr>
                <w:sz w:val="16"/>
                <w:szCs w:val="16"/>
                <w:lang w:val="es-ES" w:eastAsia="en-US"/>
              </w:rPr>
            </w:pPr>
            <w:r>
              <w:rPr>
                <w:sz w:val="16"/>
                <w:szCs w:val="16"/>
                <w:lang w:val="es-ES" w:eastAsia="en-US"/>
              </w:rPr>
              <w:t>P001</w:t>
            </w:r>
          </w:p>
        </w:tc>
        <w:tc>
          <w:tcPr>
            <w:tcW w:w="1701" w:type="dxa"/>
            <w:gridSpan w:val="2"/>
            <w:shd w:val="clear" w:color="auto" w:fill="D9D9D9" w:themeFill="background1" w:themeFillShade="D9"/>
          </w:tcPr>
          <w:p w14:paraId="2DA07E17" w14:textId="77777777" w:rsidR="00DA7487" w:rsidRPr="00FC7306" w:rsidRDefault="00DA7487" w:rsidP="00AA7139">
            <w:pPr>
              <w:spacing w:before="20"/>
              <w:rPr>
                <w:b/>
                <w:sz w:val="16"/>
                <w:lang w:val="es-ES"/>
              </w:rPr>
            </w:pPr>
            <w:r w:rsidRPr="00FC7306">
              <w:rPr>
                <w:b/>
                <w:sz w:val="16"/>
                <w:lang w:val="es-ES"/>
              </w:rPr>
              <w:t>Denominación:</w:t>
            </w:r>
          </w:p>
        </w:tc>
        <w:tc>
          <w:tcPr>
            <w:tcW w:w="6129" w:type="dxa"/>
            <w:shd w:val="clear" w:color="auto" w:fill="D9D9D9" w:themeFill="background1" w:themeFillShade="D9"/>
          </w:tcPr>
          <w:p w14:paraId="011205FC" w14:textId="77777777" w:rsidR="00DA7487" w:rsidRPr="00FC7306" w:rsidRDefault="00DA7487" w:rsidP="00AA7139">
            <w:pPr>
              <w:contextualSpacing/>
              <w:rPr>
                <w:sz w:val="16"/>
                <w:szCs w:val="16"/>
                <w:lang w:eastAsia="en-US"/>
              </w:rPr>
            </w:pPr>
            <w:r w:rsidRPr="00DA7487">
              <w:rPr>
                <w:sz w:val="16"/>
                <w:szCs w:val="16"/>
                <w:lang w:val="es-ES" w:eastAsia="en-US"/>
              </w:rPr>
              <w:t>Conducción de la política interior</w:t>
            </w:r>
          </w:p>
        </w:tc>
      </w:tr>
      <w:tr w:rsidR="00DA7487" w:rsidRPr="00FC7306" w14:paraId="5B6C40F7" w14:textId="77777777" w:rsidTr="00AA7139">
        <w:trPr>
          <w:jc w:val="center"/>
        </w:trPr>
        <w:tc>
          <w:tcPr>
            <w:tcW w:w="2778" w:type="dxa"/>
            <w:gridSpan w:val="3"/>
          </w:tcPr>
          <w:p w14:paraId="5AEC53F4" w14:textId="77777777" w:rsidR="00DA7487" w:rsidRPr="00FC7306" w:rsidRDefault="00DA7487" w:rsidP="00AA7139">
            <w:pPr>
              <w:spacing w:before="20"/>
              <w:rPr>
                <w:b/>
                <w:sz w:val="16"/>
                <w:lang w:val="es-ES"/>
              </w:rPr>
            </w:pPr>
            <w:r>
              <w:rPr>
                <w:b/>
                <w:sz w:val="16"/>
                <w:lang w:val="es-ES"/>
              </w:rPr>
              <w:t>Unidad Administrativa:</w:t>
            </w:r>
          </w:p>
        </w:tc>
        <w:tc>
          <w:tcPr>
            <w:tcW w:w="7145" w:type="dxa"/>
            <w:gridSpan w:val="2"/>
          </w:tcPr>
          <w:p w14:paraId="375DA107" w14:textId="77777777" w:rsidR="00274DF7" w:rsidRPr="00274DF7" w:rsidRDefault="00274DF7" w:rsidP="00274DF7">
            <w:pPr>
              <w:spacing w:before="20" w:after="0"/>
              <w:rPr>
                <w:sz w:val="16"/>
                <w:lang w:val="es-ES"/>
              </w:rPr>
            </w:pPr>
            <w:r w:rsidRPr="00274DF7">
              <w:rPr>
                <w:sz w:val="16"/>
                <w:lang w:val="es-ES"/>
              </w:rPr>
              <w:t>Secretaría</w:t>
            </w:r>
          </w:p>
          <w:p w14:paraId="1DF7628F" w14:textId="77777777" w:rsidR="00274DF7" w:rsidRPr="00274DF7" w:rsidRDefault="00274DF7" w:rsidP="00274DF7">
            <w:pPr>
              <w:spacing w:before="20" w:after="0"/>
              <w:rPr>
                <w:sz w:val="16"/>
                <w:lang w:val="es-ES"/>
              </w:rPr>
            </w:pPr>
            <w:r w:rsidRPr="00274DF7">
              <w:rPr>
                <w:sz w:val="16"/>
                <w:lang w:val="es-ES"/>
              </w:rPr>
              <w:t>Comisión para el Diálogo con los Pueblos Indígenas de México</w:t>
            </w:r>
          </w:p>
          <w:p w14:paraId="368CD9B2" w14:textId="77777777" w:rsidR="00274DF7" w:rsidRPr="00274DF7" w:rsidRDefault="00274DF7" w:rsidP="00274DF7">
            <w:pPr>
              <w:spacing w:before="20" w:after="0"/>
              <w:rPr>
                <w:sz w:val="16"/>
                <w:lang w:val="es-ES"/>
              </w:rPr>
            </w:pPr>
            <w:r w:rsidRPr="00274DF7">
              <w:rPr>
                <w:sz w:val="16"/>
                <w:lang w:val="es-ES"/>
              </w:rPr>
              <w:t>Subsecretaría de Gobierno</w:t>
            </w:r>
          </w:p>
          <w:p w14:paraId="54886205" w14:textId="77777777" w:rsidR="00274DF7" w:rsidRPr="00274DF7" w:rsidRDefault="00274DF7" w:rsidP="00274DF7">
            <w:pPr>
              <w:spacing w:before="20" w:after="0"/>
              <w:rPr>
                <w:sz w:val="16"/>
                <w:lang w:val="es-ES"/>
              </w:rPr>
            </w:pPr>
            <w:r w:rsidRPr="00274DF7">
              <w:rPr>
                <w:sz w:val="16"/>
                <w:lang w:val="es-ES"/>
              </w:rPr>
              <w:t>Unidad de Gobierno</w:t>
            </w:r>
          </w:p>
          <w:p w14:paraId="0F254A49" w14:textId="77777777" w:rsidR="00274DF7" w:rsidRPr="00274DF7" w:rsidRDefault="00274DF7" w:rsidP="00274DF7">
            <w:pPr>
              <w:spacing w:before="20" w:after="0"/>
              <w:rPr>
                <w:sz w:val="16"/>
                <w:lang w:val="es-ES"/>
              </w:rPr>
            </w:pPr>
            <w:r w:rsidRPr="00274DF7">
              <w:rPr>
                <w:sz w:val="16"/>
                <w:lang w:val="es-ES"/>
              </w:rPr>
              <w:t>Unidad para la Atención de las Organizaciones Sociales</w:t>
            </w:r>
          </w:p>
          <w:p w14:paraId="249F9EA6" w14:textId="77777777" w:rsidR="00274DF7" w:rsidRPr="00274DF7" w:rsidRDefault="00274DF7" w:rsidP="00274DF7">
            <w:pPr>
              <w:spacing w:before="20" w:after="0"/>
              <w:rPr>
                <w:sz w:val="16"/>
                <w:lang w:val="es-ES"/>
              </w:rPr>
            </w:pPr>
            <w:r w:rsidRPr="00274DF7">
              <w:rPr>
                <w:sz w:val="16"/>
                <w:lang w:val="es-ES"/>
              </w:rPr>
              <w:t>Unidad de Enlace Federal y Coordinación con Entidades Federativas</w:t>
            </w:r>
          </w:p>
          <w:p w14:paraId="1A960EC3" w14:textId="77777777" w:rsidR="00274DF7" w:rsidRPr="00274DF7" w:rsidRDefault="00274DF7" w:rsidP="00274DF7">
            <w:pPr>
              <w:spacing w:before="20" w:after="0"/>
              <w:rPr>
                <w:sz w:val="16"/>
                <w:lang w:val="es-ES"/>
              </w:rPr>
            </w:pPr>
            <w:r w:rsidRPr="00274DF7">
              <w:rPr>
                <w:sz w:val="16"/>
                <w:lang w:val="es-ES"/>
              </w:rPr>
              <w:t>Dirección General de Juegos y Sorteos</w:t>
            </w:r>
          </w:p>
          <w:p w14:paraId="09C11B1F" w14:textId="77777777" w:rsidR="00274DF7" w:rsidRPr="00274DF7" w:rsidRDefault="00274DF7" w:rsidP="00274DF7">
            <w:pPr>
              <w:spacing w:before="20" w:after="0"/>
              <w:rPr>
                <w:sz w:val="16"/>
                <w:lang w:val="es-ES"/>
              </w:rPr>
            </w:pPr>
            <w:r w:rsidRPr="00274DF7">
              <w:rPr>
                <w:sz w:val="16"/>
                <w:lang w:val="es-ES"/>
              </w:rPr>
              <w:t>Unidad de Política Interior y Análisis de Información</w:t>
            </w:r>
          </w:p>
          <w:p w14:paraId="503A244A" w14:textId="77777777" w:rsidR="00274DF7" w:rsidRPr="00274DF7" w:rsidRDefault="00274DF7" w:rsidP="00274DF7">
            <w:pPr>
              <w:spacing w:before="20" w:after="0"/>
              <w:rPr>
                <w:sz w:val="16"/>
                <w:lang w:val="es-ES"/>
              </w:rPr>
            </w:pPr>
            <w:r w:rsidRPr="00274DF7">
              <w:rPr>
                <w:sz w:val="16"/>
                <w:lang w:val="es-ES"/>
              </w:rPr>
              <w:t>Dirección General de Análisis y Prospectiva para la Política Interior</w:t>
            </w:r>
          </w:p>
          <w:p w14:paraId="618F1547" w14:textId="77777777" w:rsidR="00274DF7" w:rsidRPr="00274DF7" w:rsidRDefault="00274DF7" w:rsidP="00274DF7">
            <w:pPr>
              <w:spacing w:before="20" w:after="0"/>
              <w:rPr>
                <w:sz w:val="16"/>
                <w:lang w:val="es-ES"/>
              </w:rPr>
            </w:pPr>
            <w:r w:rsidRPr="00274DF7">
              <w:rPr>
                <w:sz w:val="16"/>
                <w:lang w:val="es-ES"/>
              </w:rPr>
              <w:t>Unidad de Desarrollo Político y Fomento Cívico</w:t>
            </w:r>
          </w:p>
          <w:p w14:paraId="4930424C" w14:textId="77777777" w:rsidR="00DA7487" w:rsidRPr="00BD7CE9" w:rsidRDefault="00274DF7" w:rsidP="00274DF7">
            <w:pPr>
              <w:spacing w:before="20" w:after="0"/>
              <w:rPr>
                <w:sz w:val="16"/>
                <w:lang w:val="es-ES"/>
              </w:rPr>
            </w:pPr>
            <w:r w:rsidRPr="00274DF7">
              <w:rPr>
                <w:sz w:val="16"/>
                <w:lang w:val="es-ES"/>
              </w:rPr>
              <w:t>Instituto Nacional para el Federalismo y el Desarrollo Municipal</w:t>
            </w:r>
          </w:p>
        </w:tc>
      </w:tr>
      <w:tr w:rsidR="00DA7487" w:rsidRPr="00FC7306" w14:paraId="6540F298" w14:textId="77777777" w:rsidTr="00AA7139">
        <w:trPr>
          <w:jc w:val="center"/>
        </w:trPr>
        <w:tc>
          <w:tcPr>
            <w:tcW w:w="2778" w:type="dxa"/>
            <w:gridSpan w:val="3"/>
          </w:tcPr>
          <w:p w14:paraId="63051806" w14:textId="77777777" w:rsidR="00DA7487" w:rsidRPr="00FC7306" w:rsidRDefault="00DA7487" w:rsidP="00AA7139">
            <w:pPr>
              <w:spacing w:before="20"/>
              <w:rPr>
                <w:b/>
                <w:sz w:val="16"/>
                <w:lang w:val="es-ES"/>
              </w:rPr>
            </w:pPr>
            <w:r w:rsidRPr="00FC7306">
              <w:rPr>
                <w:b/>
                <w:sz w:val="16"/>
                <w:lang w:val="es-ES"/>
              </w:rPr>
              <w:t>Responsable</w:t>
            </w:r>
            <w:r w:rsidR="00274DF7" w:rsidRPr="001B12A5">
              <w:rPr>
                <w:rStyle w:val="Refdenotaalpie"/>
                <w:b/>
                <w:sz w:val="16"/>
                <w:lang w:val="es-ES"/>
              </w:rPr>
              <w:footnoteReference w:id="11"/>
            </w:r>
            <w:r w:rsidR="001B12A5" w:rsidRPr="001B12A5">
              <w:rPr>
                <w:b/>
                <w:sz w:val="16"/>
                <w:szCs w:val="16"/>
                <w:vertAlign w:val="superscript"/>
              </w:rPr>
              <w:t>_/</w:t>
            </w:r>
            <w:r w:rsidRPr="001B12A5">
              <w:rPr>
                <w:b/>
                <w:sz w:val="16"/>
                <w:lang w:val="es-ES"/>
              </w:rPr>
              <w:t>:</w:t>
            </w:r>
          </w:p>
        </w:tc>
        <w:tc>
          <w:tcPr>
            <w:tcW w:w="7145" w:type="dxa"/>
            <w:gridSpan w:val="2"/>
          </w:tcPr>
          <w:p w14:paraId="55778548" w14:textId="77777777" w:rsidR="00DA7487" w:rsidRPr="00FC7306" w:rsidRDefault="00274DF7" w:rsidP="00AA7139">
            <w:pPr>
              <w:spacing w:before="20" w:after="0"/>
              <w:rPr>
                <w:sz w:val="16"/>
                <w:highlight w:val="yellow"/>
                <w:lang w:val="es-ES"/>
              </w:rPr>
            </w:pPr>
            <w:r w:rsidRPr="00274DF7">
              <w:rPr>
                <w:sz w:val="16"/>
                <w:lang w:val="es-ES"/>
              </w:rPr>
              <w:t>René Juárez Cisneros</w:t>
            </w:r>
          </w:p>
        </w:tc>
      </w:tr>
      <w:tr w:rsidR="00DA7487" w:rsidRPr="00FC7306" w14:paraId="087C3619" w14:textId="77777777" w:rsidTr="00AA7139">
        <w:trPr>
          <w:jc w:val="center"/>
        </w:trPr>
        <w:tc>
          <w:tcPr>
            <w:tcW w:w="2778" w:type="dxa"/>
            <w:gridSpan w:val="3"/>
            <w:tcBorders>
              <w:bottom w:val="single" w:sz="4" w:space="0" w:color="auto"/>
            </w:tcBorders>
            <w:shd w:val="clear" w:color="auto" w:fill="D9D9D9" w:themeFill="background1" w:themeFillShade="D9"/>
          </w:tcPr>
          <w:p w14:paraId="07A7B073" w14:textId="77777777" w:rsidR="00DA7487" w:rsidRPr="00FC7306" w:rsidRDefault="00DA7487" w:rsidP="00AA7139">
            <w:pPr>
              <w:spacing w:before="20"/>
              <w:rPr>
                <w:b/>
                <w:sz w:val="16"/>
                <w:lang w:val="es-ES"/>
              </w:rPr>
            </w:pPr>
            <w:r w:rsidRPr="00FC7306">
              <w:rPr>
                <w:b/>
                <w:sz w:val="16"/>
                <w:lang w:val="es-ES"/>
              </w:rPr>
              <w:t>Tipo de Evaluación</w:t>
            </w:r>
            <w:r>
              <w:rPr>
                <w:b/>
                <w:sz w:val="16"/>
                <w:lang w:val="es-ES"/>
              </w:rPr>
              <w:t>:</w:t>
            </w:r>
          </w:p>
        </w:tc>
        <w:tc>
          <w:tcPr>
            <w:tcW w:w="7145" w:type="dxa"/>
            <w:gridSpan w:val="2"/>
            <w:tcBorders>
              <w:bottom w:val="single" w:sz="4" w:space="0" w:color="auto"/>
            </w:tcBorders>
            <w:shd w:val="clear" w:color="auto" w:fill="D9D9D9" w:themeFill="background1" w:themeFillShade="D9"/>
          </w:tcPr>
          <w:p w14:paraId="4728EF96" w14:textId="77777777" w:rsidR="00DA7487" w:rsidRPr="00FC7306" w:rsidRDefault="00DA7487" w:rsidP="00AA7139">
            <w:pPr>
              <w:spacing w:before="20"/>
              <w:rPr>
                <w:sz w:val="16"/>
                <w:lang w:val="es-ES"/>
              </w:rPr>
            </w:pPr>
            <w:r>
              <w:rPr>
                <w:sz w:val="16"/>
                <w:lang w:val="es-ES"/>
              </w:rPr>
              <w:t>Procesos, PAE 201</w:t>
            </w:r>
            <w:r w:rsidR="00274DF7">
              <w:rPr>
                <w:sz w:val="16"/>
                <w:lang w:val="es-ES"/>
              </w:rPr>
              <w:t>6</w:t>
            </w:r>
          </w:p>
        </w:tc>
      </w:tr>
    </w:tbl>
    <w:p w14:paraId="20340013" w14:textId="77777777" w:rsidR="00DA7487" w:rsidRDefault="00DA7487" w:rsidP="001B210A">
      <w:pPr>
        <w:pStyle w:val="Cdetexto"/>
      </w:pPr>
    </w:p>
    <w:p w14:paraId="05F3AC14" w14:textId="77777777" w:rsidR="00DA7487" w:rsidRPr="000530E2" w:rsidRDefault="00DA7487" w:rsidP="00DA7487">
      <w:pPr>
        <w:pStyle w:val="Cdetextonegrita"/>
      </w:pPr>
      <w:r w:rsidRPr="000530E2">
        <w:t xml:space="preserve">Descripción del </w:t>
      </w:r>
      <w:proofErr w:type="spellStart"/>
      <w:r w:rsidRPr="000530E2">
        <w:t>Pp</w:t>
      </w:r>
      <w:proofErr w:type="spellEnd"/>
    </w:p>
    <w:p w14:paraId="701D2034" w14:textId="77777777" w:rsidR="00795A09" w:rsidRDefault="00DA7487" w:rsidP="00795A09">
      <w:pPr>
        <w:pStyle w:val="Cdetexto"/>
      </w:pPr>
      <w:r>
        <w:t xml:space="preserve">El </w:t>
      </w:r>
      <w:proofErr w:type="spellStart"/>
      <w:r>
        <w:t>Pp</w:t>
      </w:r>
      <w:proofErr w:type="spellEnd"/>
      <w:r>
        <w:t xml:space="preserve"> inició operaciones en </w:t>
      </w:r>
      <w:r w:rsidR="00A92B1F">
        <w:t xml:space="preserve">el ejercicio fiscal </w:t>
      </w:r>
      <w:r>
        <w:t>200</w:t>
      </w:r>
      <w:r w:rsidR="00AA7139">
        <w:t>3</w:t>
      </w:r>
      <w:r>
        <w:t>.</w:t>
      </w:r>
      <w:r w:rsidR="00795A09">
        <w:t xml:space="preserve"> Se identificó como </w:t>
      </w:r>
      <w:r w:rsidR="00A92B1F">
        <w:t xml:space="preserve">su </w:t>
      </w:r>
      <w:r w:rsidR="00795A09">
        <w:t>objetivo general “</w:t>
      </w:r>
      <w:r w:rsidR="00795A09" w:rsidRPr="00795A09">
        <w:t>Mantener la estabilidad y gobernabilidad democrática del país a través de la promoción del diálogo y negociación dirigido a construir acuerdos entre los ciudadanos, actores políticos y sociales para encontrar soluciones a los conflictos por los cauces institucionales, así como, lograr los concesos que conduzcan a la aprobación de las iniciativas legislativas que impulse el desarrollo económ</w:t>
      </w:r>
      <w:r w:rsidR="00795A09">
        <w:t>ico, social y político del país”.</w:t>
      </w:r>
    </w:p>
    <w:p w14:paraId="286959C9" w14:textId="77777777" w:rsidR="00795A09" w:rsidRDefault="00795A09" w:rsidP="00795A09">
      <w:pPr>
        <w:pStyle w:val="Cdetexto"/>
      </w:pPr>
      <w:r>
        <w:t xml:space="preserve">No se tiene </w:t>
      </w:r>
      <w:r w:rsidR="00A92B1F">
        <w:t xml:space="preserve">formalmente </w:t>
      </w:r>
      <w:r>
        <w:t>definido el problema público que busca solucionar el Pp.</w:t>
      </w:r>
    </w:p>
    <w:p w14:paraId="6CA64743" w14:textId="77777777" w:rsidR="00795A09" w:rsidRDefault="00795A09" w:rsidP="00795A09">
      <w:pPr>
        <w:pStyle w:val="Cdetexto"/>
      </w:pPr>
      <w:r>
        <w:lastRenderedPageBreak/>
        <w:t>E</w:t>
      </w:r>
      <w:r w:rsidRPr="000B698A">
        <w:t xml:space="preserve">l fin del </w:t>
      </w:r>
      <w:proofErr w:type="spellStart"/>
      <w:r w:rsidRPr="000B698A">
        <w:t>Pp</w:t>
      </w:r>
      <w:proofErr w:type="spellEnd"/>
      <w:r w:rsidRPr="000B698A">
        <w:t xml:space="preserve"> está identificado como “</w:t>
      </w:r>
      <w:r w:rsidRPr="00795A09">
        <w:t>Contribuir a promover y fortalecer la gobernabilidad democrática mediante el impulso al desarrollo político del país y la relación, el acuerdo y el diálogo entre los tres órdenes de gobierno, los actores políticos y soc</w:t>
      </w:r>
      <w:r w:rsidR="004A3318">
        <w:t>i</w:t>
      </w:r>
      <w:r w:rsidRPr="00795A09">
        <w:t>ales, así como los ciudadanos y sus organizaciones; fomentando la participación ciudadana libre y activa e incluyente</w:t>
      </w:r>
      <w:r>
        <w:t>”.</w:t>
      </w:r>
    </w:p>
    <w:p w14:paraId="4208CDF9" w14:textId="77777777" w:rsidR="00795A09" w:rsidRDefault="00795A09" w:rsidP="00795A09">
      <w:pPr>
        <w:pStyle w:val="Cdetexto"/>
      </w:pPr>
      <w:r>
        <w:t>La MIR 2016 plantea como propósito “</w:t>
      </w:r>
      <w:r w:rsidRPr="00795A09">
        <w:t>Atender las problemáticas y conflictos sociales en los estados y municipios de todo el país, manteniendo una estrecha coordinación con las delegaciones, representaciones y coordinaciones estatales de la Subsecretaría de Gobierno, prevenir su escalamiento y fortalecer la gobernabilidad democrática</w:t>
      </w:r>
      <w:r>
        <w:t>”.</w:t>
      </w:r>
    </w:p>
    <w:p w14:paraId="66D2B461" w14:textId="77777777" w:rsidR="00795A09" w:rsidRDefault="00795A09" w:rsidP="00795A09">
      <w:pPr>
        <w:pStyle w:val="Cdetexto"/>
      </w:pPr>
      <w:r>
        <w:t xml:space="preserve">El </w:t>
      </w:r>
      <w:proofErr w:type="spellStart"/>
      <w:r>
        <w:t>Pp</w:t>
      </w:r>
      <w:proofErr w:type="spellEnd"/>
      <w:r>
        <w:t xml:space="preserve"> no cuenta con una definición de </w:t>
      </w:r>
      <w:proofErr w:type="spellStart"/>
      <w:r>
        <w:t>PPo</w:t>
      </w:r>
      <w:proofErr w:type="spellEnd"/>
      <w:r>
        <w:t>, PO y PA.</w:t>
      </w:r>
    </w:p>
    <w:p w14:paraId="3C5ECECC" w14:textId="77777777" w:rsidR="00DA7487" w:rsidRDefault="00795A09" w:rsidP="00D00E0A">
      <w:pPr>
        <w:pStyle w:val="Cdetexto"/>
      </w:pPr>
      <w:r w:rsidRPr="009D5B63">
        <w:t xml:space="preserve">El </w:t>
      </w:r>
      <w:proofErr w:type="spellStart"/>
      <w:r w:rsidRPr="009D5B63">
        <w:t>Pp</w:t>
      </w:r>
      <w:proofErr w:type="spellEnd"/>
      <w:r w:rsidRPr="009D5B63">
        <w:t xml:space="preserve"> se encuentra </w:t>
      </w:r>
      <w:r w:rsidRPr="006415C2">
        <w:t>alineado a la Meta Nacional I. México en Paz del PND</w:t>
      </w:r>
      <w:r w:rsidR="00D00E0A">
        <w:t>, a través del Objetivo 1.1.</w:t>
      </w:r>
      <w:r w:rsidRPr="006415C2">
        <w:t xml:space="preserve"> </w:t>
      </w:r>
      <w:r w:rsidR="00D00E0A">
        <w:t>Promover y fortalecer la gobernabilidad democrática</w:t>
      </w:r>
      <w:r w:rsidR="00DA7487">
        <w:t>.</w:t>
      </w:r>
    </w:p>
    <w:p w14:paraId="1C302E9F" w14:textId="77777777" w:rsidR="00DA7487" w:rsidRPr="00FC7306" w:rsidRDefault="00DA7487" w:rsidP="00DA7487">
      <w:pPr>
        <w:pStyle w:val="Cdetextonegrita"/>
      </w:pPr>
      <w:r w:rsidRPr="00FC7306">
        <w:t>Principales Hallazgos</w:t>
      </w:r>
    </w:p>
    <w:p w14:paraId="7F793A50" w14:textId="77777777" w:rsidR="00D00E0A" w:rsidRDefault="00D00E0A" w:rsidP="00DA7487">
      <w:pPr>
        <w:pStyle w:val="Cdetexto"/>
      </w:pPr>
      <w:r w:rsidRPr="00D00E0A">
        <w:t xml:space="preserve">Se identificaron 32 procesos </w:t>
      </w:r>
      <w:r w:rsidR="00A92B1F">
        <w:t xml:space="preserve">asociados al </w:t>
      </w:r>
      <w:r w:rsidR="0027424B">
        <w:t>Pp.</w:t>
      </w:r>
    </w:p>
    <w:p w14:paraId="68BF03E0" w14:textId="77777777" w:rsidR="00DA7487" w:rsidRDefault="00D00E0A" w:rsidP="00DA7487">
      <w:pPr>
        <w:pStyle w:val="Cdetexto"/>
      </w:pPr>
      <w:r w:rsidRPr="00D00E0A">
        <w:t xml:space="preserve">Es patente la falta de un grupo o área encargada de encabezar el proceso de planeación que integre, mediante un análisis exhaustivo, los procesos, el Plan Operativo Anual, Programas de Trabajo y </w:t>
      </w:r>
      <w:r>
        <w:t>la MIR del Pp.</w:t>
      </w:r>
    </w:p>
    <w:p w14:paraId="0304891D" w14:textId="77777777" w:rsidR="00D00E0A" w:rsidRDefault="00C034F9" w:rsidP="00DA7487">
      <w:pPr>
        <w:pStyle w:val="Cdetexto"/>
      </w:pPr>
      <w:r>
        <w:t>L</w:t>
      </w:r>
      <w:r w:rsidR="00D00E0A" w:rsidRPr="00D00E0A">
        <w:t>a falta de la coordinación en materia de planeación y su consecuente heterogeneidad, complica la posibilidad de la estandarización de procesos y su automatización</w:t>
      </w:r>
      <w:r w:rsidR="00D00E0A">
        <w:t>.</w:t>
      </w:r>
      <w:r w:rsidRPr="00C034F9">
        <w:t xml:space="preserve"> </w:t>
      </w:r>
      <w:r>
        <w:t>El u</w:t>
      </w:r>
      <w:r w:rsidRPr="00D00E0A">
        <w:t xml:space="preserve">so de tecnologías de la información </w:t>
      </w:r>
      <w:r>
        <w:t xml:space="preserve">y comunicación (TIC) para la gestión del </w:t>
      </w:r>
      <w:proofErr w:type="spellStart"/>
      <w:r>
        <w:t>Pp</w:t>
      </w:r>
      <w:proofErr w:type="spellEnd"/>
      <w:r>
        <w:t xml:space="preserve"> es </w:t>
      </w:r>
      <w:r w:rsidRPr="00D00E0A">
        <w:t>insuficiente.</w:t>
      </w:r>
    </w:p>
    <w:p w14:paraId="600CBDC1" w14:textId="77777777" w:rsidR="00DA7487" w:rsidRDefault="00133758" w:rsidP="00DA7487">
      <w:pPr>
        <w:pStyle w:val="Cdetexto"/>
      </w:pPr>
      <w:r>
        <w:t>La com</w:t>
      </w:r>
      <w:r w:rsidR="00D00E0A" w:rsidRPr="00D00E0A">
        <w:t xml:space="preserve">unicación </w:t>
      </w:r>
      <w:r>
        <w:t xml:space="preserve">entre las UR del </w:t>
      </w:r>
      <w:proofErr w:type="spellStart"/>
      <w:r>
        <w:t>Pp</w:t>
      </w:r>
      <w:proofErr w:type="spellEnd"/>
      <w:r>
        <w:t xml:space="preserve"> es </w:t>
      </w:r>
      <w:r w:rsidR="00D00E0A" w:rsidRPr="00D00E0A">
        <w:t xml:space="preserve">deficiente. </w:t>
      </w:r>
      <w:r w:rsidR="00C034F9">
        <w:t>No se cuenta con</w:t>
      </w:r>
      <w:r w:rsidR="00D00E0A" w:rsidRPr="00D00E0A">
        <w:t xml:space="preserve"> un </w:t>
      </w:r>
      <w:r w:rsidR="00C034F9">
        <w:t>único</w:t>
      </w:r>
      <w:r w:rsidR="00D00E0A" w:rsidRPr="00D00E0A">
        <w:t xml:space="preserve"> canal de comunicación </w:t>
      </w:r>
      <w:r w:rsidR="00C034F9">
        <w:t xml:space="preserve">para </w:t>
      </w:r>
      <w:r w:rsidR="00D00E0A" w:rsidRPr="00D00E0A">
        <w:t xml:space="preserve">la socialización de la planeación tanto vertical como horizontal y que permee a todos los niveles; </w:t>
      </w:r>
      <w:r w:rsidR="00C034F9">
        <w:t xml:space="preserve">de esta manera, </w:t>
      </w:r>
      <w:r w:rsidR="00D00E0A" w:rsidRPr="00D00E0A">
        <w:t xml:space="preserve">las acciones dispersas no contribuyen a la consolidación de la operación del </w:t>
      </w:r>
      <w:proofErr w:type="spellStart"/>
      <w:r w:rsidR="00D00E0A" w:rsidRPr="00D00E0A">
        <w:t>Pp</w:t>
      </w:r>
      <w:proofErr w:type="spellEnd"/>
      <w:r w:rsidR="00D00E0A" w:rsidRPr="00D00E0A">
        <w:t xml:space="preserve"> bajo </w:t>
      </w:r>
      <w:r>
        <w:t>un P</w:t>
      </w:r>
      <w:r w:rsidR="00D00E0A" w:rsidRPr="00D00E0A">
        <w:t xml:space="preserve">resupuesto basado en </w:t>
      </w:r>
      <w:r>
        <w:t>R</w:t>
      </w:r>
      <w:r w:rsidR="00D00E0A" w:rsidRPr="00D00E0A">
        <w:t>esultados</w:t>
      </w:r>
      <w:r w:rsidR="00D00E0A">
        <w:t>.</w:t>
      </w:r>
    </w:p>
    <w:p w14:paraId="63D87300" w14:textId="77777777" w:rsidR="00D00E0A" w:rsidRDefault="00133758" w:rsidP="00DA7487">
      <w:pPr>
        <w:pStyle w:val="Cdetexto"/>
      </w:pPr>
      <w:r>
        <w:t>S</w:t>
      </w:r>
      <w:r w:rsidR="00D00E0A" w:rsidRPr="00D00E0A">
        <w:t>e identifica</w:t>
      </w:r>
      <w:r>
        <w:t>ro</w:t>
      </w:r>
      <w:r w:rsidR="00D00E0A" w:rsidRPr="00D00E0A">
        <w:t xml:space="preserve">n </w:t>
      </w:r>
      <w:r>
        <w:t>documentos</w:t>
      </w:r>
      <w:r w:rsidR="00D00E0A" w:rsidRPr="00D00E0A">
        <w:t xml:space="preserve"> separados en lo que debiera ser el diagnóstico del </w:t>
      </w:r>
      <w:proofErr w:type="spellStart"/>
      <w:r>
        <w:t>Pp</w:t>
      </w:r>
      <w:proofErr w:type="spellEnd"/>
      <w:r w:rsidR="00FC23BB">
        <w:t>,</w:t>
      </w:r>
      <w:r w:rsidR="00D00E0A" w:rsidRPr="00D00E0A">
        <w:t xml:space="preserve"> </w:t>
      </w:r>
      <w:r w:rsidR="00FC23BB">
        <w:t xml:space="preserve">así como inconsistencias entre el diseño del </w:t>
      </w:r>
      <w:proofErr w:type="spellStart"/>
      <w:r w:rsidR="00FC23BB">
        <w:t>Pp</w:t>
      </w:r>
      <w:proofErr w:type="spellEnd"/>
      <w:r w:rsidR="00FC23BB">
        <w:t xml:space="preserve"> (señalado en estos documentos de diagnóstico) y lo establecido en </w:t>
      </w:r>
      <w:r w:rsidR="00FC23BB" w:rsidRPr="00AD5249">
        <w:t>la</w:t>
      </w:r>
      <w:r w:rsidR="00D00E0A" w:rsidRPr="00AD5249">
        <w:t xml:space="preserve"> </w:t>
      </w:r>
      <w:r w:rsidR="007773BD">
        <w:t>MML</w:t>
      </w:r>
      <w:r w:rsidR="00FC23BB" w:rsidRPr="00AD5249">
        <w:t>.</w:t>
      </w:r>
    </w:p>
    <w:p w14:paraId="01C0A856" w14:textId="77777777" w:rsidR="00D00E0A" w:rsidRDefault="00D00E0A" w:rsidP="00DA7487">
      <w:pPr>
        <w:pStyle w:val="Cdetexto"/>
      </w:pPr>
      <w:r w:rsidRPr="00D00E0A">
        <w:t xml:space="preserve">El </w:t>
      </w:r>
      <w:proofErr w:type="spellStart"/>
      <w:r w:rsidRPr="00D00E0A">
        <w:t>Pp</w:t>
      </w:r>
      <w:proofErr w:type="spellEnd"/>
      <w:r w:rsidRPr="00D00E0A">
        <w:t xml:space="preserve"> tiene como característica principal incluir una serie de actividades disímbolas entre sí que no encuentran vinculación para coadyuvar en el logro de un objetivo, o en este caso, del propósito del </w:t>
      </w:r>
      <w:r w:rsidR="00FC23BB">
        <w:t>Pp</w:t>
      </w:r>
      <w:r w:rsidR="00C034F9">
        <w:t>.</w:t>
      </w:r>
    </w:p>
    <w:p w14:paraId="57069CD8" w14:textId="77777777" w:rsidR="00D00E0A" w:rsidRDefault="00AD5249" w:rsidP="00DA7487">
      <w:pPr>
        <w:pStyle w:val="Cdetexto"/>
      </w:pPr>
      <w:r>
        <w:t xml:space="preserve">El </w:t>
      </w:r>
      <w:proofErr w:type="spellStart"/>
      <w:r>
        <w:t>Pp</w:t>
      </w:r>
      <w:proofErr w:type="spellEnd"/>
      <w:r>
        <w:t xml:space="preserve"> no cuenta con</w:t>
      </w:r>
      <w:r w:rsidR="00D00E0A" w:rsidRPr="00D00E0A">
        <w:t xml:space="preserve"> herramientas para medir la satisfacción de </w:t>
      </w:r>
      <w:r w:rsidR="00C034F9">
        <w:t>la PO</w:t>
      </w:r>
      <w:r>
        <w:t xml:space="preserve">. Las actividades del </w:t>
      </w:r>
      <w:proofErr w:type="spellStart"/>
      <w:r>
        <w:t>Pp</w:t>
      </w:r>
      <w:proofErr w:type="spellEnd"/>
      <w:r>
        <w:t xml:space="preserve"> que generan bienes y servicios</w:t>
      </w:r>
      <w:r w:rsidR="00D00E0A" w:rsidRPr="00D00E0A">
        <w:t xml:space="preserve"> son susceptibles de implementar mecanismos para medir la satisfacción</w:t>
      </w:r>
      <w:r w:rsidR="00D00E0A">
        <w:t>.</w:t>
      </w:r>
    </w:p>
    <w:p w14:paraId="33BBEDC1" w14:textId="77777777" w:rsidR="00DA7487" w:rsidRPr="00FC7306" w:rsidRDefault="00DA7487" w:rsidP="00DA7487">
      <w:pPr>
        <w:pStyle w:val="Cdetextonegrita"/>
      </w:pPr>
      <w:r w:rsidRPr="00FC7306">
        <w:t>Principales Recomendaciones</w:t>
      </w:r>
    </w:p>
    <w:p w14:paraId="4B9CC314" w14:textId="77777777" w:rsidR="0027424B" w:rsidRDefault="0027424B" w:rsidP="0027424B">
      <w:pPr>
        <w:pStyle w:val="Bala"/>
        <w:numPr>
          <w:ilvl w:val="0"/>
          <w:numId w:val="19"/>
        </w:numPr>
      </w:pPr>
      <w:r>
        <w:t xml:space="preserve">Implementar el uso de </w:t>
      </w:r>
      <w:r w:rsidR="00AD5249">
        <w:t xml:space="preserve">TIC </w:t>
      </w:r>
      <w:r>
        <w:t xml:space="preserve">para optimizar los tiempos de operación del </w:t>
      </w:r>
      <w:proofErr w:type="spellStart"/>
      <w:r>
        <w:t>Pp</w:t>
      </w:r>
      <w:proofErr w:type="spellEnd"/>
      <w:r>
        <w:t>; con esta implementación a mediano plazo se esperaría un trabajo coordinado en la estandarización de procesos y su automatización.</w:t>
      </w:r>
    </w:p>
    <w:p w14:paraId="57F4B86C" w14:textId="77777777" w:rsidR="0027424B" w:rsidRDefault="00AD5249" w:rsidP="0027424B">
      <w:pPr>
        <w:pStyle w:val="Bala"/>
        <w:numPr>
          <w:ilvl w:val="0"/>
          <w:numId w:val="19"/>
        </w:numPr>
      </w:pPr>
      <w:r>
        <w:t>Establecer un c</w:t>
      </w:r>
      <w:r w:rsidR="0027424B">
        <w:t>anal de comunicación único</w:t>
      </w:r>
      <w:r>
        <w:t>, p</w:t>
      </w:r>
      <w:r w:rsidR="0027424B">
        <w:t>ara mejorar el flujo de información vertical y horizontalmente y que permee a todos los niveles</w:t>
      </w:r>
      <w:r>
        <w:t>,</w:t>
      </w:r>
      <w:r w:rsidR="0027424B">
        <w:t xml:space="preserve"> evitando acciones dispersas que debilitan la operación del Pp.</w:t>
      </w:r>
    </w:p>
    <w:p w14:paraId="6253DF20" w14:textId="77777777" w:rsidR="0027424B" w:rsidRDefault="00AD5249" w:rsidP="0027424B">
      <w:pPr>
        <w:pStyle w:val="Bala"/>
        <w:numPr>
          <w:ilvl w:val="0"/>
          <w:numId w:val="19"/>
        </w:numPr>
      </w:pPr>
      <w:r>
        <w:lastRenderedPageBreak/>
        <w:t xml:space="preserve">Elaborar el </w:t>
      </w:r>
      <w:r w:rsidR="0027424B">
        <w:t xml:space="preserve">diagnóstico del </w:t>
      </w:r>
      <w:proofErr w:type="spellStart"/>
      <w:r w:rsidR="0027424B">
        <w:t>Pp</w:t>
      </w:r>
      <w:proofErr w:type="spellEnd"/>
      <w:r w:rsidR="0027424B">
        <w:t xml:space="preserve"> y </w:t>
      </w:r>
      <w:r>
        <w:t>definir la PO o el AEO</w:t>
      </w:r>
      <w:r w:rsidR="0027424B">
        <w:t xml:space="preserve">. El </w:t>
      </w:r>
      <w:r>
        <w:t>diagnóstico</w:t>
      </w:r>
      <w:r w:rsidR="0027424B">
        <w:t xml:space="preserve"> deberá documentar, </w:t>
      </w:r>
      <w:r>
        <w:t xml:space="preserve">además de </w:t>
      </w:r>
      <w:r w:rsidR="0027424B">
        <w:t>los aspectos normativ</w:t>
      </w:r>
      <w:r>
        <w:t>os requeridos</w:t>
      </w:r>
      <w:r w:rsidR="0027424B">
        <w:t xml:space="preserve">, el marco jurídico, </w:t>
      </w:r>
      <w:r>
        <w:t xml:space="preserve">las </w:t>
      </w:r>
      <w:r w:rsidR="0027424B">
        <w:t xml:space="preserve">atribuciones por </w:t>
      </w:r>
      <w:r>
        <w:t>UR, organigramas y procesos,</w:t>
      </w:r>
      <w:r w:rsidR="0027424B">
        <w:t xml:space="preserve"> así como describir las acciones realizadas en el marco de la atención, distensión y solución de conflictos</w:t>
      </w:r>
      <w:r>
        <w:t>.</w:t>
      </w:r>
    </w:p>
    <w:p w14:paraId="46A3AAF0" w14:textId="77777777" w:rsidR="0027424B" w:rsidRDefault="0027424B" w:rsidP="0027424B">
      <w:pPr>
        <w:pStyle w:val="Bala"/>
        <w:numPr>
          <w:ilvl w:val="0"/>
          <w:numId w:val="19"/>
        </w:numPr>
      </w:pPr>
      <w:r>
        <w:t>Impulsar un</w:t>
      </w:r>
      <w:r w:rsidR="00687B66">
        <w:t>a</w:t>
      </w:r>
      <w:r>
        <w:t xml:space="preserve"> restructura presupuesta</w:t>
      </w:r>
      <w:r w:rsidR="00A92B1F">
        <w:t>ria</w:t>
      </w:r>
      <w:r>
        <w:t xml:space="preserve">. Como se encuentra actualmente, el </w:t>
      </w:r>
      <w:proofErr w:type="spellStart"/>
      <w:r>
        <w:t>Pp</w:t>
      </w:r>
      <w:proofErr w:type="spellEnd"/>
      <w:r>
        <w:t xml:space="preserve"> contiene demasiados elementos heterogéneos entre sí, lo que complica la definición de una </w:t>
      </w:r>
      <w:r w:rsidR="00AD5249">
        <w:t>PO o AEO</w:t>
      </w:r>
      <w:r>
        <w:t xml:space="preserve">, así como la lógica vertical y horizontal entre los elementos que componen la MIR. </w:t>
      </w:r>
      <w:r w:rsidR="00AD5249">
        <w:t>S</w:t>
      </w:r>
      <w:r>
        <w:t xml:space="preserve">e sugiere replantear la configuración actual de </w:t>
      </w:r>
      <w:proofErr w:type="spellStart"/>
      <w:r w:rsidR="00AD5249">
        <w:t>Pp</w:t>
      </w:r>
      <w:proofErr w:type="spellEnd"/>
      <w:r>
        <w:t xml:space="preserve"> y enfocarse a la solución de la conflictividad social.</w:t>
      </w:r>
    </w:p>
    <w:p w14:paraId="0FE18AA3" w14:textId="77777777" w:rsidR="0027424B" w:rsidRDefault="00AD5249" w:rsidP="00AD5249">
      <w:pPr>
        <w:pStyle w:val="Bala"/>
        <w:numPr>
          <w:ilvl w:val="0"/>
          <w:numId w:val="19"/>
        </w:numPr>
      </w:pPr>
      <w:r>
        <w:t>Homologar los</w:t>
      </w:r>
      <w:r w:rsidR="0027424B">
        <w:t xml:space="preserve"> procesos </w:t>
      </w:r>
      <w:r>
        <w:t xml:space="preserve">del </w:t>
      </w:r>
      <w:proofErr w:type="spellStart"/>
      <w:r>
        <w:t>Pp</w:t>
      </w:r>
      <w:proofErr w:type="spellEnd"/>
      <w:r>
        <w:t xml:space="preserve"> </w:t>
      </w:r>
      <w:r w:rsidR="0027424B">
        <w:t xml:space="preserve">y </w:t>
      </w:r>
      <w:r>
        <w:t xml:space="preserve">estandarizar </w:t>
      </w:r>
      <w:r w:rsidR="0027424B">
        <w:t xml:space="preserve">aquellas </w:t>
      </w:r>
      <w:r>
        <w:t>actividades enfocadas en la atención y</w:t>
      </w:r>
      <w:r w:rsidR="0027424B">
        <w:t xml:space="preserve"> distensión de conflictos. Esto tendría como resultado la implementación de mecanismos, susceptibles de ser automatizados, optimizando la gestión gubernamental.</w:t>
      </w:r>
    </w:p>
    <w:p w14:paraId="5A9053B3" w14:textId="77777777" w:rsidR="0027424B" w:rsidRDefault="004611CE" w:rsidP="0027424B">
      <w:pPr>
        <w:pStyle w:val="Bala"/>
        <w:numPr>
          <w:ilvl w:val="0"/>
          <w:numId w:val="19"/>
        </w:numPr>
      </w:pPr>
      <w:r>
        <w:t xml:space="preserve">Implementar </w:t>
      </w:r>
      <w:r w:rsidR="0027424B">
        <w:t>mecanismos para medir la calidad de los servicios. Se recomienda la aplicación de encuestas breves de calidad en el servicio</w:t>
      </w:r>
      <w:r>
        <w:t>,</w:t>
      </w:r>
      <w:r w:rsidR="0027424B">
        <w:t xml:space="preserve"> lo que permite identificar áreas de mejora y la contabilización y estratificación de la </w:t>
      </w:r>
      <w:r>
        <w:t>PO</w:t>
      </w:r>
      <w:r w:rsidR="0027424B">
        <w:t xml:space="preserve"> que solicita los servicios otorgados.</w:t>
      </w:r>
    </w:p>
    <w:p w14:paraId="6DE7D49D" w14:textId="77777777" w:rsidR="00DA7487" w:rsidRDefault="004611CE" w:rsidP="0027424B">
      <w:pPr>
        <w:pStyle w:val="Bala"/>
        <w:numPr>
          <w:ilvl w:val="0"/>
          <w:numId w:val="19"/>
        </w:numPr>
      </w:pPr>
      <w:r>
        <w:t xml:space="preserve">Revisar </w:t>
      </w:r>
      <w:r w:rsidR="0027424B">
        <w:t>el marco jurídico para eliminar duplicidades</w:t>
      </w:r>
      <w:r>
        <w:t xml:space="preserve"> en lo ejecutado entre las distintas UR</w:t>
      </w:r>
      <w:r w:rsidR="0027424B">
        <w:t xml:space="preserve">. Se debe delimitar </w:t>
      </w:r>
      <w:r>
        <w:t>la</w:t>
      </w:r>
      <w:r w:rsidR="0027424B">
        <w:t xml:space="preserve"> actuación de cada U</w:t>
      </w:r>
      <w:r>
        <w:t>R,</w:t>
      </w:r>
      <w:r w:rsidR="0027424B">
        <w:t xml:space="preserve"> principalmente en lo concerniente a gobernabilidad y atención de conflictos, para lo cual se debe considerar la operación práctica que cada </w:t>
      </w:r>
      <w:r>
        <w:t>UR</w:t>
      </w:r>
      <w:r w:rsidR="0027424B">
        <w:t xml:space="preserve"> realiza.</w:t>
      </w:r>
    </w:p>
    <w:p w14:paraId="71D47C06" w14:textId="77777777" w:rsidR="004611CE" w:rsidRDefault="004611CE" w:rsidP="004611CE">
      <w:pPr>
        <w:pStyle w:val="Bala"/>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DA7487" w:rsidRPr="00FC7306" w14:paraId="7E53548F" w14:textId="77777777" w:rsidTr="00AA7139">
        <w:trPr>
          <w:trHeight w:val="675"/>
        </w:trPr>
        <w:tc>
          <w:tcPr>
            <w:tcW w:w="749" w:type="pct"/>
            <w:vAlign w:val="center"/>
          </w:tcPr>
          <w:p w14:paraId="7FA6EF15" w14:textId="77777777" w:rsidR="00DA7487" w:rsidRPr="00FC7306" w:rsidRDefault="00DA7487" w:rsidP="00AA7139">
            <w:pPr>
              <w:spacing w:before="20" w:after="0"/>
              <w:ind w:left="170"/>
              <w:rPr>
                <w:b/>
                <w:sz w:val="16"/>
                <w:lang w:val="es-ES"/>
              </w:rPr>
            </w:pPr>
            <w:r w:rsidRPr="00FC7306">
              <w:rPr>
                <w:b/>
                <w:sz w:val="16"/>
                <w:lang w:val="es-ES"/>
              </w:rPr>
              <w:t>Evaluador Externo</w:t>
            </w:r>
            <w:r>
              <w:rPr>
                <w:b/>
                <w:sz w:val="16"/>
                <w:lang w:val="es-ES"/>
              </w:rPr>
              <w:t>:</w:t>
            </w:r>
          </w:p>
        </w:tc>
        <w:tc>
          <w:tcPr>
            <w:tcW w:w="4251" w:type="pct"/>
            <w:gridSpan w:val="3"/>
          </w:tcPr>
          <w:p w14:paraId="422EF10A" w14:textId="77777777" w:rsidR="00DA7487" w:rsidRDefault="00DA7487" w:rsidP="00AA7139">
            <w:pPr>
              <w:spacing w:before="20" w:after="0"/>
              <w:ind w:left="113"/>
              <w:rPr>
                <w:sz w:val="16"/>
                <w:lang w:val="es-ES"/>
              </w:rPr>
            </w:pPr>
            <w:r w:rsidRPr="00FC7306">
              <w:rPr>
                <w:sz w:val="16"/>
                <w:lang w:val="es-ES"/>
              </w:rPr>
              <w:t>1. Instancia Evaluadora</w:t>
            </w:r>
            <w:r>
              <w:rPr>
                <w:sz w:val="16"/>
                <w:lang w:val="es-ES"/>
              </w:rPr>
              <w:t>:</w:t>
            </w:r>
            <w:r w:rsidRPr="00FC7306">
              <w:rPr>
                <w:sz w:val="16"/>
                <w:lang w:val="es-ES"/>
              </w:rPr>
              <w:t xml:space="preserve"> </w:t>
            </w:r>
            <w:r w:rsidR="00274DF7">
              <w:rPr>
                <w:sz w:val="16"/>
                <w:lang w:val="es-ES"/>
              </w:rPr>
              <w:t>Emeterio Carlón Acosta</w:t>
            </w:r>
          </w:p>
          <w:p w14:paraId="1DE1E294" w14:textId="77777777" w:rsidR="00DA7487" w:rsidRPr="00FC7306" w:rsidRDefault="00DA7487" w:rsidP="00AA7139">
            <w:pPr>
              <w:spacing w:before="20" w:after="0"/>
              <w:ind w:left="113"/>
              <w:rPr>
                <w:sz w:val="16"/>
                <w:lang w:val="es-ES"/>
              </w:rPr>
            </w:pPr>
            <w:r w:rsidRPr="00FC7306">
              <w:rPr>
                <w:sz w:val="16"/>
                <w:lang w:val="es-ES"/>
              </w:rPr>
              <w:t xml:space="preserve">2. Coordinador de la Evaluación: </w:t>
            </w:r>
            <w:r w:rsidR="00274DF7">
              <w:rPr>
                <w:sz w:val="16"/>
                <w:lang w:val="es-ES"/>
              </w:rPr>
              <w:t>Emeterio Carlón Acosta</w:t>
            </w:r>
          </w:p>
          <w:p w14:paraId="7DBE085A" w14:textId="77777777" w:rsidR="00DA7487" w:rsidRPr="00FC7306" w:rsidRDefault="00DA7487" w:rsidP="00DE1828">
            <w:pPr>
              <w:spacing w:before="20" w:after="0"/>
              <w:ind w:left="113"/>
              <w:rPr>
                <w:sz w:val="16"/>
                <w:lang w:val="es-ES"/>
              </w:rPr>
            </w:pPr>
            <w:r w:rsidRPr="00FC7306">
              <w:rPr>
                <w:sz w:val="16"/>
                <w:lang w:val="es-ES"/>
              </w:rPr>
              <w:t xml:space="preserve">3. Forma de contratación: </w:t>
            </w:r>
            <w:r w:rsidR="00274DF7" w:rsidRPr="00274DF7">
              <w:rPr>
                <w:sz w:val="16"/>
                <w:lang w:val="es-ES"/>
              </w:rPr>
              <w:t>Inv</w:t>
            </w:r>
            <w:r w:rsidR="00DE1828">
              <w:rPr>
                <w:sz w:val="16"/>
                <w:lang w:val="es-ES"/>
              </w:rPr>
              <w:t>itación a c</w:t>
            </w:r>
            <w:r w:rsidR="00274DF7" w:rsidRPr="00274DF7">
              <w:rPr>
                <w:sz w:val="16"/>
                <w:lang w:val="es-ES"/>
              </w:rPr>
              <w:t xml:space="preserve">uando menos </w:t>
            </w:r>
            <w:r w:rsidR="00DE1828">
              <w:rPr>
                <w:sz w:val="16"/>
                <w:lang w:val="es-ES"/>
              </w:rPr>
              <w:t>tres p</w:t>
            </w:r>
            <w:r w:rsidR="00274DF7" w:rsidRPr="00274DF7">
              <w:rPr>
                <w:sz w:val="16"/>
                <w:lang w:val="es-ES"/>
              </w:rPr>
              <w:t xml:space="preserve">ersonas de </w:t>
            </w:r>
            <w:r w:rsidR="00DE1828">
              <w:rPr>
                <w:sz w:val="16"/>
                <w:lang w:val="es-ES"/>
              </w:rPr>
              <w:t>c</w:t>
            </w:r>
            <w:r w:rsidR="00274DF7" w:rsidRPr="00274DF7">
              <w:rPr>
                <w:sz w:val="16"/>
                <w:lang w:val="es-ES"/>
              </w:rPr>
              <w:t xml:space="preserve">arácter </w:t>
            </w:r>
            <w:r w:rsidR="00DE1828">
              <w:rPr>
                <w:sz w:val="16"/>
                <w:lang w:val="es-ES"/>
              </w:rPr>
              <w:t>n</w:t>
            </w:r>
            <w:r w:rsidR="00274DF7" w:rsidRPr="00274DF7">
              <w:rPr>
                <w:sz w:val="16"/>
                <w:lang w:val="es-ES"/>
              </w:rPr>
              <w:t xml:space="preserve">acional de </w:t>
            </w:r>
            <w:r w:rsidR="00DE1828">
              <w:rPr>
                <w:sz w:val="16"/>
                <w:lang w:val="es-ES"/>
              </w:rPr>
              <w:t>participación m</w:t>
            </w:r>
            <w:r w:rsidR="00274DF7" w:rsidRPr="00274DF7">
              <w:rPr>
                <w:sz w:val="16"/>
                <w:lang w:val="es-ES"/>
              </w:rPr>
              <w:t>ixta</w:t>
            </w:r>
          </w:p>
        </w:tc>
      </w:tr>
      <w:tr w:rsidR="00DA7487" w:rsidRPr="00FC7306" w14:paraId="0580E1A8" w14:textId="77777777" w:rsidTr="00AA7139">
        <w:trPr>
          <w:trHeight w:val="80"/>
        </w:trPr>
        <w:tc>
          <w:tcPr>
            <w:tcW w:w="749" w:type="pct"/>
            <w:vAlign w:val="center"/>
          </w:tcPr>
          <w:p w14:paraId="5DDFF97E" w14:textId="77777777" w:rsidR="00DA7487" w:rsidRPr="00FC7306" w:rsidRDefault="00DA7487" w:rsidP="00AA7139">
            <w:pPr>
              <w:spacing w:before="20" w:after="0"/>
              <w:ind w:left="170"/>
              <w:rPr>
                <w:b/>
                <w:sz w:val="16"/>
                <w:lang w:val="es-ES"/>
              </w:rPr>
            </w:pPr>
          </w:p>
        </w:tc>
        <w:tc>
          <w:tcPr>
            <w:tcW w:w="4251" w:type="pct"/>
            <w:gridSpan w:val="3"/>
          </w:tcPr>
          <w:p w14:paraId="7473473D" w14:textId="77777777" w:rsidR="00DA7487" w:rsidRPr="00FC7306" w:rsidRDefault="00DA7487" w:rsidP="00AA7139">
            <w:pPr>
              <w:spacing w:before="20" w:after="0"/>
              <w:ind w:left="113"/>
              <w:rPr>
                <w:sz w:val="16"/>
                <w:lang w:val="es-ES"/>
              </w:rPr>
            </w:pPr>
          </w:p>
        </w:tc>
      </w:tr>
      <w:tr w:rsidR="00DA7487" w:rsidRPr="00FC7306" w14:paraId="32A0E62C" w14:textId="77777777" w:rsidTr="00AA7139">
        <w:tc>
          <w:tcPr>
            <w:tcW w:w="749" w:type="pct"/>
            <w:vAlign w:val="center"/>
          </w:tcPr>
          <w:p w14:paraId="3C5D8C20" w14:textId="77777777" w:rsidR="00DA7487" w:rsidRPr="00FC7306" w:rsidRDefault="00DA7487" w:rsidP="00AA7139">
            <w:pPr>
              <w:spacing w:before="20" w:after="0"/>
              <w:ind w:left="170"/>
              <w:rPr>
                <w:b/>
                <w:sz w:val="16"/>
                <w:lang w:val="es-ES"/>
              </w:rPr>
            </w:pPr>
            <w:r w:rsidRPr="00FC7306">
              <w:rPr>
                <w:b/>
                <w:sz w:val="16"/>
                <w:lang w:val="es-ES"/>
              </w:rPr>
              <w:t>Costo:</w:t>
            </w:r>
          </w:p>
        </w:tc>
        <w:tc>
          <w:tcPr>
            <w:tcW w:w="1113" w:type="pct"/>
            <w:vAlign w:val="center"/>
          </w:tcPr>
          <w:p w14:paraId="6BD573E6" w14:textId="77777777" w:rsidR="00DA7487" w:rsidRPr="00FC7306" w:rsidRDefault="00DA7487" w:rsidP="00274DF7">
            <w:pPr>
              <w:spacing w:before="20" w:after="0"/>
              <w:ind w:left="113"/>
              <w:rPr>
                <w:sz w:val="16"/>
                <w:lang w:val="es-ES"/>
              </w:rPr>
            </w:pPr>
            <w:r w:rsidRPr="00FC7306">
              <w:rPr>
                <w:sz w:val="16"/>
                <w:lang w:val="es-ES"/>
              </w:rPr>
              <w:t>$</w:t>
            </w:r>
            <w:r>
              <w:rPr>
                <w:sz w:val="16"/>
                <w:lang w:val="es-ES"/>
              </w:rPr>
              <w:t>1</w:t>
            </w:r>
            <w:r w:rsidRPr="007816BF">
              <w:rPr>
                <w:sz w:val="16"/>
                <w:lang w:val="es-ES"/>
              </w:rPr>
              <w:t>,</w:t>
            </w:r>
            <w:r w:rsidR="00274DF7">
              <w:rPr>
                <w:sz w:val="16"/>
                <w:lang w:val="es-ES"/>
              </w:rPr>
              <w:t>856</w:t>
            </w:r>
            <w:r w:rsidRPr="007816BF">
              <w:rPr>
                <w:sz w:val="16"/>
                <w:lang w:val="es-ES"/>
              </w:rPr>
              <w:t>,</w:t>
            </w:r>
            <w:r>
              <w:rPr>
                <w:sz w:val="16"/>
                <w:lang w:val="es-ES"/>
              </w:rPr>
              <w:t>0</w:t>
            </w:r>
            <w:r w:rsidRPr="007816BF">
              <w:rPr>
                <w:sz w:val="16"/>
                <w:lang w:val="es-ES"/>
              </w:rPr>
              <w:t>00.00</w:t>
            </w:r>
            <w:r w:rsidRPr="00993F6E">
              <w:rPr>
                <w:sz w:val="16"/>
                <w:lang w:val="es-ES"/>
              </w:rPr>
              <w:t xml:space="preserve"> </w:t>
            </w:r>
            <w:r w:rsidRPr="00C8161B">
              <w:rPr>
                <w:sz w:val="16"/>
                <w:lang w:val="es-ES"/>
              </w:rPr>
              <w:t>IVA</w:t>
            </w:r>
            <w:r w:rsidR="00274DF7">
              <w:rPr>
                <w:sz w:val="16"/>
                <w:lang w:val="es-ES"/>
              </w:rPr>
              <w:t xml:space="preserve"> incluido</w:t>
            </w:r>
          </w:p>
        </w:tc>
        <w:tc>
          <w:tcPr>
            <w:tcW w:w="904" w:type="pct"/>
            <w:vAlign w:val="center"/>
          </w:tcPr>
          <w:p w14:paraId="76CC3B4F" w14:textId="77777777" w:rsidR="00DA7487" w:rsidRPr="00FC7306" w:rsidRDefault="00DA7487" w:rsidP="00AA7139">
            <w:pPr>
              <w:spacing w:before="20" w:after="0"/>
              <w:ind w:left="170"/>
              <w:rPr>
                <w:b/>
                <w:sz w:val="16"/>
                <w:lang w:val="es-ES"/>
              </w:rPr>
            </w:pPr>
            <w:r>
              <w:rPr>
                <w:b/>
                <w:sz w:val="16"/>
                <w:lang w:val="es-ES"/>
              </w:rPr>
              <w:t>Fuente de Financiamiento:</w:t>
            </w:r>
            <w:r w:rsidRPr="00FC7306">
              <w:rPr>
                <w:b/>
                <w:sz w:val="16"/>
                <w:lang w:val="es-ES"/>
              </w:rPr>
              <w:t xml:space="preserve"> </w:t>
            </w:r>
          </w:p>
        </w:tc>
        <w:tc>
          <w:tcPr>
            <w:tcW w:w="2234" w:type="pct"/>
            <w:vAlign w:val="center"/>
          </w:tcPr>
          <w:p w14:paraId="140C302D" w14:textId="77777777" w:rsidR="00DA7487" w:rsidRPr="00FC7306" w:rsidRDefault="00DA7487" w:rsidP="00AA7139">
            <w:pPr>
              <w:spacing w:before="20" w:after="0"/>
              <w:rPr>
                <w:sz w:val="16"/>
                <w:lang w:val="es-ES"/>
              </w:rPr>
            </w:pPr>
            <w:r w:rsidRPr="008A45C7">
              <w:rPr>
                <w:sz w:val="16"/>
                <w:lang w:val="es-ES"/>
              </w:rPr>
              <w:t xml:space="preserve">Recursos </w:t>
            </w:r>
            <w:r>
              <w:rPr>
                <w:sz w:val="16"/>
                <w:lang w:val="es-ES"/>
              </w:rPr>
              <w:t>Fiscales</w:t>
            </w:r>
          </w:p>
        </w:tc>
      </w:tr>
      <w:tr w:rsidR="00DA7487" w:rsidRPr="00FC7306" w14:paraId="0AE3E298" w14:textId="77777777" w:rsidTr="00AA7139">
        <w:tc>
          <w:tcPr>
            <w:tcW w:w="749" w:type="pct"/>
            <w:tcBorders>
              <w:bottom w:val="single" w:sz="4" w:space="0" w:color="auto"/>
            </w:tcBorders>
            <w:vAlign w:val="bottom"/>
          </w:tcPr>
          <w:p w14:paraId="61AAE5D2" w14:textId="77777777" w:rsidR="00DA7487" w:rsidRPr="00FC7306" w:rsidRDefault="00DA7487" w:rsidP="00AA7139">
            <w:pPr>
              <w:pStyle w:val="Textocuadroneg1"/>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14:paraId="743FA033" w14:textId="77777777" w:rsidR="00DA7487" w:rsidRPr="00FC7306" w:rsidRDefault="00DA7487" w:rsidP="00AA7139">
            <w:pPr>
              <w:pStyle w:val="Cdetexto"/>
              <w:spacing w:after="0"/>
              <w:jc w:val="center"/>
              <w:rPr>
                <w:sz w:val="14"/>
                <w:szCs w:val="14"/>
              </w:rPr>
            </w:pPr>
            <w:r w:rsidRPr="007816BF">
              <w:rPr>
                <w:sz w:val="16"/>
                <w:szCs w:val="14"/>
              </w:rPr>
              <w:t>SHCP</w:t>
            </w:r>
          </w:p>
        </w:tc>
        <w:tc>
          <w:tcPr>
            <w:tcW w:w="904" w:type="pct"/>
            <w:tcBorders>
              <w:bottom w:val="single" w:sz="4" w:space="0" w:color="auto"/>
            </w:tcBorders>
            <w:vAlign w:val="center"/>
          </w:tcPr>
          <w:p w14:paraId="47F1A87B" w14:textId="77777777" w:rsidR="00DA7487" w:rsidRPr="00FC7306" w:rsidRDefault="00DA7487" w:rsidP="00AA7139">
            <w:pPr>
              <w:pStyle w:val="Textocuadroneg1"/>
              <w:rPr>
                <w:sz w:val="16"/>
                <w:szCs w:val="16"/>
              </w:rPr>
            </w:pPr>
            <w:r w:rsidRPr="00FC7306">
              <w:rPr>
                <w:sz w:val="16"/>
                <w:szCs w:val="16"/>
              </w:rPr>
              <w:t>Informe completo</w:t>
            </w:r>
            <w:r>
              <w:rPr>
                <w:sz w:val="16"/>
                <w:szCs w:val="16"/>
              </w:rPr>
              <w:t>:</w:t>
            </w:r>
          </w:p>
        </w:tc>
        <w:tc>
          <w:tcPr>
            <w:tcW w:w="2234" w:type="pct"/>
            <w:tcBorders>
              <w:bottom w:val="single" w:sz="4" w:space="0" w:color="auto"/>
            </w:tcBorders>
            <w:vAlign w:val="center"/>
          </w:tcPr>
          <w:p w14:paraId="1CD95C83" w14:textId="77777777" w:rsidR="00DA7487" w:rsidRPr="00FC7306" w:rsidRDefault="00DA7487" w:rsidP="00AA7139">
            <w:pPr>
              <w:pStyle w:val="Textocuadro1"/>
              <w:rPr>
                <w:sz w:val="16"/>
                <w:szCs w:val="16"/>
              </w:rPr>
            </w:pPr>
            <w:r w:rsidRPr="00FC7306">
              <w:rPr>
                <w:sz w:val="16"/>
                <w:szCs w:val="16"/>
              </w:rPr>
              <w:t>Disponible en:</w:t>
            </w:r>
          </w:p>
          <w:p w14:paraId="59BEE1A8" w14:textId="77777777" w:rsidR="00DA7487" w:rsidRPr="00FC7306" w:rsidRDefault="00DA7487" w:rsidP="00AA7139">
            <w:pPr>
              <w:pStyle w:val="Textocuadro1"/>
              <w:rPr>
                <w:sz w:val="16"/>
                <w:szCs w:val="16"/>
              </w:rPr>
            </w:pPr>
            <w:r w:rsidRPr="00FC7306">
              <w:rPr>
                <w:sz w:val="16"/>
                <w:szCs w:val="16"/>
              </w:rPr>
              <w:t>http://www.transparenciapresupuestaria.gob.mx/</w:t>
            </w:r>
          </w:p>
        </w:tc>
      </w:tr>
    </w:tbl>
    <w:p w14:paraId="63789EA8" w14:textId="77777777" w:rsidR="00DA7487" w:rsidRDefault="00DA7487" w:rsidP="001B210A">
      <w:pPr>
        <w:pStyle w:val="Cdetexto"/>
      </w:pPr>
    </w:p>
    <w:tbl>
      <w:tblPr>
        <w:tblStyle w:val="Tablaconcuadrcula32"/>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DA7487" w:rsidRPr="00FC7306" w14:paraId="2AABBA17" w14:textId="77777777" w:rsidTr="00AA7139">
        <w:trPr>
          <w:trHeight w:val="358"/>
          <w:jc w:val="center"/>
        </w:trPr>
        <w:tc>
          <w:tcPr>
            <w:tcW w:w="9923" w:type="dxa"/>
            <w:gridSpan w:val="5"/>
            <w:shd w:val="clear" w:color="auto" w:fill="D6E3BC" w:themeFill="accent3" w:themeFillTint="66"/>
            <w:vAlign w:val="center"/>
          </w:tcPr>
          <w:p w14:paraId="256B9123" w14:textId="77777777" w:rsidR="00DA7487" w:rsidRPr="000203DE" w:rsidRDefault="00DA7487" w:rsidP="00AA7139">
            <w:pPr>
              <w:pStyle w:val="CABEZA"/>
              <w:ind w:left="0"/>
              <w:rPr>
                <w:lang w:val="es-MX"/>
              </w:rPr>
            </w:pPr>
            <w:r w:rsidRPr="00282C72">
              <w:rPr>
                <w:lang w:val="es-MX"/>
              </w:rPr>
              <w:br w:type="page"/>
            </w:r>
            <w:r w:rsidRPr="00687B66">
              <w:rPr>
                <w:lang w:val="es-MX"/>
              </w:rPr>
              <w:t>Ramo 04 – Gobernación</w:t>
            </w:r>
          </w:p>
        </w:tc>
      </w:tr>
      <w:tr w:rsidR="00DA7487" w:rsidRPr="00FC7306" w14:paraId="12DC24C9" w14:textId="77777777" w:rsidTr="00AA7139">
        <w:trPr>
          <w:jc w:val="center"/>
        </w:trPr>
        <w:tc>
          <w:tcPr>
            <w:tcW w:w="1359" w:type="dxa"/>
            <w:shd w:val="clear" w:color="auto" w:fill="D9D9D9" w:themeFill="background1" w:themeFillShade="D9"/>
          </w:tcPr>
          <w:p w14:paraId="190EDE0C" w14:textId="77777777" w:rsidR="00DA7487" w:rsidRPr="00FC7306" w:rsidRDefault="00DA7487" w:rsidP="00AA7139">
            <w:pPr>
              <w:spacing w:before="20"/>
              <w:rPr>
                <w:b/>
                <w:sz w:val="16"/>
                <w:lang w:val="es-ES"/>
              </w:rPr>
            </w:pPr>
            <w:r w:rsidRPr="00FC7306">
              <w:rPr>
                <w:b/>
                <w:sz w:val="16"/>
                <w:lang w:val="es-ES"/>
              </w:rPr>
              <w:t xml:space="preserve">Clave del </w:t>
            </w:r>
            <w:proofErr w:type="spellStart"/>
            <w:r w:rsidRPr="00FC7306">
              <w:rPr>
                <w:b/>
                <w:sz w:val="16"/>
                <w:lang w:val="es-ES"/>
              </w:rPr>
              <w:t>Pp</w:t>
            </w:r>
            <w:proofErr w:type="spellEnd"/>
            <w:r w:rsidRPr="00FC7306">
              <w:rPr>
                <w:b/>
                <w:sz w:val="16"/>
                <w:lang w:val="es-ES"/>
              </w:rPr>
              <w:t>:</w:t>
            </w:r>
          </w:p>
        </w:tc>
        <w:tc>
          <w:tcPr>
            <w:tcW w:w="734" w:type="dxa"/>
            <w:shd w:val="clear" w:color="auto" w:fill="D9D9D9" w:themeFill="background1" w:themeFillShade="D9"/>
          </w:tcPr>
          <w:p w14:paraId="6A693618" w14:textId="77777777" w:rsidR="00DA7487" w:rsidRPr="00FC7306" w:rsidRDefault="00DA7487" w:rsidP="00DA7487">
            <w:pPr>
              <w:contextualSpacing/>
              <w:rPr>
                <w:sz w:val="16"/>
                <w:szCs w:val="16"/>
                <w:lang w:val="es-ES" w:eastAsia="en-US"/>
              </w:rPr>
            </w:pPr>
            <w:r>
              <w:rPr>
                <w:sz w:val="16"/>
                <w:szCs w:val="16"/>
                <w:lang w:val="es-ES" w:eastAsia="en-US"/>
              </w:rPr>
              <w:t>P010</w:t>
            </w:r>
          </w:p>
        </w:tc>
        <w:tc>
          <w:tcPr>
            <w:tcW w:w="1701" w:type="dxa"/>
            <w:gridSpan w:val="2"/>
            <w:shd w:val="clear" w:color="auto" w:fill="D9D9D9" w:themeFill="background1" w:themeFillShade="D9"/>
          </w:tcPr>
          <w:p w14:paraId="614D1859" w14:textId="77777777" w:rsidR="00DA7487" w:rsidRPr="00FC7306" w:rsidRDefault="00DA7487" w:rsidP="00AA7139">
            <w:pPr>
              <w:spacing w:before="20"/>
              <w:rPr>
                <w:b/>
                <w:sz w:val="16"/>
                <w:lang w:val="es-ES"/>
              </w:rPr>
            </w:pPr>
            <w:r w:rsidRPr="00FC7306">
              <w:rPr>
                <w:b/>
                <w:sz w:val="16"/>
                <w:lang w:val="es-ES"/>
              </w:rPr>
              <w:t>Denominación:</w:t>
            </w:r>
          </w:p>
        </w:tc>
        <w:tc>
          <w:tcPr>
            <w:tcW w:w="6129" w:type="dxa"/>
            <w:shd w:val="clear" w:color="auto" w:fill="D9D9D9" w:themeFill="background1" w:themeFillShade="D9"/>
          </w:tcPr>
          <w:p w14:paraId="65AC022B" w14:textId="77777777" w:rsidR="00DA7487" w:rsidRPr="00FC7306" w:rsidRDefault="00DA7487" w:rsidP="00AA7139">
            <w:pPr>
              <w:contextualSpacing/>
              <w:rPr>
                <w:sz w:val="16"/>
                <w:szCs w:val="16"/>
                <w:lang w:eastAsia="en-US"/>
              </w:rPr>
            </w:pPr>
            <w:r w:rsidRPr="00DA7487">
              <w:rPr>
                <w:sz w:val="16"/>
                <w:szCs w:val="16"/>
                <w:lang w:val="es-ES" w:eastAsia="en-US"/>
              </w:rPr>
              <w:t>Implementación de la Reforma al Sistema de Justicia Penal</w:t>
            </w:r>
          </w:p>
        </w:tc>
      </w:tr>
      <w:tr w:rsidR="00DA7487" w:rsidRPr="00FC7306" w14:paraId="039A7BAA" w14:textId="77777777" w:rsidTr="00AA7139">
        <w:trPr>
          <w:jc w:val="center"/>
        </w:trPr>
        <w:tc>
          <w:tcPr>
            <w:tcW w:w="2778" w:type="dxa"/>
            <w:gridSpan w:val="3"/>
          </w:tcPr>
          <w:p w14:paraId="227BDB7C" w14:textId="77777777" w:rsidR="00DA7487" w:rsidRPr="00FC7306" w:rsidRDefault="00DA7487" w:rsidP="00AA7139">
            <w:pPr>
              <w:spacing w:before="20"/>
              <w:rPr>
                <w:b/>
                <w:sz w:val="16"/>
                <w:lang w:val="es-ES"/>
              </w:rPr>
            </w:pPr>
            <w:r>
              <w:rPr>
                <w:b/>
                <w:sz w:val="16"/>
                <w:lang w:val="es-ES"/>
              </w:rPr>
              <w:t>Unidad Administrativa:</w:t>
            </w:r>
          </w:p>
        </w:tc>
        <w:tc>
          <w:tcPr>
            <w:tcW w:w="7145" w:type="dxa"/>
            <w:gridSpan w:val="2"/>
          </w:tcPr>
          <w:p w14:paraId="049FDAD3" w14:textId="77777777" w:rsidR="00DA7487" w:rsidRPr="00BD7CE9" w:rsidRDefault="00687B66" w:rsidP="00AA7139">
            <w:pPr>
              <w:spacing w:before="20" w:after="0"/>
              <w:rPr>
                <w:sz w:val="16"/>
                <w:lang w:val="es-ES"/>
              </w:rPr>
            </w:pPr>
            <w:r w:rsidRPr="00D20D75">
              <w:rPr>
                <w:rFonts w:eastAsia="Times New Roman"/>
                <w:sz w:val="16"/>
                <w:szCs w:val="16"/>
                <w:lang w:val="es-MX" w:eastAsia="en-US"/>
              </w:rPr>
              <w:t>Secretaría Técnica del Consejo de Coordinación para la implementación del Sistema de Justicia Penal</w:t>
            </w:r>
          </w:p>
        </w:tc>
      </w:tr>
      <w:tr w:rsidR="00DA7487" w:rsidRPr="00FC7306" w14:paraId="1DEF3156" w14:textId="77777777" w:rsidTr="00AA7139">
        <w:trPr>
          <w:jc w:val="center"/>
        </w:trPr>
        <w:tc>
          <w:tcPr>
            <w:tcW w:w="2778" w:type="dxa"/>
            <w:gridSpan w:val="3"/>
          </w:tcPr>
          <w:p w14:paraId="5886E646" w14:textId="77777777" w:rsidR="00DA7487" w:rsidRPr="00FC7306" w:rsidRDefault="00DA7487" w:rsidP="00AA7139">
            <w:pPr>
              <w:spacing w:before="20"/>
              <w:rPr>
                <w:b/>
                <w:sz w:val="16"/>
                <w:lang w:val="es-ES"/>
              </w:rPr>
            </w:pPr>
            <w:r w:rsidRPr="00FC7306">
              <w:rPr>
                <w:b/>
                <w:sz w:val="16"/>
                <w:lang w:val="es-ES"/>
              </w:rPr>
              <w:t>Responsable</w:t>
            </w:r>
            <w:r>
              <w:rPr>
                <w:b/>
                <w:sz w:val="16"/>
                <w:lang w:val="es-ES"/>
              </w:rPr>
              <w:t>:</w:t>
            </w:r>
            <w:r w:rsidRPr="00FC7306">
              <w:rPr>
                <w:b/>
                <w:sz w:val="16"/>
                <w:lang w:val="es-ES"/>
              </w:rPr>
              <w:t xml:space="preserve"> </w:t>
            </w:r>
          </w:p>
        </w:tc>
        <w:tc>
          <w:tcPr>
            <w:tcW w:w="7145" w:type="dxa"/>
            <w:gridSpan w:val="2"/>
          </w:tcPr>
          <w:p w14:paraId="4A3CEA24" w14:textId="77777777" w:rsidR="00DA7487" w:rsidRPr="00FC7306" w:rsidRDefault="00687B66" w:rsidP="00687B66">
            <w:pPr>
              <w:spacing w:before="20" w:after="0"/>
              <w:rPr>
                <w:sz w:val="16"/>
                <w:highlight w:val="yellow"/>
                <w:lang w:val="es-ES"/>
              </w:rPr>
            </w:pPr>
            <w:r>
              <w:rPr>
                <w:rFonts w:eastAsia="Times New Roman"/>
                <w:sz w:val="16"/>
                <w:szCs w:val="16"/>
                <w:lang w:val="es-MX" w:eastAsia="en-US"/>
              </w:rPr>
              <w:t xml:space="preserve">María de los Ángeles </w:t>
            </w:r>
            <w:proofErr w:type="spellStart"/>
            <w:r>
              <w:rPr>
                <w:rFonts w:eastAsia="Times New Roman"/>
                <w:sz w:val="16"/>
                <w:szCs w:val="16"/>
                <w:lang w:val="es-MX" w:eastAsia="en-US"/>
              </w:rPr>
              <w:t>Fromow</w:t>
            </w:r>
            <w:proofErr w:type="spellEnd"/>
            <w:r>
              <w:rPr>
                <w:rFonts w:eastAsia="Times New Roman"/>
                <w:sz w:val="16"/>
                <w:szCs w:val="16"/>
                <w:lang w:val="es-MX" w:eastAsia="en-US"/>
              </w:rPr>
              <w:t xml:space="preserve"> Rangel</w:t>
            </w:r>
          </w:p>
        </w:tc>
      </w:tr>
      <w:tr w:rsidR="00DA7487" w:rsidRPr="00FC7306" w14:paraId="2E40EE17" w14:textId="77777777" w:rsidTr="00AA7139">
        <w:trPr>
          <w:jc w:val="center"/>
        </w:trPr>
        <w:tc>
          <w:tcPr>
            <w:tcW w:w="2778" w:type="dxa"/>
            <w:gridSpan w:val="3"/>
            <w:tcBorders>
              <w:bottom w:val="single" w:sz="4" w:space="0" w:color="auto"/>
            </w:tcBorders>
            <w:shd w:val="clear" w:color="auto" w:fill="D9D9D9" w:themeFill="background1" w:themeFillShade="D9"/>
          </w:tcPr>
          <w:p w14:paraId="7C4463F0" w14:textId="77777777" w:rsidR="00DA7487" w:rsidRPr="00FC7306" w:rsidRDefault="00DA7487" w:rsidP="00AA7139">
            <w:pPr>
              <w:spacing w:before="20"/>
              <w:rPr>
                <w:b/>
                <w:sz w:val="16"/>
                <w:lang w:val="es-ES"/>
              </w:rPr>
            </w:pPr>
            <w:r w:rsidRPr="00FC7306">
              <w:rPr>
                <w:b/>
                <w:sz w:val="16"/>
                <w:lang w:val="es-ES"/>
              </w:rPr>
              <w:t>Tipo de Evaluación</w:t>
            </w:r>
            <w:r>
              <w:rPr>
                <w:b/>
                <w:sz w:val="16"/>
                <w:lang w:val="es-ES"/>
              </w:rPr>
              <w:t>:</w:t>
            </w:r>
          </w:p>
        </w:tc>
        <w:tc>
          <w:tcPr>
            <w:tcW w:w="7145" w:type="dxa"/>
            <w:gridSpan w:val="2"/>
            <w:tcBorders>
              <w:bottom w:val="single" w:sz="4" w:space="0" w:color="auto"/>
            </w:tcBorders>
            <w:shd w:val="clear" w:color="auto" w:fill="D9D9D9" w:themeFill="background1" w:themeFillShade="D9"/>
          </w:tcPr>
          <w:p w14:paraId="66BAFB20" w14:textId="77777777" w:rsidR="00DA7487" w:rsidRPr="00FC7306" w:rsidRDefault="00DA7487" w:rsidP="00AA7139">
            <w:pPr>
              <w:spacing w:before="20"/>
              <w:rPr>
                <w:sz w:val="16"/>
                <w:lang w:val="es-ES"/>
              </w:rPr>
            </w:pPr>
            <w:r>
              <w:rPr>
                <w:sz w:val="16"/>
                <w:lang w:val="es-ES"/>
              </w:rPr>
              <w:t>Procesos, PAE 201</w:t>
            </w:r>
            <w:r w:rsidR="00687B66">
              <w:rPr>
                <w:sz w:val="16"/>
                <w:lang w:val="es-ES"/>
              </w:rPr>
              <w:t>6</w:t>
            </w:r>
          </w:p>
        </w:tc>
      </w:tr>
    </w:tbl>
    <w:p w14:paraId="0BFABEAD" w14:textId="77777777" w:rsidR="00DA7487" w:rsidRDefault="00DA7487" w:rsidP="001B210A">
      <w:pPr>
        <w:pStyle w:val="Cdetexto"/>
      </w:pPr>
    </w:p>
    <w:p w14:paraId="2D71AFEA" w14:textId="77777777" w:rsidR="00DA7487" w:rsidRPr="000530E2" w:rsidRDefault="00DA7487" w:rsidP="00DA7487">
      <w:pPr>
        <w:pStyle w:val="Cdetextonegrita"/>
      </w:pPr>
      <w:r w:rsidRPr="000530E2">
        <w:t xml:space="preserve">Descripción del </w:t>
      </w:r>
      <w:proofErr w:type="spellStart"/>
      <w:r w:rsidRPr="000530E2">
        <w:t>Pp</w:t>
      </w:r>
      <w:proofErr w:type="spellEnd"/>
    </w:p>
    <w:p w14:paraId="7D767F44" w14:textId="77777777" w:rsidR="00687B66" w:rsidRPr="00724C95" w:rsidRDefault="00687B66" w:rsidP="00687B66">
      <w:pPr>
        <w:pStyle w:val="Cdetexto"/>
      </w:pPr>
      <w:r w:rsidRPr="00724C95">
        <w:t xml:space="preserve">El </w:t>
      </w:r>
      <w:proofErr w:type="spellStart"/>
      <w:r w:rsidRPr="00724C95">
        <w:t>Pp</w:t>
      </w:r>
      <w:proofErr w:type="spellEnd"/>
      <w:r w:rsidRPr="00724C95">
        <w:t xml:space="preserve"> inició operaciones en </w:t>
      </w:r>
      <w:r w:rsidR="00A92B1F">
        <w:t xml:space="preserve">el ejercicio fiscal </w:t>
      </w:r>
      <w:r w:rsidRPr="00724C95">
        <w:t xml:space="preserve">2010 y se dividió en 2 programas en 2012, el U004 Otorgamiento de Subsidios para la Implementación de la Reforma al Sistema de Justicia Penal y el </w:t>
      </w:r>
      <w:proofErr w:type="spellStart"/>
      <w:r w:rsidRPr="00724C95">
        <w:t>Pp</w:t>
      </w:r>
      <w:proofErr w:type="spellEnd"/>
      <w:r w:rsidRPr="00724C95">
        <w:t xml:space="preserve"> P010 que continúo con funciones más reducidas</w:t>
      </w:r>
      <w:r w:rsidR="005F1420">
        <w:t xml:space="preserve"> hasta 2017, cuando fue eliminado</w:t>
      </w:r>
      <w:r w:rsidRPr="00724C95">
        <w:t>.</w:t>
      </w:r>
    </w:p>
    <w:p w14:paraId="45FD5D0C" w14:textId="77777777" w:rsidR="00687B66" w:rsidRPr="00724C95" w:rsidRDefault="00687B66" w:rsidP="00687B66">
      <w:pPr>
        <w:pStyle w:val="Cdetexto"/>
      </w:pPr>
      <w:r w:rsidRPr="00724C95">
        <w:lastRenderedPageBreak/>
        <w:t xml:space="preserve">La necesidad que el </w:t>
      </w:r>
      <w:proofErr w:type="spellStart"/>
      <w:r w:rsidRPr="00724C95">
        <w:t>Pp</w:t>
      </w:r>
      <w:proofErr w:type="spellEnd"/>
      <w:r w:rsidRPr="00724C95">
        <w:t xml:space="preserve"> </w:t>
      </w:r>
      <w:r w:rsidR="00B721DC">
        <w:t>atendió fue</w:t>
      </w:r>
      <w:r w:rsidRPr="00724C95">
        <w:t xml:space="preserve"> “Hacer frente a los problemas técnicos, operativos, administrativos, de implementación e incluso conceptuales para la aplicación de un nuevo Sistema de Justicia Penal en México”.</w:t>
      </w:r>
    </w:p>
    <w:p w14:paraId="23E76D41" w14:textId="77777777" w:rsidR="00687B66" w:rsidRPr="00724C95" w:rsidRDefault="00687B66" w:rsidP="00687B66">
      <w:pPr>
        <w:pStyle w:val="Cdetexto"/>
      </w:pPr>
      <w:r w:rsidRPr="00724C95">
        <w:t xml:space="preserve">El fin del </w:t>
      </w:r>
      <w:proofErr w:type="spellStart"/>
      <w:r w:rsidRPr="00724C95">
        <w:t>Pp</w:t>
      </w:r>
      <w:proofErr w:type="spellEnd"/>
      <w:r w:rsidRPr="00724C95">
        <w:t xml:space="preserve"> </w:t>
      </w:r>
      <w:r w:rsidR="00B721DC">
        <w:t>se definió</w:t>
      </w:r>
      <w:r w:rsidRPr="00724C95">
        <w:t xml:space="preserve"> como “Contribuir a mejorar las condiciones de</w:t>
      </w:r>
      <w:r>
        <w:t xml:space="preserve"> seguridad y justicia mediante e</w:t>
      </w:r>
      <w:r w:rsidRPr="00724C95">
        <w:t>l proceso de transición al nuevo Sistema de Justicia Penal acusatorio-</w:t>
      </w:r>
      <w:proofErr w:type="spellStart"/>
      <w:r w:rsidRPr="00724C95">
        <w:t>adversarial</w:t>
      </w:r>
      <w:proofErr w:type="spellEnd"/>
      <w:r w:rsidRPr="00724C95">
        <w:t xml:space="preserve">, y el impulso a la implementación y operación de la reforma en las </w:t>
      </w:r>
      <w:r>
        <w:t>entidades federativas de México</w:t>
      </w:r>
      <w:r w:rsidRPr="00724C95">
        <w:t>”</w:t>
      </w:r>
      <w:r w:rsidR="00C13DBD">
        <w:t>.</w:t>
      </w:r>
    </w:p>
    <w:p w14:paraId="00570C91" w14:textId="77777777" w:rsidR="00687B66" w:rsidRPr="00724C95" w:rsidRDefault="00B721DC" w:rsidP="00687B66">
      <w:pPr>
        <w:pStyle w:val="Cdetexto"/>
      </w:pPr>
      <w:r>
        <w:t>El propósito fue</w:t>
      </w:r>
      <w:r w:rsidR="00687B66" w:rsidRPr="00724C95">
        <w:t xml:space="preserve"> “La población de las entidades federativas está cubierta por el sistema de justicia penal acusatorio, </w:t>
      </w:r>
      <w:proofErr w:type="spellStart"/>
      <w:r w:rsidR="00687B66" w:rsidRPr="00724C95">
        <w:t>adversarial</w:t>
      </w:r>
      <w:proofErr w:type="spellEnd"/>
      <w:r w:rsidR="00687B66" w:rsidRPr="00724C95">
        <w:t xml:space="preserve"> y oral, ampliando con ello el acceso a la justicia”.</w:t>
      </w:r>
    </w:p>
    <w:p w14:paraId="2689C1C3" w14:textId="77777777" w:rsidR="00687B66" w:rsidRPr="00724C95" w:rsidRDefault="00687B66" w:rsidP="00687B66">
      <w:pPr>
        <w:pStyle w:val="Cdetexto"/>
      </w:pPr>
      <w:r w:rsidRPr="00724C95">
        <w:t xml:space="preserve">El </w:t>
      </w:r>
      <w:proofErr w:type="spellStart"/>
      <w:r w:rsidRPr="00724C95">
        <w:t>AEPo</w:t>
      </w:r>
      <w:proofErr w:type="spellEnd"/>
      <w:r w:rsidRPr="00724C95">
        <w:t xml:space="preserve"> y el AEO </w:t>
      </w:r>
      <w:r w:rsidR="00B721DC">
        <w:t>fueron</w:t>
      </w:r>
      <w:r w:rsidRPr="00724C95">
        <w:t xml:space="preserve"> “</w:t>
      </w:r>
      <w:r w:rsidR="00DB0C8F">
        <w:t>L</w:t>
      </w:r>
      <w:r w:rsidRPr="00724C95">
        <w:t>as entidades federativas”</w:t>
      </w:r>
      <w:r w:rsidR="00B721DC">
        <w:t>.</w:t>
      </w:r>
      <w:r w:rsidRPr="00724C95">
        <w:t xml:space="preserve"> </w:t>
      </w:r>
    </w:p>
    <w:p w14:paraId="0DDB1A54" w14:textId="77777777" w:rsidR="00687B66" w:rsidRDefault="00687B66" w:rsidP="00687B66">
      <w:pPr>
        <w:pStyle w:val="Cdetexto"/>
      </w:pPr>
      <w:r w:rsidRPr="00724C95">
        <w:t xml:space="preserve">El </w:t>
      </w:r>
      <w:proofErr w:type="spellStart"/>
      <w:r w:rsidRPr="00724C95">
        <w:t>Pp</w:t>
      </w:r>
      <w:proofErr w:type="spellEnd"/>
      <w:r w:rsidRPr="00724C95">
        <w:t xml:space="preserve"> se </w:t>
      </w:r>
      <w:r w:rsidR="00B721DC">
        <w:t>alineó</w:t>
      </w:r>
      <w:r w:rsidRPr="00724C95">
        <w:t xml:space="preserve"> a la Meta Nacional I. México en Paz del PND, a través del Objetivo 1.4</w:t>
      </w:r>
      <w:r w:rsidR="00C13DBD">
        <w:t>.</w:t>
      </w:r>
      <w:r w:rsidRPr="00724C95">
        <w:t xml:space="preserve"> Garantizar un Sistema de Justicia Penal eficaz, expedito, imparcial y transparente, y al </w:t>
      </w:r>
      <w:r w:rsidR="005A3461">
        <w:t xml:space="preserve">PSG </w:t>
      </w:r>
      <w:r w:rsidRPr="00724C95">
        <w:t>mediante el Objetivo 2. Mejorar las condiciones de seguridad y justicia</w:t>
      </w:r>
      <w:r>
        <w:t>.</w:t>
      </w:r>
    </w:p>
    <w:p w14:paraId="298DCB21" w14:textId="77777777" w:rsidR="004907F3" w:rsidRDefault="004907F3" w:rsidP="00687B66">
      <w:pPr>
        <w:pStyle w:val="Cdetexto"/>
      </w:pPr>
      <w:r>
        <w:t xml:space="preserve">El </w:t>
      </w:r>
      <w:proofErr w:type="spellStart"/>
      <w:r>
        <w:t>Pp</w:t>
      </w:r>
      <w:proofErr w:type="spellEnd"/>
      <w:r>
        <w:t xml:space="preserve"> dejó de operar a partir del ejercicio fiscal 2017, al cumplirse el plazo establecido en el “Decreto por el que se creó el Consejo de Coordinación para la Implementación del Sistema de Justicia Penal” para la implementación del NSJP</w:t>
      </w:r>
      <w:r w:rsidR="00DB0C8F">
        <w:t xml:space="preserve">. </w:t>
      </w:r>
    </w:p>
    <w:p w14:paraId="3FB676D2" w14:textId="77777777" w:rsidR="00DA7487" w:rsidRPr="00FC7306" w:rsidRDefault="00DA7487" w:rsidP="00DA7487">
      <w:pPr>
        <w:pStyle w:val="Cdetextonegrita"/>
      </w:pPr>
      <w:r w:rsidRPr="00FC7306">
        <w:t>Principales Hallazgos</w:t>
      </w:r>
    </w:p>
    <w:p w14:paraId="55F93B37" w14:textId="77777777" w:rsidR="00687B66" w:rsidRDefault="00687B66" w:rsidP="00687B66">
      <w:pPr>
        <w:pStyle w:val="Cdetexto"/>
      </w:pPr>
      <w:r>
        <w:t xml:space="preserve">La evaluación identificó tres </w:t>
      </w:r>
      <w:proofErr w:type="spellStart"/>
      <w:r>
        <w:t>macroprocesos</w:t>
      </w:r>
      <w:proofErr w:type="spellEnd"/>
      <w:r>
        <w:t xml:space="preserve">, integrados por once procesos sustantivos. </w:t>
      </w:r>
      <w:r w:rsidR="005A3461">
        <w:t>Co</w:t>
      </w:r>
      <w:r>
        <w:t xml:space="preserve">n base en el análisis, se identificó que los </w:t>
      </w:r>
      <w:proofErr w:type="spellStart"/>
      <w:r>
        <w:t>macropocesos</w:t>
      </w:r>
      <w:proofErr w:type="spellEnd"/>
      <w:r>
        <w:t xml:space="preserve"> </w:t>
      </w:r>
      <w:r w:rsidR="009F79DE">
        <w:t>eran</w:t>
      </w:r>
      <w:r>
        <w:t xml:space="preserve"> eficaces</w:t>
      </w:r>
      <w:r w:rsidRPr="00D34E21">
        <w:t xml:space="preserve"> (</w:t>
      </w:r>
      <w:r w:rsidR="009F79DE">
        <w:t xml:space="preserve">cumplían </w:t>
      </w:r>
      <w:r w:rsidRPr="00D34E21">
        <w:t>con sus metas)</w:t>
      </w:r>
      <w:r w:rsidR="005A3461">
        <w:t>,</w:t>
      </w:r>
      <w:r w:rsidRPr="00D34E21">
        <w:t xml:space="preserve"> oportuno</w:t>
      </w:r>
      <w:r>
        <w:t>s</w:t>
      </w:r>
      <w:r w:rsidRPr="00D34E21">
        <w:t xml:space="preserve"> (otorga</w:t>
      </w:r>
      <w:r w:rsidR="009F79DE">
        <w:t>ba</w:t>
      </w:r>
      <w:r>
        <w:t>n</w:t>
      </w:r>
      <w:r w:rsidRPr="00D34E21">
        <w:t xml:space="preserve"> sus productos o componentes en un periodo determinado y/o adecuado </w:t>
      </w:r>
      <w:r w:rsidR="005A3461">
        <w:t>para el logro de sus objetivos),</w:t>
      </w:r>
      <w:r w:rsidRPr="00D34E21">
        <w:t xml:space="preserve"> suficiente</w:t>
      </w:r>
      <w:r>
        <w:t>s</w:t>
      </w:r>
      <w:r w:rsidRPr="00D34E21">
        <w:t xml:space="preserve"> (produc</w:t>
      </w:r>
      <w:r w:rsidR="009F79DE">
        <w:t>ía</w:t>
      </w:r>
      <w:r>
        <w:t>n</w:t>
      </w:r>
      <w:r w:rsidRPr="00D34E21">
        <w:t xml:space="preserve"> sus resultados de forma completa y/o adecuad</w:t>
      </w:r>
      <w:r w:rsidR="005A3461">
        <w:t>a para el logro de lo</w:t>
      </w:r>
      <w:r w:rsidRPr="00D34E21">
        <w:t xml:space="preserve">s objetivos del </w:t>
      </w:r>
      <w:proofErr w:type="spellStart"/>
      <w:r w:rsidRPr="00D34E21">
        <w:t>P</w:t>
      </w:r>
      <w:r w:rsidR="005A3461">
        <w:t>p</w:t>
      </w:r>
      <w:proofErr w:type="spellEnd"/>
      <w:r w:rsidR="005A3461">
        <w:t>) y</w:t>
      </w:r>
      <w:r w:rsidRPr="00D34E21">
        <w:t xml:space="preserve"> pertinente</w:t>
      </w:r>
      <w:r>
        <w:t>s</w:t>
      </w:r>
      <w:r w:rsidR="009F79DE">
        <w:t xml:space="preserve"> (sus actividades y productos era</w:t>
      </w:r>
      <w:r w:rsidRPr="00D34E21">
        <w:t>n adecuados para lograr tanto sus metas específicas como sus objetivos).</w:t>
      </w:r>
    </w:p>
    <w:p w14:paraId="5561A085" w14:textId="77777777" w:rsidR="00687B66" w:rsidRDefault="005A3461" w:rsidP="00687B66">
      <w:pPr>
        <w:pStyle w:val="Cdetexto"/>
      </w:pPr>
      <w:r>
        <w:t xml:space="preserve">Respecto del </w:t>
      </w:r>
      <w:proofErr w:type="spellStart"/>
      <w:r>
        <w:t>macroproceso</w:t>
      </w:r>
      <w:proofErr w:type="spellEnd"/>
      <w:r>
        <w:t xml:space="preserve"> “</w:t>
      </w:r>
      <w:r w:rsidR="00687B66">
        <w:t>Planeación integral para la distribución de subsidios para la Implementación de la Refor</w:t>
      </w:r>
      <w:r>
        <w:t xml:space="preserve">ma al Sistema de Justicia Penal”, </w:t>
      </w:r>
      <w:r w:rsidR="00687B66">
        <w:t xml:space="preserve">los tiempos para llevar a cabo los procesos </w:t>
      </w:r>
      <w:r w:rsidR="00C66986">
        <w:t>estuvieron</w:t>
      </w:r>
      <w:r w:rsidR="00687B66">
        <w:t xml:space="preserve"> dentro de los establecidos, con la salvedad de lo referente a la difusión, en virtud de </w:t>
      </w:r>
      <w:r w:rsidR="00C66986">
        <w:t>que estuvo</w:t>
      </w:r>
      <w:r w:rsidR="00687B66">
        <w:t xml:space="preserve"> sujeta al número de solicitudes o peticiones recibidas.</w:t>
      </w:r>
    </w:p>
    <w:p w14:paraId="1D57EB9B" w14:textId="77777777" w:rsidR="00687B66" w:rsidRDefault="00AD56EB" w:rsidP="00687B66">
      <w:pPr>
        <w:pStyle w:val="Cdetexto"/>
      </w:pPr>
      <w:r>
        <w:t xml:space="preserve">Destaca </w:t>
      </w:r>
      <w:r w:rsidR="00C66986">
        <w:t xml:space="preserve">que el </w:t>
      </w:r>
      <w:proofErr w:type="spellStart"/>
      <w:r w:rsidR="00C66986">
        <w:t>macroproceso</w:t>
      </w:r>
      <w:proofErr w:type="spellEnd"/>
      <w:r w:rsidR="00C66986">
        <w:t xml:space="preserve"> contó</w:t>
      </w:r>
      <w:r w:rsidR="00687B66">
        <w:t xml:space="preserve"> con evaluaciones y encuestas que permit</w:t>
      </w:r>
      <w:r w:rsidR="009F79DE">
        <w:t>ía</w:t>
      </w:r>
      <w:r w:rsidR="00687B66">
        <w:t>n medir el grado de sa</w:t>
      </w:r>
      <w:r w:rsidR="009F79DE">
        <w:t>tisfacción de</w:t>
      </w:r>
      <w:r w:rsidR="00687B66">
        <w:t xml:space="preserve">l </w:t>
      </w:r>
      <w:r w:rsidR="0088549A">
        <w:t>AEA</w:t>
      </w:r>
      <w:r w:rsidR="00687B66">
        <w:t>.</w:t>
      </w:r>
    </w:p>
    <w:p w14:paraId="50F65241" w14:textId="77777777" w:rsidR="00687B66" w:rsidRDefault="00AD56EB" w:rsidP="00687B66">
      <w:pPr>
        <w:pStyle w:val="Cdetexto"/>
      </w:pPr>
      <w:r>
        <w:t xml:space="preserve">En el </w:t>
      </w:r>
      <w:proofErr w:type="spellStart"/>
      <w:r>
        <w:t>macroproceso</w:t>
      </w:r>
      <w:proofErr w:type="spellEnd"/>
      <w:r>
        <w:t xml:space="preserve"> “</w:t>
      </w:r>
      <w:r w:rsidR="00687B66">
        <w:t>Asistencia en la presentación de Proyectos Técnicos y Programas Integrales de Capacitación para la Implementación de la Reforma al Siste</w:t>
      </w:r>
      <w:r>
        <w:t xml:space="preserve">ma de Justicia Penal” </w:t>
      </w:r>
      <w:r w:rsidR="00687B66" w:rsidRPr="009E3D67">
        <w:t xml:space="preserve">se </w:t>
      </w:r>
      <w:r w:rsidR="00C66986">
        <w:t>consideraron</w:t>
      </w:r>
      <w:r w:rsidR="00687B66" w:rsidRPr="00B63283">
        <w:t xml:space="preserve"> las fases de producción y entrega de </w:t>
      </w:r>
      <w:r w:rsidR="00687B66">
        <w:t xml:space="preserve">los </w:t>
      </w:r>
      <w:r w:rsidR="00687B66" w:rsidRPr="00B63283">
        <w:t>componente</w:t>
      </w:r>
      <w:r w:rsidR="00687B66">
        <w:t xml:space="preserve">s del Pp. Si bien los procesos no </w:t>
      </w:r>
      <w:r w:rsidR="00C66986">
        <w:t>estuvieron</w:t>
      </w:r>
      <w:r w:rsidR="00687B66">
        <w:t xml:space="preserve"> normados, las labores que se lleva</w:t>
      </w:r>
      <w:r w:rsidR="00C66986">
        <w:t>ron</w:t>
      </w:r>
      <w:r w:rsidR="00687B66">
        <w:t xml:space="preserve"> a cabo se ejecuta</w:t>
      </w:r>
      <w:r w:rsidR="00C66986">
        <w:t>ron</w:t>
      </w:r>
      <w:r w:rsidR="00687B66">
        <w:t xml:space="preserve"> con tiempo suficiente y de manera eficiente, </w:t>
      </w:r>
      <w:r w:rsidR="00C66986">
        <w:t>lo que permitió</w:t>
      </w:r>
      <w:r w:rsidR="00687B66">
        <w:t xml:space="preserve"> </w:t>
      </w:r>
      <w:r w:rsidR="009F79DE">
        <w:t>que el</w:t>
      </w:r>
      <w:r w:rsidR="00687B66">
        <w:t xml:space="preserve"> AEO recibi</w:t>
      </w:r>
      <w:r w:rsidR="009F79DE">
        <w:t>e</w:t>
      </w:r>
      <w:r w:rsidR="00687B66">
        <w:t>r</w:t>
      </w:r>
      <w:r w:rsidR="009F79DE">
        <w:t>a</w:t>
      </w:r>
      <w:r w:rsidR="00687B66">
        <w:t xml:space="preserve"> los componentes en tiempo y forma.</w:t>
      </w:r>
    </w:p>
    <w:p w14:paraId="14BE6341" w14:textId="77777777" w:rsidR="00687B66" w:rsidRDefault="00687B66" w:rsidP="00687B66">
      <w:pPr>
        <w:pStyle w:val="Cdetexto"/>
      </w:pPr>
      <w:r>
        <w:t xml:space="preserve">Este </w:t>
      </w:r>
      <w:proofErr w:type="spellStart"/>
      <w:r>
        <w:t>macroproceso</w:t>
      </w:r>
      <w:proofErr w:type="spellEnd"/>
      <w:r>
        <w:t xml:space="preserve"> también c</w:t>
      </w:r>
      <w:r w:rsidR="009F79DE">
        <w:t>ont</w:t>
      </w:r>
      <w:r w:rsidR="00C66986">
        <w:t>ó</w:t>
      </w:r>
      <w:r>
        <w:t xml:space="preserve"> con evaluaciones y encuestas que permit</w:t>
      </w:r>
      <w:r w:rsidR="00C66986">
        <w:t>ieron</w:t>
      </w:r>
      <w:r>
        <w:t xml:space="preserve"> medir el grado de satisfacción de</w:t>
      </w:r>
      <w:r w:rsidR="009F79DE">
        <w:t>l</w:t>
      </w:r>
      <w:r>
        <w:t xml:space="preserve"> </w:t>
      </w:r>
      <w:r w:rsidR="0088549A">
        <w:t>AEA.</w:t>
      </w:r>
    </w:p>
    <w:p w14:paraId="66F26DB5" w14:textId="77777777" w:rsidR="00687B66" w:rsidRDefault="00694729" w:rsidP="00687B66">
      <w:pPr>
        <w:pStyle w:val="Cdetexto"/>
      </w:pPr>
      <w:r>
        <w:t xml:space="preserve">Los procesos involucrados en el </w:t>
      </w:r>
      <w:proofErr w:type="spellStart"/>
      <w:r>
        <w:t>macroproceso</w:t>
      </w:r>
      <w:proofErr w:type="spellEnd"/>
      <w:r>
        <w:t xml:space="preserve"> “Monitoreo y evaluación del avance en la Implementación de la Reforma al Sistema de Justicia Penal” </w:t>
      </w:r>
      <w:r w:rsidR="00C66986">
        <w:t>contribuyeron</w:t>
      </w:r>
      <w:r>
        <w:t xml:space="preserve"> a definir cómo se destinar</w:t>
      </w:r>
      <w:r w:rsidR="009F79DE">
        <w:t>ía</w:t>
      </w:r>
      <w:r>
        <w:t>n, para el siguiente ejercicio fiscal, los mo</w:t>
      </w:r>
      <w:r w:rsidR="001F3824">
        <w:t>ntos de los subsidios que otorgó</w:t>
      </w:r>
      <w:r>
        <w:t xml:space="preserve"> el </w:t>
      </w:r>
      <w:proofErr w:type="spellStart"/>
      <w:r>
        <w:t>Pp</w:t>
      </w:r>
      <w:proofErr w:type="spellEnd"/>
      <w:r>
        <w:t xml:space="preserve"> a las entidades federativas</w:t>
      </w:r>
      <w:r w:rsidR="001F3824">
        <w:t>.</w:t>
      </w:r>
    </w:p>
    <w:p w14:paraId="7D67A253" w14:textId="77777777" w:rsidR="00687B66" w:rsidRDefault="001F3824" w:rsidP="00687B66">
      <w:pPr>
        <w:pStyle w:val="Cdetexto"/>
      </w:pPr>
      <w:r>
        <w:lastRenderedPageBreak/>
        <w:t>Hubo</w:t>
      </w:r>
      <w:r w:rsidR="00687B66">
        <w:t xml:space="preserve"> una buena coordinación entre las áreas que </w:t>
      </w:r>
      <w:r>
        <w:t>ejecutaban</w:t>
      </w:r>
      <w:r w:rsidR="00687B66">
        <w:t xml:space="preserve"> los procesos, lo que permit</w:t>
      </w:r>
      <w:r>
        <w:t>ió</w:t>
      </w:r>
      <w:r w:rsidR="00687B66">
        <w:t xml:space="preserve"> que</w:t>
      </w:r>
      <w:r w:rsidR="009F1E24">
        <w:t>,</w:t>
      </w:r>
      <w:r w:rsidR="00687B66">
        <w:t xml:space="preserve"> pese a las cargas de trabajo y </w:t>
      </w:r>
      <w:r>
        <w:t xml:space="preserve">a </w:t>
      </w:r>
      <w:r w:rsidR="00687B66">
        <w:t>la necesidad de visitas de verificación, las actividades se llev</w:t>
      </w:r>
      <w:r w:rsidR="00080633">
        <w:t>ara</w:t>
      </w:r>
      <w:r w:rsidR="00687B66">
        <w:t>n a cabo en tiempo y forma.</w:t>
      </w:r>
    </w:p>
    <w:p w14:paraId="0BCB47BC" w14:textId="77777777" w:rsidR="00DA7487" w:rsidRDefault="00687B66" w:rsidP="00687B66">
      <w:pPr>
        <w:pStyle w:val="Cdetexto"/>
      </w:pPr>
      <w:r>
        <w:t>Se carec</w:t>
      </w:r>
      <w:r w:rsidR="001F3824">
        <w:t>ió</w:t>
      </w:r>
      <w:r>
        <w:t xml:space="preserve"> de sistemas informáticos que permit</w:t>
      </w:r>
      <w:r w:rsidR="00080633">
        <w:t>ier</w:t>
      </w:r>
      <w:r>
        <w:t>an la automatización de los procesos.</w:t>
      </w:r>
    </w:p>
    <w:p w14:paraId="108BBB43" w14:textId="77777777" w:rsidR="00DA7487" w:rsidRPr="00FC7306" w:rsidRDefault="00DA7487" w:rsidP="00DA7487">
      <w:pPr>
        <w:pStyle w:val="Cdetextonegrita"/>
      </w:pPr>
      <w:r w:rsidRPr="00FC7306">
        <w:t>Principales Recomendaciones</w:t>
      </w:r>
    </w:p>
    <w:p w14:paraId="5B9BA326" w14:textId="77777777" w:rsidR="00687B66" w:rsidRDefault="00687B66" w:rsidP="00687B66">
      <w:pPr>
        <w:pStyle w:val="Bala"/>
        <w:numPr>
          <w:ilvl w:val="0"/>
          <w:numId w:val="19"/>
        </w:numPr>
      </w:pPr>
      <w:r w:rsidRPr="000B3E11">
        <w:t>Compartir de manera ágil información que ya se tenga sistematiza</w:t>
      </w:r>
      <w:r>
        <w:t>da, a través de un área de soporte técnico que permita poner a disposición de todos los usuarios la información que requieren para el desempeño de sus actividades.</w:t>
      </w:r>
    </w:p>
    <w:p w14:paraId="7CCED047" w14:textId="77777777" w:rsidR="00687B66" w:rsidRDefault="00687B66" w:rsidP="00687B66">
      <w:pPr>
        <w:pStyle w:val="Bala"/>
        <w:numPr>
          <w:ilvl w:val="0"/>
          <w:numId w:val="19"/>
        </w:numPr>
      </w:pPr>
      <w:r w:rsidRPr="000B3E11">
        <w:t>Consolidar el marco de operación</w:t>
      </w:r>
      <w:r w:rsidR="009F1E24">
        <w:t xml:space="preserve"> del </w:t>
      </w:r>
      <w:proofErr w:type="spellStart"/>
      <w:r w:rsidR="009F1E24">
        <w:t>Pp</w:t>
      </w:r>
      <w:proofErr w:type="spellEnd"/>
      <w:r>
        <w:t>;</w:t>
      </w:r>
      <w:r w:rsidRPr="000B3E11">
        <w:t xml:space="preserve"> hace falta actualizar las versiones de </w:t>
      </w:r>
      <w:r>
        <w:t>los lineamientos y manuales</w:t>
      </w:r>
      <w:r w:rsidRPr="000B3E11">
        <w:t xml:space="preserve"> e incorporar l</w:t>
      </w:r>
      <w:r>
        <w:t>os procesos que aún no se tienen</w:t>
      </w:r>
      <w:r w:rsidRPr="000B3E11">
        <w:t xml:space="preserve"> registrados.</w:t>
      </w:r>
    </w:p>
    <w:p w14:paraId="25192E14" w14:textId="77777777" w:rsidR="00DA7487" w:rsidRDefault="00687B66" w:rsidP="00687B66">
      <w:pPr>
        <w:pStyle w:val="Bala"/>
        <w:numPr>
          <w:ilvl w:val="0"/>
          <w:numId w:val="19"/>
        </w:numPr>
      </w:pPr>
      <w:r w:rsidRPr="000B3E11">
        <w:t>Homogeneizar la información de los organigramas</w:t>
      </w:r>
      <w:r>
        <w:t xml:space="preserve"> para que coincidan con la verdadera estructura operativa.</w:t>
      </w:r>
    </w:p>
    <w:p w14:paraId="52097986" w14:textId="77777777" w:rsidR="00DA7487" w:rsidRDefault="00DA7487" w:rsidP="001B210A">
      <w:pPr>
        <w:pStyle w:val="Cdetexto"/>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DA7487" w:rsidRPr="00FC7306" w14:paraId="019BFFF3" w14:textId="77777777" w:rsidTr="00AA7139">
        <w:trPr>
          <w:trHeight w:val="675"/>
        </w:trPr>
        <w:tc>
          <w:tcPr>
            <w:tcW w:w="749" w:type="pct"/>
            <w:vAlign w:val="center"/>
          </w:tcPr>
          <w:p w14:paraId="5087F5BA" w14:textId="77777777" w:rsidR="00DA7487" w:rsidRPr="00FC7306" w:rsidRDefault="00DA7487" w:rsidP="00AA7139">
            <w:pPr>
              <w:spacing w:before="20" w:after="0"/>
              <w:ind w:left="170"/>
              <w:rPr>
                <w:b/>
                <w:sz w:val="16"/>
                <w:lang w:val="es-ES"/>
              </w:rPr>
            </w:pPr>
            <w:r w:rsidRPr="00FC7306">
              <w:rPr>
                <w:b/>
                <w:sz w:val="16"/>
                <w:lang w:val="es-ES"/>
              </w:rPr>
              <w:t>Evaluador Externo</w:t>
            </w:r>
            <w:r>
              <w:rPr>
                <w:b/>
                <w:sz w:val="16"/>
                <w:lang w:val="es-ES"/>
              </w:rPr>
              <w:t>:</w:t>
            </w:r>
          </w:p>
        </w:tc>
        <w:tc>
          <w:tcPr>
            <w:tcW w:w="4251" w:type="pct"/>
            <w:gridSpan w:val="3"/>
          </w:tcPr>
          <w:p w14:paraId="0AEAB791" w14:textId="77777777" w:rsidR="00DA7487" w:rsidRDefault="00DA7487" w:rsidP="00AA7139">
            <w:pPr>
              <w:spacing w:before="20" w:after="0"/>
              <w:ind w:left="113"/>
              <w:rPr>
                <w:sz w:val="16"/>
                <w:lang w:val="es-ES"/>
              </w:rPr>
            </w:pPr>
            <w:r w:rsidRPr="00FC7306">
              <w:rPr>
                <w:sz w:val="16"/>
                <w:lang w:val="es-ES"/>
              </w:rPr>
              <w:t>1. Instancia Evaluadora</w:t>
            </w:r>
            <w:r>
              <w:rPr>
                <w:sz w:val="16"/>
                <w:lang w:val="es-ES"/>
              </w:rPr>
              <w:t>:</w:t>
            </w:r>
            <w:r w:rsidRPr="00FC7306">
              <w:rPr>
                <w:sz w:val="16"/>
                <w:lang w:val="es-ES"/>
              </w:rPr>
              <w:t xml:space="preserve"> </w:t>
            </w:r>
            <w:proofErr w:type="spellStart"/>
            <w:r w:rsidR="00687B66" w:rsidRPr="00605C9B">
              <w:rPr>
                <w:sz w:val="16"/>
                <w:lang w:val="es-ES"/>
              </w:rPr>
              <w:t>Mulier</w:t>
            </w:r>
            <w:proofErr w:type="spellEnd"/>
            <w:r w:rsidR="00687B66" w:rsidRPr="00605C9B">
              <w:rPr>
                <w:sz w:val="16"/>
                <w:lang w:val="es-ES"/>
              </w:rPr>
              <w:t xml:space="preserve"> Servicios S.C.</w:t>
            </w:r>
          </w:p>
          <w:p w14:paraId="6990E4BB" w14:textId="77777777" w:rsidR="00DA7487" w:rsidRPr="00FC7306" w:rsidRDefault="00DA7487" w:rsidP="00AA7139">
            <w:pPr>
              <w:spacing w:before="20" w:after="0"/>
              <w:ind w:left="113"/>
              <w:rPr>
                <w:sz w:val="16"/>
                <w:lang w:val="es-ES"/>
              </w:rPr>
            </w:pPr>
            <w:r w:rsidRPr="00FC7306">
              <w:rPr>
                <w:sz w:val="16"/>
                <w:lang w:val="es-ES"/>
              </w:rPr>
              <w:t xml:space="preserve">2. Coordinador de la Evaluación: </w:t>
            </w:r>
            <w:r w:rsidR="00687B66" w:rsidRPr="00605C9B">
              <w:rPr>
                <w:sz w:val="16"/>
                <w:lang w:val="es-ES"/>
              </w:rPr>
              <w:t>Héctor Rodríguez Ramírez</w:t>
            </w:r>
          </w:p>
          <w:p w14:paraId="76A3B678" w14:textId="77777777" w:rsidR="00DA7487" w:rsidRPr="00FC7306" w:rsidRDefault="00DA7487" w:rsidP="00AA7139">
            <w:pPr>
              <w:spacing w:before="20" w:after="0"/>
              <w:ind w:left="113"/>
              <w:rPr>
                <w:sz w:val="16"/>
                <w:lang w:val="es-ES"/>
              </w:rPr>
            </w:pPr>
            <w:r w:rsidRPr="00FC7306">
              <w:rPr>
                <w:sz w:val="16"/>
                <w:lang w:val="es-ES"/>
              </w:rPr>
              <w:t xml:space="preserve">3. Forma de contratación: </w:t>
            </w:r>
            <w:r w:rsidR="00687B66">
              <w:rPr>
                <w:sz w:val="16"/>
                <w:lang w:val="es-ES"/>
              </w:rPr>
              <w:t>A</w:t>
            </w:r>
            <w:r w:rsidR="00687B66" w:rsidRPr="00605C9B">
              <w:rPr>
                <w:sz w:val="16"/>
                <w:lang w:val="es-ES"/>
              </w:rPr>
              <w:t>djudicación Directa de Carácter Nacional de Participación Mixta</w:t>
            </w:r>
          </w:p>
        </w:tc>
      </w:tr>
      <w:tr w:rsidR="00DA7487" w:rsidRPr="00FC7306" w14:paraId="1039E5E1" w14:textId="77777777" w:rsidTr="00AA7139">
        <w:trPr>
          <w:trHeight w:val="80"/>
        </w:trPr>
        <w:tc>
          <w:tcPr>
            <w:tcW w:w="749" w:type="pct"/>
            <w:vAlign w:val="center"/>
          </w:tcPr>
          <w:p w14:paraId="58B6C58C" w14:textId="77777777" w:rsidR="00DA7487" w:rsidRPr="00FC7306" w:rsidRDefault="00DA7487" w:rsidP="00AA7139">
            <w:pPr>
              <w:spacing w:before="20" w:after="0"/>
              <w:ind w:left="170"/>
              <w:rPr>
                <w:b/>
                <w:sz w:val="16"/>
                <w:lang w:val="es-ES"/>
              </w:rPr>
            </w:pPr>
          </w:p>
        </w:tc>
        <w:tc>
          <w:tcPr>
            <w:tcW w:w="4251" w:type="pct"/>
            <w:gridSpan w:val="3"/>
          </w:tcPr>
          <w:p w14:paraId="76C57582" w14:textId="77777777" w:rsidR="00DA7487" w:rsidRPr="00FC7306" w:rsidRDefault="00DA7487" w:rsidP="00AA7139">
            <w:pPr>
              <w:spacing w:before="20" w:after="0"/>
              <w:ind w:left="113"/>
              <w:rPr>
                <w:sz w:val="16"/>
                <w:lang w:val="es-ES"/>
              </w:rPr>
            </w:pPr>
          </w:p>
        </w:tc>
      </w:tr>
      <w:tr w:rsidR="00DA7487" w:rsidRPr="00FC7306" w14:paraId="663472BD" w14:textId="77777777" w:rsidTr="00AA7139">
        <w:tc>
          <w:tcPr>
            <w:tcW w:w="749" w:type="pct"/>
            <w:vAlign w:val="center"/>
          </w:tcPr>
          <w:p w14:paraId="1834A0B6" w14:textId="77777777" w:rsidR="00DA7487" w:rsidRPr="00FC7306" w:rsidRDefault="00DA7487" w:rsidP="00AA7139">
            <w:pPr>
              <w:spacing w:before="20" w:after="0"/>
              <w:ind w:left="170"/>
              <w:rPr>
                <w:b/>
                <w:sz w:val="16"/>
                <w:lang w:val="es-ES"/>
              </w:rPr>
            </w:pPr>
            <w:r w:rsidRPr="00FC7306">
              <w:rPr>
                <w:b/>
                <w:sz w:val="16"/>
                <w:lang w:val="es-ES"/>
              </w:rPr>
              <w:t>Costo:</w:t>
            </w:r>
          </w:p>
        </w:tc>
        <w:tc>
          <w:tcPr>
            <w:tcW w:w="1113" w:type="pct"/>
            <w:vAlign w:val="center"/>
          </w:tcPr>
          <w:p w14:paraId="360633E5" w14:textId="77777777" w:rsidR="00DA7487" w:rsidRPr="00FC7306" w:rsidRDefault="00DA7487" w:rsidP="00687B66">
            <w:pPr>
              <w:spacing w:before="20" w:after="0"/>
              <w:ind w:left="113"/>
              <w:rPr>
                <w:sz w:val="16"/>
                <w:lang w:val="es-ES"/>
              </w:rPr>
            </w:pPr>
            <w:r w:rsidRPr="00FC7306">
              <w:rPr>
                <w:sz w:val="16"/>
                <w:lang w:val="es-ES"/>
              </w:rPr>
              <w:t>$</w:t>
            </w:r>
            <w:r>
              <w:rPr>
                <w:sz w:val="16"/>
                <w:lang w:val="es-ES"/>
              </w:rPr>
              <w:t>5</w:t>
            </w:r>
            <w:r w:rsidR="00687B66">
              <w:rPr>
                <w:sz w:val="16"/>
                <w:lang w:val="es-ES"/>
              </w:rPr>
              <w:t>33</w:t>
            </w:r>
            <w:r w:rsidRPr="007816BF">
              <w:rPr>
                <w:sz w:val="16"/>
                <w:lang w:val="es-ES"/>
              </w:rPr>
              <w:t>,</w:t>
            </w:r>
            <w:r w:rsidR="00687B66">
              <w:rPr>
                <w:sz w:val="16"/>
                <w:lang w:val="es-ES"/>
              </w:rPr>
              <w:t>6</w:t>
            </w:r>
            <w:r w:rsidRPr="007816BF">
              <w:rPr>
                <w:sz w:val="16"/>
                <w:lang w:val="es-ES"/>
              </w:rPr>
              <w:t>00.00</w:t>
            </w:r>
            <w:r w:rsidRPr="00993F6E">
              <w:rPr>
                <w:sz w:val="16"/>
                <w:lang w:val="es-ES"/>
              </w:rPr>
              <w:t xml:space="preserve"> </w:t>
            </w:r>
            <w:r w:rsidRPr="00C8161B">
              <w:rPr>
                <w:sz w:val="16"/>
                <w:lang w:val="es-ES"/>
              </w:rPr>
              <w:t>IVA</w:t>
            </w:r>
            <w:r w:rsidR="00687B66">
              <w:rPr>
                <w:sz w:val="16"/>
                <w:lang w:val="es-ES"/>
              </w:rPr>
              <w:t xml:space="preserve"> incluido</w:t>
            </w:r>
          </w:p>
        </w:tc>
        <w:tc>
          <w:tcPr>
            <w:tcW w:w="904" w:type="pct"/>
            <w:vAlign w:val="center"/>
          </w:tcPr>
          <w:p w14:paraId="2701A080" w14:textId="77777777" w:rsidR="00DA7487" w:rsidRPr="00FC7306" w:rsidRDefault="00DA7487" w:rsidP="00AA7139">
            <w:pPr>
              <w:spacing w:before="20" w:after="0"/>
              <w:ind w:left="170"/>
              <w:rPr>
                <w:b/>
                <w:sz w:val="16"/>
                <w:lang w:val="es-ES"/>
              </w:rPr>
            </w:pPr>
            <w:r>
              <w:rPr>
                <w:b/>
                <w:sz w:val="16"/>
                <w:lang w:val="es-ES"/>
              </w:rPr>
              <w:t>Fuente de Financiamiento:</w:t>
            </w:r>
            <w:r w:rsidRPr="00FC7306">
              <w:rPr>
                <w:b/>
                <w:sz w:val="16"/>
                <w:lang w:val="es-ES"/>
              </w:rPr>
              <w:t xml:space="preserve"> </w:t>
            </w:r>
          </w:p>
        </w:tc>
        <w:tc>
          <w:tcPr>
            <w:tcW w:w="2234" w:type="pct"/>
            <w:vAlign w:val="center"/>
          </w:tcPr>
          <w:p w14:paraId="04770CD8" w14:textId="77777777" w:rsidR="00DA7487" w:rsidRPr="00FC7306" w:rsidRDefault="00DA7487" w:rsidP="00AA7139">
            <w:pPr>
              <w:spacing w:before="20" w:after="0"/>
              <w:rPr>
                <w:sz w:val="16"/>
                <w:lang w:val="es-ES"/>
              </w:rPr>
            </w:pPr>
            <w:r w:rsidRPr="008A45C7">
              <w:rPr>
                <w:sz w:val="16"/>
                <w:lang w:val="es-ES"/>
              </w:rPr>
              <w:t xml:space="preserve">Recursos </w:t>
            </w:r>
            <w:r>
              <w:rPr>
                <w:sz w:val="16"/>
                <w:lang w:val="es-ES"/>
              </w:rPr>
              <w:t>Fiscales</w:t>
            </w:r>
          </w:p>
        </w:tc>
      </w:tr>
      <w:tr w:rsidR="00DA7487" w:rsidRPr="00FC7306" w14:paraId="7C306EC3" w14:textId="77777777" w:rsidTr="00AA7139">
        <w:tc>
          <w:tcPr>
            <w:tcW w:w="749" w:type="pct"/>
            <w:tcBorders>
              <w:bottom w:val="single" w:sz="4" w:space="0" w:color="auto"/>
            </w:tcBorders>
            <w:vAlign w:val="bottom"/>
          </w:tcPr>
          <w:p w14:paraId="0522A650" w14:textId="77777777" w:rsidR="00DA7487" w:rsidRPr="00FC7306" w:rsidRDefault="00DA7487" w:rsidP="00AA7139">
            <w:pPr>
              <w:pStyle w:val="Textocuadroneg1"/>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14:paraId="1D5302E3" w14:textId="77777777" w:rsidR="00DA7487" w:rsidRPr="00FC7306" w:rsidRDefault="00DA7487" w:rsidP="00AA7139">
            <w:pPr>
              <w:pStyle w:val="Cdetexto"/>
              <w:spacing w:after="0"/>
              <w:jc w:val="center"/>
              <w:rPr>
                <w:sz w:val="14"/>
                <w:szCs w:val="14"/>
              </w:rPr>
            </w:pPr>
            <w:r w:rsidRPr="007816BF">
              <w:rPr>
                <w:sz w:val="16"/>
                <w:szCs w:val="14"/>
              </w:rPr>
              <w:t>SHCP</w:t>
            </w:r>
          </w:p>
        </w:tc>
        <w:tc>
          <w:tcPr>
            <w:tcW w:w="904" w:type="pct"/>
            <w:tcBorders>
              <w:bottom w:val="single" w:sz="4" w:space="0" w:color="auto"/>
            </w:tcBorders>
            <w:vAlign w:val="center"/>
          </w:tcPr>
          <w:p w14:paraId="14A27E4F" w14:textId="77777777" w:rsidR="00DA7487" w:rsidRPr="00FC7306" w:rsidRDefault="00DA7487" w:rsidP="00AA7139">
            <w:pPr>
              <w:pStyle w:val="Textocuadroneg1"/>
              <w:rPr>
                <w:sz w:val="16"/>
                <w:szCs w:val="16"/>
              </w:rPr>
            </w:pPr>
            <w:r w:rsidRPr="00FC7306">
              <w:rPr>
                <w:sz w:val="16"/>
                <w:szCs w:val="16"/>
              </w:rPr>
              <w:t>Informe completo</w:t>
            </w:r>
            <w:r>
              <w:rPr>
                <w:sz w:val="16"/>
                <w:szCs w:val="16"/>
              </w:rPr>
              <w:t>:</w:t>
            </w:r>
          </w:p>
        </w:tc>
        <w:tc>
          <w:tcPr>
            <w:tcW w:w="2234" w:type="pct"/>
            <w:tcBorders>
              <w:bottom w:val="single" w:sz="4" w:space="0" w:color="auto"/>
            </w:tcBorders>
            <w:vAlign w:val="center"/>
          </w:tcPr>
          <w:p w14:paraId="38D446E2" w14:textId="77777777" w:rsidR="00DA7487" w:rsidRPr="00FC7306" w:rsidRDefault="00DA7487" w:rsidP="00AA7139">
            <w:pPr>
              <w:pStyle w:val="Textocuadro1"/>
              <w:rPr>
                <w:sz w:val="16"/>
                <w:szCs w:val="16"/>
              </w:rPr>
            </w:pPr>
            <w:r w:rsidRPr="00FC7306">
              <w:rPr>
                <w:sz w:val="16"/>
                <w:szCs w:val="16"/>
              </w:rPr>
              <w:t>Disponible en:</w:t>
            </w:r>
          </w:p>
          <w:p w14:paraId="42B0300E" w14:textId="77777777" w:rsidR="00DA7487" w:rsidRPr="00FC7306" w:rsidRDefault="00DA7487" w:rsidP="00AA7139">
            <w:pPr>
              <w:pStyle w:val="Textocuadro1"/>
              <w:rPr>
                <w:sz w:val="16"/>
                <w:szCs w:val="16"/>
              </w:rPr>
            </w:pPr>
            <w:r w:rsidRPr="00FC7306">
              <w:rPr>
                <w:sz w:val="16"/>
                <w:szCs w:val="16"/>
              </w:rPr>
              <w:t>http://www.transparenciapresupuestaria.gob.mx/</w:t>
            </w:r>
          </w:p>
        </w:tc>
      </w:tr>
    </w:tbl>
    <w:p w14:paraId="69161B55" w14:textId="77777777" w:rsidR="00DA7487" w:rsidRDefault="00DA7487" w:rsidP="001B210A">
      <w:pPr>
        <w:pStyle w:val="Cdetexto"/>
        <w:rPr>
          <w:lang w:val="es-ES_tradnl"/>
        </w:rPr>
      </w:pPr>
    </w:p>
    <w:tbl>
      <w:tblPr>
        <w:tblStyle w:val="Tablaconcuadrcula32"/>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4611CE" w:rsidRPr="00FC7306" w14:paraId="3ED8D244" w14:textId="77777777" w:rsidTr="00BB70D8">
        <w:trPr>
          <w:trHeight w:val="358"/>
          <w:jc w:val="center"/>
        </w:trPr>
        <w:tc>
          <w:tcPr>
            <w:tcW w:w="9923" w:type="dxa"/>
            <w:gridSpan w:val="5"/>
            <w:shd w:val="clear" w:color="auto" w:fill="D6E3BC" w:themeFill="accent3" w:themeFillTint="66"/>
            <w:vAlign w:val="center"/>
          </w:tcPr>
          <w:p w14:paraId="10238CAF" w14:textId="77777777" w:rsidR="004611CE" w:rsidRPr="000203DE" w:rsidRDefault="004611CE" w:rsidP="004611CE">
            <w:pPr>
              <w:pStyle w:val="CABEZA"/>
              <w:ind w:left="0"/>
              <w:rPr>
                <w:lang w:val="es-MX"/>
              </w:rPr>
            </w:pPr>
            <w:r w:rsidRPr="00282C72">
              <w:rPr>
                <w:lang w:val="es-MX"/>
              </w:rPr>
              <w:br w:type="page"/>
            </w:r>
            <w:r w:rsidRPr="006C2077">
              <w:rPr>
                <w:lang w:val="es-MX"/>
              </w:rPr>
              <w:t xml:space="preserve">Ramo </w:t>
            </w:r>
            <w:r>
              <w:rPr>
                <w:lang w:val="es-MX"/>
              </w:rPr>
              <w:t xml:space="preserve">04 </w:t>
            </w:r>
            <w:r w:rsidRPr="000203DE">
              <w:rPr>
                <w:lang w:val="es-MX"/>
              </w:rPr>
              <w:t xml:space="preserve">– </w:t>
            </w:r>
            <w:r>
              <w:rPr>
                <w:lang w:val="es-MX"/>
              </w:rPr>
              <w:t>Gobernación</w:t>
            </w:r>
          </w:p>
        </w:tc>
      </w:tr>
      <w:tr w:rsidR="004611CE" w:rsidRPr="00FC7306" w14:paraId="7CAEA766" w14:textId="77777777" w:rsidTr="00BB70D8">
        <w:trPr>
          <w:jc w:val="center"/>
        </w:trPr>
        <w:tc>
          <w:tcPr>
            <w:tcW w:w="1359" w:type="dxa"/>
            <w:shd w:val="clear" w:color="auto" w:fill="D9D9D9" w:themeFill="background1" w:themeFillShade="D9"/>
          </w:tcPr>
          <w:p w14:paraId="1F07597D" w14:textId="77777777" w:rsidR="004611CE" w:rsidRPr="00FC7306" w:rsidRDefault="004611CE" w:rsidP="00BB70D8">
            <w:pPr>
              <w:spacing w:before="20"/>
              <w:rPr>
                <w:b/>
                <w:sz w:val="16"/>
                <w:lang w:val="es-ES"/>
              </w:rPr>
            </w:pPr>
            <w:r w:rsidRPr="00FC7306">
              <w:rPr>
                <w:b/>
                <w:sz w:val="16"/>
                <w:lang w:val="es-ES"/>
              </w:rPr>
              <w:t xml:space="preserve">Clave del </w:t>
            </w:r>
            <w:proofErr w:type="spellStart"/>
            <w:r w:rsidRPr="00FC7306">
              <w:rPr>
                <w:b/>
                <w:sz w:val="16"/>
                <w:lang w:val="es-ES"/>
              </w:rPr>
              <w:t>Pp</w:t>
            </w:r>
            <w:proofErr w:type="spellEnd"/>
            <w:r w:rsidRPr="00FC7306">
              <w:rPr>
                <w:b/>
                <w:sz w:val="16"/>
                <w:lang w:val="es-ES"/>
              </w:rPr>
              <w:t>:</w:t>
            </w:r>
          </w:p>
        </w:tc>
        <w:tc>
          <w:tcPr>
            <w:tcW w:w="734" w:type="dxa"/>
            <w:shd w:val="clear" w:color="auto" w:fill="D9D9D9" w:themeFill="background1" w:themeFillShade="D9"/>
          </w:tcPr>
          <w:p w14:paraId="7800E1A1" w14:textId="77777777" w:rsidR="004611CE" w:rsidRPr="00FC7306" w:rsidRDefault="004611CE" w:rsidP="00BB70D8">
            <w:pPr>
              <w:contextualSpacing/>
              <w:rPr>
                <w:sz w:val="16"/>
                <w:szCs w:val="16"/>
                <w:lang w:val="es-ES" w:eastAsia="en-US"/>
              </w:rPr>
            </w:pPr>
            <w:r>
              <w:rPr>
                <w:sz w:val="16"/>
                <w:szCs w:val="16"/>
                <w:lang w:val="es-ES" w:eastAsia="en-US"/>
              </w:rPr>
              <w:t>U007</w:t>
            </w:r>
          </w:p>
        </w:tc>
        <w:tc>
          <w:tcPr>
            <w:tcW w:w="1701" w:type="dxa"/>
            <w:gridSpan w:val="2"/>
            <w:shd w:val="clear" w:color="auto" w:fill="D9D9D9" w:themeFill="background1" w:themeFillShade="D9"/>
          </w:tcPr>
          <w:p w14:paraId="54DCD9CB" w14:textId="77777777" w:rsidR="004611CE" w:rsidRPr="00FC7306" w:rsidRDefault="004611CE" w:rsidP="00BB70D8">
            <w:pPr>
              <w:spacing w:before="20"/>
              <w:rPr>
                <w:b/>
                <w:sz w:val="16"/>
                <w:lang w:val="es-ES"/>
              </w:rPr>
            </w:pPr>
            <w:r w:rsidRPr="00FC7306">
              <w:rPr>
                <w:b/>
                <w:sz w:val="16"/>
                <w:lang w:val="es-ES"/>
              </w:rPr>
              <w:t>Denominación:</w:t>
            </w:r>
          </w:p>
        </w:tc>
        <w:tc>
          <w:tcPr>
            <w:tcW w:w="6129" w:type="dxa"/>
            <w:shd w:val="clear" w:color="auto" w:fill="D9D9D9" w:themeFill="background1" w:themeFillShade="D9"/>
          </w:tcPr>
          <w:p w14:paraId="379C27C6" w14:textId="77777777" w:rsidR="004611CE" w:rsidRPr="00FC7306" w:rsidRDefault="004611CE" w:rsidP="00BB70D8">
            <w:pPr>
              <w:contextualSpacing/>
              <w:rPr>
                <w:sz w:val="16"/>
                <w:szCs w:val="16"/>
                <w:lang w:eastAsia="en-US"/>
              </w:rPr>
            </w:pPr>
            <w:r w:rsidRPr="00487D4F">
              <w:rPr>
                <w:sz w:val="16"/>
                <w:szCs w:val="16"/>
                <w:lang w:val="es-ES" w:eastAsia="en-US"/>
              </w:rPr>
              <w:t>Subsidios en materia de seguridad pública</w:t>
            </w:r>
          </w:p>
        </w:tc>
      </w:tr>
      <w:tr w:rsidR="004611CE" w:rsidRPr="00FC7306" w14:paraId="11CF4DFA" w14:textId="77777777" w:rsidTr="00BB70D8">
        <w:trPr>
          <w:jc w:val="center"/>
        </w:trPr>
        <w:tc>
          <w:tcPr>
            <w:tcW w:w="2778" w:type="dxa"/>
            <w:gridSpan w:val="3"/>
          </w:tcPr>
          <w:p w14:paraId="5358F767" w14:textId="77777777" w:rsidR="004611CE" w:rsidRPr="00FC7306" w:rsidRDefault="004611CE" w:rsidP="00BB70D8">
            <w:pPr>
              <w:spacing w:before="20"/>
              <w:rPr>
                <w:b/>
                <w:sz w:val="16"/>
                <w:lang w:val="es-ES"/>
              </w:rPr>
            </w:pPr>
            <w:r>
              <w:rPr>
                <w:b/>
                <w:sz w:val="16"/>
                <w:lang w:val="es-ES"/>
              </w:rPr>
              <w:t>Unidades Administrativas:</w:t>
            </w:r>
          </w:p>
        </w:tc>
        <w:tc>
          <w:tcPr>
            <w:tcW w:w="7145" w:type="dxa"/>
            <w:gridSpan w:val="2"/>
          </w:tcPr>
          <w:p w14:paraId="1718144B" w14:textId="77777777" w:rsidR="004611CE" w:rsidRPr="00087CC8" w:rsidRDefault="004611CE" w:rsidP="00BB70D8">
            <w:pPr>
              <w:spacing w:before="20" w:after="0"/>
              <w:rPr>
                <w:sz w:val="16"/>
                <w:highlight w:val="green"/>
                <w:lang w:val="es-ES"/>
              </w:rPr>
            </w:pPr>
            <w:r w:rsidRPr="00487D4F">
              <w:rPr>
                <w:rFonts w:eastAsia="Times New Roman"/>
                <w:sz w:val="16"/>
                <w:szCs w:val="16"/>
                <w:lang w:val="es-MX" w:eastAsia="en-US"/>
              </w:rPr>
              <w:t>Secretariado Ejecutivo del Sistema Nacional de Seguridad Pública</w:t>
            </w:r>
          </w:p>
        </w:tc>
      </w:tr>
      <w:tr w:rsidR="004611CE" w:rsidRPr="00FC7306" w14:paraId="085A5F8D" w14:textId="77777777" w:rsidTr="00BB70D8">
        <w:trPr>
          <w:jc w:val="center"/>
        </w:trPr>
        <w:tc>
          <w:tcPr>
            <w:tcW w:w="2778" w:type="dxa"/>
            <w:gridSpan w:val="3"/>
          </w:tcPr>
          <w:p w14:paraId="58EF234B" w14:textId="77777777" w:rsidR="004611CE" w:rsidRPr="00FC7306" w:rsidRDefault="004611CE" w:rsidP="00BB70D8">
            <w:pPr>
              <w:spacing w:before="20"/>
              <w:rPr>
                <w:b/>
                <w:sz w:val="16"/>
                <w:lang w:val="es-ES"/>
              </w:rPr>
            </w:pPr>
            <w:r w:rsidRPr="00FC7306">
              <w:rPr>
                <w:b/>
                <w:sz w:val="16"/>
                <w:lang w:val="es-ES"/>
              </w:rPr>
              <w:t>Responsable</w:t>
            </w:r>
            <w:r>
              <w:rPr>
                <w:b/>
                <w:sz w:val="16"/>
                <w:lang w:val="es-ES"/>
              </w:rPr>
              <w:t>s:</w:t>
            </w:r>
          </w:p>
        </w:tc>
        <w:tc>
          <w:tcPr>
            <w:tcW w:w="7145" w:type="dxa"/>
            <w:gridSpan w:val="2"/>
          </w:tcPr>
          <w:p w14:paraId="6929EC47" w14:textId="77777777" w:rsidR="004611CE" w:rsidRPr="00087CC8" w:rsidRDefault="004611CE" w:rsidP="00BB70D8">
            <w:pPr>
              <w:spacing w:before="20" w:after="0"/>
              <w:rPr>
                <w:sz w:val="16"/>
                <w:highlight w:val="green"/>
                <w:lang w:val="es-ES"/>
              </w:rPr>
            </w:pPr>
            <w:r w:rsidRPr="00487D4F">
              <w:rPr>
                <w:rFonts w:eastAsia="Times New Roman"/>
                <w:sz w:val="16"/>
                <w:szCs w:val="16"/>
                <w:lang w:val="es-MX" w:eastAsia="en-US"/>
              </w:rPr>
              <w:t>Álvaro Vizcaíno Zamora</w:t>
            </w:r>
          </w:p>
        </w:tc>
      </w:tr>
      <w:tr w:rsidR="004611CE" w:rsidRPr="00FC7306" w14:paraId="1A53725E" w14:textId="77777777" w:rsidTr="00BB70D8">
        <w:trPr>
          <w:jc w:val="center"/>
        </w:trPr>
        <w:tc>
          <w:tcPr>
            <w:tcW w:w="2778" w:type="dxa"/>
            <w:gridSpan w:val="3"/>
            <w:tcBorders>
              <w:bottom w:val="single" w:sz="4" w:space="0" w:color="auto"/>
            </w:tcBorders>
            <w:shd w:val="clear" w:color="auto" w:fill="D9D9D9" w:themeFill="background1" w:themeFillShade="D9"/>
          </w:tcPr>
          <w:p w14:paraId="0E104C16" w14:textId="77777777" w:rsidR="004611CE" w:rsidRPr="00FC7306" w:rsidRDefault="004611CE" w:rsidP="00BB70D8">
            <w:pPr>
              <w:spacing w:before="20"/>
              <w:rPr>
                <w:b/>
                <w:sz w:val="16"/>
                <w:lang w:val="es-ES"/>
              </w:rPr>
            </w:pPr>
            <w:r w:rsidRPr="00FC7306">
              <w:rPr>
                <w:b/>
                <w:sz w:val="16"/>
                <w:lang w:val="es-ES"/>
              </w:rPr>
              <w:t>Tipo de Evaluación</w:t>
            </w:r>
            <w:r>
              <w:rPr>
                <w:b/>
                <w:sz w:val="16"/>
                <w:lang w:val="es-ES"/>
              </w:rPr>
              <w:t>:</w:t>
            </w:r>
          </w:p>
        </w:tc>
        <w:tc>
          <w:tcPr>
            <w:tcW w:w="7145" w:type="dxa"/>
            <w:gridSpan w:val="2"/>
            <w:tcBorders>
              <w:bottom w:val="single" w:sz="4" w:space="0" w:color="auto"/>
            </w:tcBorders>
            <w:shd w:val="clear" w:color="auto" w:fill="D9D9D9" w:themeFill="background1" w:themeFillShade="D9"/>
          </w:tcPr>
          <w:p w14:paraId="2243B3BF" w14:textId="77777777" w:rsidR="004611CE" w:rsidRPr="00FC7306" w:rsidRDefault="004611CE" w:rsidP="00BB70D8">
            <w:pPr>
              <w:spacing w:before="20"/>
              <w:rPr>
                <w:sz w:val="16"/>
                <w:lang w:val="es-ES"/>
              </w:rPr>
            </w:pPr>
            <w:r>
              <w:rPr>
                <w:sz w:val="16"/>
                <w:lang w:val="es-ES"/>
              </w:rPr>
              <w:t>Procesos, PAE 2017</w:t>
            </w:r>
          </w:p>
        </w:tc>
      </w:tr>
    </w:tbl>
    <w:p w14:paraId="0E573AAC" w14:textId="77777777" w:rsidR="004611CE" w:rsidRDefault="004611CE" w:rsidP="001B210A">
      <w:pPr>
        <w:pStyle w:val="Cdetexto"/>
        <w:rPr>
          <w:lang w:val="es-ES_tradnl"/>
        </w:rPr>
      </w:pPr>
    </w:p>
    <w:p w14:paraId="437286A4" w14:textId="77777777" w:rsidR="004611CE" w:rsidRPr="004611CE" w:rsidRDefault="004611CE" w:rsidP="004611CE">
      <w:pPr>
        <w:pStyle w:val="Cdetexto"/>
        <w:rPr>
          <w:b/>
          <w:lang w:val="es-ES_tradnl"/>
        </w:rPr>
      </w:pPr>
      <w:r w:rsidRPr="004611CE">
        <w:rPr>
          <w:b/>
          <w:lang w:val="es-ES_tradnl"/>
        </w:rPr>
        <w:t xml:space="preserve">Descripción del </w:t>
      </w:r>
      <w:proofErr w:type="spellStart"/>
      <w:r w:rsidRPr="004611CE">
        <w:rPr>
          <w:b/>
          <w:lang w:val="es-ES_tradnl"/>
        </w:rPr>
        <w:t>Pp</w:t>
      </w:r>
      <w:proofErr w:type="spellEnd"/>
    </w:p>
    <w:p w14:paraId="1BA41739" w14:textId="77777777" w:rsidR="004611CE" w:rsidRPr="004611CE" w:rsidRDefault="004611CE" w:rsidP="004611CE">
      <w:pPr>
        <w:pStyle w:val="Cdetexto"/>
        <w:rPr>
          <w:lang w:val="es-ES_tradnl"/>
        </w:rPr>
      </w:pPr>
      <w:r w:rsidRPr="004611CE">
        <w:rPr>
          <w:lang w:val="es-ES_tradnl"/>
        </w:rPr>
        <w:t xml:space="preserve">El </w:t>
      </w:r>
      <w:proofErr w:type="spellStart"/>
      <w:r w:rsidRPr="004611CE">
        <w:rPr>
          <w:lang w:val="es-ES_tradnl"/>
        </w:rPr>
        <w:t>Pp</w:t>
      </w:r>
      <w:proofErr w:type="spellEnd"/>
      <w:r w:rsidRPr="004611CE">
        <w:rPr>
          <w:lang w:val="es-ES_tradnl"/>
        </w:rPr>
        <w:t xml:space="preserve"> es el resultado de la fusión </w:t>
      </w:r>
      <w:r w:rsidR="00A92B1F">
        <w:rPr>
          <w:lang w:val="es-ES_tradnl"/>
        </w:rPr>
        <w:t>para el ejercicio fiscal</w:t>
      </w:r>
      <w:r w:rsidRPr="004611CE">
        <w:rPr>
          <w:lang w:val="es-ES_tradnl"/>
        </w:rPr>
        <w:t xml:space="preserve"> 2016 de dos </w:t>
      </w:r>
      <w:proofErr w:type="spellStart"/>
      <w:r w:rsidR="00A92B1F">
        <w:rPr>
          <w:lang w:val="es-ES_tradnl"/>
        </w:rPr>
        <w:t>Pp</w:t>
      </w:r>
      <w:proofErr w:type="spellEnd"/>
      <w:r w:rsidRPr="004611CE">
        <w:rPr>
          <w:lang w:val="es-ES_tradnl"/>
        </w:rPr>
        <w:t xml:space="preserve">: U002 Otorgamiento de subsidios en materia de Seguridad Pública a Entidades Federativas, Municipios y el Distrito Federal y el </w:t>
      </w:r>
      <w:proofErr w:type="spellStart"/>
      <w:r w:rsidRPr="004611CE">
        <w:rPr>
          <w:lang w:val="es-ES_tradnl"/>
        </w:rPr>
        <w:t>Pp</w:t>
      </w:r>
      <w:proofErr w:type="spellEnd"/>
      <w:r w:rsidRPr="004611CE">
        <w:rPr>
          <w:lang w:val="es-ES_tradnl"/>
        </w:rPr>
        <w:t xml:space="preserve"> U003 Otorgamiento de subsidios para las Entidades Federativas para el fortalecimiento de las Instituciones de Seguridad Pública en Materia de Mando Policial.</w:t>
      </w:r>
    </w:p>
    <w:p w14:paraId="011BB0CA" w14:textId="77777777" w:rsidR="004611CE" w:rsidRPr="004611CE" w:rsidRDefault="004611CE" w:rsidP="004611CE">
      <w:pPr>
        <w:pStyle w:val="Cdetexto"/>
        <w:rPr>
          <w:lang w:val="es-ES_tradnl"/>
        </w:rPr>
      </w:pPr>
      <w:r w:rsidRPr="004611CE">
        <w:rPr>
          <w:lang w:val="es-ES_tradnl"/>
        </w:rPr>
        <w:t xml:space="preserve">El problema que busca solucionar el </w:t>
      </w:r>
      <w:proofErr w:type="spellStart"/>
      <w:r w:rsidRPr="004611CE">
        <w:rPr>
          <w:lang w:val="es-ES_tradnl"/>
        </w:rPr>
        <w:t>Pp</w:t>
      </w:r>
      <w:proofErr w:type="spellEnd"/>
      <w:r w:rsidRPr="004611CE">
        <w:rPr>
          <w:lang w:val="es-ES_tradnl"/>
        </w:rPr>
        <w:t xml:space="preserve"> es el siguiente: “Deficiencias de equipamiento, profesionalización, infraestructura, percepciones salariales y en materia de prevención social de la violencia y la delincuencia por parte de las instituciones de seguridad pública municipales, lo que les impedía realizar</w:t>
      </w:r>
      <w:r>
        <w:rPr>
          <w:lang w:val="es-ES_tradnl"/>
        </w:rPr>
        <w:t xml:space="preserve"> de manera efectiva sus tareas”.</w:t>
      </w:r>
    </w:p>
    <w:p w14:paraId="1E59E903" w14:textId="77777777" w:rsidR="004611CE" w:rsidRPr="004611CE" w:rsidRDefault="004611CE" w:rsidP="004611CE">
      <w:pPr>
        <w:pStyle w:val="Cdetexto"/>
        <w:rPr>
          <w:lang w:val="es-ES_tradnl"/>
        </w:rPr>
      </w:pPr>
      <w:r w:rsidRPr="004611CE">
        <w:rPr>
          <w:lang w:val="es-ES_tradnl"/>
        </w:rPr>
        <w:t xml:space="preserve">El fin del </w:t>
      </w:r>
      <w:proofErr w:type="spellStart"/>
      <w:r w:rsidRPr="004611CE">
        <w:rPr>
          <w:lang w:val="es-ES_tradnl"/>
        </w:rPr>
        <w:t>Pp</w:t>
      </w:r>
      <w:proofErr w:type="spellEnd"/>
      <w:r w:rsidRPr="004611CE">
        <w:rPr>
          <w:lang w:val="es-ES_tradnl"/>
        </w:rPr>
        <w:t xml:space="preserve"> es “Contribuir a mejorar las condiciones de seguridad y justicia mediante el fortalecimiento de las instituciones de seguridad pública municipales de los beneficiarios de</w:t>
      </w:r>
      <w:r w:rsidR="00080633">
        <w:rPr>
          <w:lang w:val="es-ES_tradnl"/>
        </w:rPr>
        <w:t xml:space="preserve">l </w:t>
      </w:r>
      <w:r w:rsidR="00080633">
        <w:rPr>
          <w:lang w:val="es-ES_tradnl"/>
        </w:rPr>
        <w:lastRenderedPageBreak/>
        <w:t xml:space="preserve">subsidio y la implementación </w:t>
      </w:r>
      <w:r w:rsidRPr="004611CE">
        <w:rPr>
          <w:lang w:val="es-ES_tradnl"/>
        </w:rPr>
        <w:t xml:space="preserve">de Programas con Prioridad Nacional, aprobados por el Consejo </w:t>
      </w:r>
      <w:r w:rsidR="009F1E24">
        <w:rPr>
          <w:lang w:val="es-ES_tradnl"/>
        </w:rPr>
        <w:t>Nacional de Seguridad Pública”.</w:t>
      </w:r>
    </w:p>
    <w:p w14:paraId="7A4CD155" w14:textId="77777777" w:rsidR="004611CE" w:rsidRPr="004611CE" w:rsidRDefault="004611CE" w:rsidP="004611CE">
      <w:pPr>
        <w:pStyle w:val="Cdetexto"/>
        <w:rPr>
          <w:lang w:val="es-ES_tradnl"/>
        </w:rPr>
      </w:pPr>
      <w:r w:rsidRPr="004611CE">
        <w:rPr>
          <w:lang w:val="es-ES_tradnl"/>
        </w:rPr>
        <w:t xml:space="preserve">El propósito definido para el </w:t>
      </w:r>
      <w:proofErr w:type="spellStart"/>
      <w:r w:rsidRPr="004611CE">
        <w:rPr>
          <w:lang w:val="es-ES_tradnl"/>
        </w:rPr>
        <w:t>Pp</w:t>
      </w:r>
      <w:proofErr w:type="spellEnd"/>
      <w:r w:rsidRPr="004611CE">
        <w:rPr>
          <w:lang w:val="es-ES_tradnl"/>
        </w:rPr>
        <w:t xml:space="preserve"> es “Las instituciones de seguridad pública municipales de los beneficiarios del subsidio se fortalecen al contar con elementos con características para ser certificados (aprobación en control de confianza, en desempeño y en competencias básicas)”.</w:t>
      </w:r>
    </w:p>
    <w:p w14:paraId="7007ACE3" w14:textId="77777777" w:rsidR="004611CE" w:rsidRPr="004611CE" w:rsidRDefault="004611CE" w:rsidP="004611CE">
      <w:pPr>
        <w:pStyle w:val="Cdetexto"/>
        <w:rPr>
          <w:lang w:val="es-ES_tradnl"/>
        </w:rPr>
      </w:pPr>
      <w:r w:rsidRPr="004611CE">
        <w:rPr>
          <w:lang w:val="es-ES_tradnl"/>
        </w:rPr>
        <w:t xml:space="preserve">El </w:t>
      </w:r>
      <w:proofErr w:type="spellStart"/>
      <w:r w:rsidRPr="004611CE">
        <w:rPr>
          <w:lang w:val="es-ES_tradnl"/>
        </w:rPr>
        <w:t>AEPo</w:t>
      </w:r>
      <w:proofErr w:type="spellEnd"/>
      <w:r w:rsidRPr="004611CE">
        <w:rPr>
          <w:lang w:val="es-ES_tradnl"/>
        </w:rPr>
        <w:t xml:space="preserve"> son “</w:t>
      </w:r>
      <w:r w:rsidR="001B0B93">
        <w:rPr>
          <w:lang w:val="es-ES_tradnl"/>
        </w:rPr>
        <w:t>L</w:t>
      </w:r>
      <w:r w:rsidRPr="004611CE">
        <w:rPr>
          <w:lang w:val="es-ES_tradnl"/>
        </w:rPr>
        <w:t xml:space="preserve">as 32 entidades federativas y 2,461 municipios o demarcaciones </w:t>
      </w:r>
      <w:r w:rsidR="009F1E24">
        <w:rPr>
          <w:lang w:val="es-ES_tradnl"/>
        </w:rPr>
        <w:t>territoriales que las conforman</w:t>
      </w:r>
      <w:r w:rsidRPr="004611CE">
        <w:rPr>
          <w:lang w:val="es-ES_tradnl"/>
        </w:rPr>
        <w:t>”</w:t>
      </w:r>
      <w:r w:rsidR="009F1E24">
        <w:rPr>
          <w:lang w:val="es-ES_tradnl"/>
        </w:rPr>
        <w:t>.</w:t>
      </w:r>
      <w:r w:rsidRPr="004611CE">
        <w:rPr>
          <w:lang w:val="es-ES_tradnl"/>
        </w:rPr>
        <w:t xml:space="preserve"> Por otro lado, el AEO son “300 beneficiarios (municipios, demarcaciones territoriales y entidades federativas) que ejerzan de manera directa o coordinada la función de seguridad </w:t>
      </w:r>
      <w:r>
        <w:rPr>
          <w:lang w:val="es-ES_tradnl"/>
        </w:rPr>
        <w:t>pública en el ámbito municipal”.</w:t>
      </w:r>
    </w:p>
    <w:p w14:paraId="71808490" w14:textId="77777777" w:rsidR="004611CE" w:rsidRPr="004611CE" w:rsidRDefault="004611CE" w:rsidP="004611CE">
      <w:pPr>
        <w:pStyle w:val="Cdetexto"/>
        <w:rPr>
          <w:lang w:val="es-ES_tradnl"/>
        </w:rPr>
      </w:pPr>
      <w:r w:rsidRPr="004611CE">
        <w:rPr>
          <w:lang w:val="es-ES_tradnl"/>
        </w:rPr>
        <w:t xml:space="preserve">El </w:t>
      </w:r>
      <w:proofErr w:type="spellStart"/>
      <w:r w:rsidRPr="004611CE">
        <w:rPr>
          <w:lang w:val="es-ES_tradnl"/>
        </w:rPr>
        <w:t>Pp</w:t>
      </w:r>
      <w:proofErr w:type="spellEnd"/>
      <w:r w:rsidRPr="004611CE">
        <w:rPr>
          <w:lang w:val="es-ES_tradnl"/>
        </w:rPr>
        <w:t xml:space="preserve"> está vinculado a la Meta Nacional I. México en Paz</w:t>
      </w:r>
      <w:r w:rsidR="009F1E24" w:rsidRPr="009F1E24">
        <w:rPr>
          <w:lang w:val="es-ES_tradnl"/>
        </w:rPr>
        <w:t xml:space="preserve"> </w:t>
      </w:r>
      <w:r w:rsidR="009F1E24" w:rsidRPr="004611CE">
        <w:rPr>
          <w:lang w:val="es-ES_tradnl"/>
        </w:rPr>
        <w:t>del PND</w:t>
      </w:r>
      <w:r w:rsidRPr="004611CE">
        <w:rPr>
          <w:lang w:val="es-ES_tradnl"/>
        </w:rPr>
        <w:t>, a través del Objetivo 1.3</w:t>
      </w:r>
      <w:r w:rsidR="009F1E24">
        <w:rPr>
          <w:lang w:val="es-ES_tradnl"/>
        </w:rPr>
        <w:t>.</w:t>
      </w:r>
      <w:r w:rsidRPr="004611CE">
        <w:rPr>
          <w:lang w:val="es-ES_tradnl"/>
        </w:rPr>
        <w:t xml:space="preserve"> Mejorar las condiciones de seguridad pública. Asimismo, está alineado al PSG a través del Objetivo 2. Mejorar las condici</w:t>
      </w:r>
      <w:r w:rsidR="00080633">
        <w:rPr>
          <w:lang w:val="es-ES_tradnl"/>
        </w:rPr>
        <w:t>ones de seguridad y justicia, y a</w:t>
      </w:r>
      <w:r w:rsidRPr="004611CE">
        <w:rPr>
          <w:lang w:val="es-ES_tradnl"/>
        </w:rPr>
        <w:t>l Objetivo 5. Fortalecer las capacidades de las instituciones policiales del PNSP.</w:t>
      </w:r>
    </w:p>
    <w:p w14:paraId="6A6A6B24" w14:textId="77777777" w:rsidR="004611CE" w:rsidRPr="004611CE" w:rsidRDefault="004611CE" w:rsidP="004611CE">
      <w:pPr>
        <w:pStyle w:val="Cdetexto"/>
        <w:rPr>
          <w:b/>
          <w:lang w:val="es-ES_tradnl"/>
        </w:rPr>
      </w:pPr>
      <w:r w:rsidRPr="004611CE">
        <w:rPr>
          <w:b/>
          <w:lang w:val="es-ES_tradnl"/>
        </w:rPr>
        <w:t>Principales Hallazgos</w:t>
      </w:r>
    </w:p>
    <w:p w14:paraId="0F9D3466" w14:textId="77777777" w:rsidR="004611CE" w:rsidRPr="004611CE" w:rsidRDefault="009F1E24" w:rsidP="004611CE">
      <w:pPr>
        <w:pStyle w:val="Cdetexto"/>
        <w:rPr>
          <w:lang w:val="es-ES_tradnl"/>
        </w:rPr>
      </w:pPr>
      <w:r>
        <w:rPr>
          <w:lang w:val="es-ES_tradnl"/>
        </w:rPr>
        <w:t xml:space="preserve">Se identificaron </w:t>
      </w:r>
      <w:r w:rsidR="004611CE" w:rsidRPr="004611CE">
        <w:rPr>
          <w:lang w:val="es-ES_tradnl"/>
        </w:rPr>
        <w:t xml:space="preserve">tres </w:t>
      </w:r>
      <w:proofErr w:type="spellStart"/>
      <w:r w:rsidR="004611CE" w:rsidRPr="004611CE">
        <w:rPr>
          <w:lang w:val="es-ES_tradnl"/>
        </w:rPr>
        <w:t>macroprocesos</w:t>
      </w:r>
      <w:proofErr w:type="spellEnd"/>
      <w:r w:rsidR="004611CE" w:rsidRPr="004611CE">
        <w:rPr>
          <w:lang w:val="es-ES_tradnl"/>
        </w:rPr>
        <w:t xml:space="preserve">: 1) Planeación integral de la gestión y administración de los recursos del subsidio </w:t>
      </w:r>
      <w:r w:rsidR="00694729">
        <w:t>Programa de Fortalecimiento para la Seguridad</w:t>
      </w:r>
      <w:r w:rsidR="004611CE" w:rsidRPr="004611CE">
        <w:rPr>
          <w:lang w:val="es-ES_tradnl"/>
        </w:rPr>
        <w:t xml:space="preserve"> </w:t>
      </w:r>
      <w:r w:rsidR="001B0B93">
        <w:rPr>
          <w:lang w:val="es-ES_tradnl"/>
        </w:rPr>
        <w:t>(</w:t>
      </w:r>
      <w:r w:rsidR="001B0B93" w:rsidRPr="004611CE">
        <w:rPr>
          <w:lang w:val="es-ES_tradnl"/>
        </w:rPr>
        <w:t>FORTASEG</w:t>
      </w:r>
      <w:r w:rsidR="001B0B93">
        <w:rPr>
          <w:lang w:val="es-ES_tradnl"/>
        </w:rPr>
        <w:t>),</w:t>
      </w:r>
      <w:r w:rsidR="001B0B93" w:rsidRPr="004611CE">
        <w:rPr>
          <w:lang w:val="es-ES_tradnl"/>
        </w:rPr>
        <w:t xml:space="preserve"> </w:t>
      </w:r>
      <w:r w:rsidR="004611CE" w:rsidRPr="004611CE">
        <w:rPr>
          <w:lang w:val="es-ES_tradnl"/>
        </w:rPr>
        <w:t>2) Apoyo en los procesos jurídico-administrativos para el otorgamiento del subsidio FORTASEG y de su implementación en las metas relacionadas con el cumplimiento de los Programas con Prioridad Nacional y sus subprogramas y 3) Monitoreo y evaluación del cumplimiento de los Programas con Prioridad Nacional y sus subprogramas a través de la implementación del subsidio FORTASEG.</w:t>
      </w:r>
    </w:p>
    <w:p w14:paraId="1CEFEB3F" w14:textId="77777777" w:rsidR="004611CE" w:rsidRPr="004611CE" w:rsidRDefault="004611CE" w:rsidP="004611CE">
      <w:pPr>
        <w:pStyle w:val="Cdetexto"/>
        <w:rPr>
          <w:lang w:val="es-ES_tradnl"/>
        </w:rPr>
      </w:pPr>
      <w:r w:rsidRPr="004611CE">
        <w:rPr>
          <w:lang w:val="es-ES_tradnl"/>
        </w:rPr>
        <w:t xml:space="preserve">En relación al primer </w:t>
      </w:r>
      <w:proofErr w:type="spellStart"/>
      <w:r w:rsidRPr="004611CE">
        <w:rPr>
          <w:lang w:val="es-ES_tradnl"/>
        </w:rPr>
        <w:t>macroproceso</w:t>
      </w:r>
      <w:proofErr w:type="spellEnd"/>
      <w:r w:rsidRPr="004611CE">
        <w:rPr>
          <w:lang w:val="es-ES_tradnl"/>
        </w:rPr>
        <w:t>, se detectó que se carece de Manual</w:t>
      </w:r>
      <w:r w:rsidR="00BD6206">
        <w:rPr>
          <w:lang w:val="es-ES_tradnl"/>
        </w:rPr>
        <w:t xml:space="preserve">es de Procedimientos y un </w:t>
      </w:r>
      <w:r w:rsidRPr="004611CE">
        <w:rPr>
          <w:lang w:val="es-ES_tradnl"/>
        </w:rPr>
        <w:t xml:space="preserve">Manual de Organización, </w:t>
      </w:r>
      <w:r w:rsidR="00BD6206">
        <w:rPr>
          <w:lang w:val="es-ES_tradnl"/>
        </w:rPr>
        <w:t>l</w:t>
      </w:r>
      <w:r w:rsidRPr="004611CE">
        <w:rPr>
          <w:lang w:val="es-ES_tradnl"/>
        </w:rPr>
        <w:t xml:space="preserve">o que genera falta de claridad sobre las actividades a realizar por cada UR. </w:t>
      </w:r>
      <w:r w:rsidR="00080633">
        <w:rPr>
          <w:lang w:val="es-ES_tradnl"/>
        </w:rPr>
        <w:t xml:space="preserve">La </w:t>
      </w:r>
      <w:r w:rsidRPr="004611CE">
        <w:rPr>
          <w:lang w:val="es-ES_tradnl"/>
        </w:rPr>
        <w:t xml:space="preserve">comunicación tanto a nivel interno como externo podría mejorarse a través de una mayor difusión de los Lineamientos </w:t>
      </w:r>
      <w:r w:rsidR="00BD6206">
        <w:rPr>
          <w:lang w:val="es-ES_tradnl"/>
        </w:rPr>
        <w:t xml:space="preserve">para el otorgamiento de los subsidios del </w:t>
      </w:r>
      <w:r w:rsidRPr="004611CE">
        <w:rPr>
          <w:lang w:val="es-ES_tradnl"/>
        </w:rPr>
        <w:t xml:space="preserve">FORTASEG y sesiones de capacitación inicial con una mayor duración. Por otra parte, si bien los criterios de selección de beneficiarios y la fórmula de distribución empleada </w:t>
      </w:r>
      <w:r w:rsidR="00080633">
        <w:rPr>
          <w:lang w:val="es-ES_tradnl"/>
        </w:rPr>
        <w:t xml:space="preserve">son </w:t>
      </w:r>
      <w:r w:rsidRPr="004611CE">
        <w:rPr>
          <w:lang w:val="es-ES_tradnl"/>
        </w:rPr>
        <w:t xml:space="preserve">apropiados en términos de las necesidades de seguridad pública, </w:t>
      </w:r>
      <w:r w:rsidR="00080633">
        <w:rPr>
          <w:lang w:val="es-ES_tradnl"/>
        </w:rPr>
        <w:t xml:space="preserve">no </w:t>
      </w:r>
      <w:r w:rsidRPr="004611CE">
        <w:rPr>
          <w:lang w:val="es-ES_tradnl"/>
        </w:rPr>
        <w:t xml:space="preserve">se </w:t>
      </w:r>
      <w:r w:rsidR="00080633">
        <w:rPr>
          <w:lang w:val="es-ES_tradnl"/>
        </w:rPr>
        <w:t xml:space="preserve">considera </w:t>
      </w:r>
      <w:r w:rsidRPr="004611CE">
        <w:rPr>
          <w:lang w:val="es-ES_tradnl"/>
        </w:rPr>
        <w:t>un criterio sobre los beneficiarios de años anteriores que han tenido desempeño tanto positivo como negativo.</w:t>
      </w:r>
    </w:p>
    <w:p w14:paraId="3B20A096" w14:textId="77777777" w:rsidR="004611CE" w:rsidRPr="004611CE" w:rsidRDefault="004611CE" w:rsidP="004611CE">
      <w:pPr>
        <w:pStyle w:val="Cdetexto"/>
        <w:rPr>
          <w:lang w:val="es-ES_tradnl"/>
        </w:rPr>
      </w:pPr>
      <w:r w:rsidRPr="004611CE">
        <w:rPr>
          <w:lang w:val="es-ES_tradnl"/>
        </w:rPr>
        <w:t xml:space="preserve">En lo que se refiere al segundo </w:t>
      </w:r>
      <w:proofErr w:type="spellStart"/>
      <w:r w:rsidRPr="004611CE">
        <w:rPr>
          <w:lang w:val="es-ES_tradnl"/>
        </w:rPr>
        <w:t>macroproceso</w:t>
      </w:r>
      <w:proofErr w:type="spellEnd"/>
      <w:r w:rsidRPr="004611CE">
        <w:rPr>
          <w:lang w:val="es-ES_tradnl"/>
        </w:rPr>
        <w:t xml:space="preserve">, se recomienda permitir a los </w:t>
      </w:r>
      <w:r w:rsidR="00BD6206">
        <w:rPr>
          <w:lang w:val="es-ES_tradnl"/>
        </w:rPr>
        <w:t>beneficiarios fijar sus metas con</w:t>
      </w:r>
      <w:r w:rsidRPr="004611CE">
        <w:rPr>
          <w:lang w:val="es-ES_tradnl"/>
        </w:rPr>
        <w:t xml:space="preserve"> base </w:t>
      </w:r>
      <w:r w:rsidR="00BD6206">
        <w:rPr>
          <w:lang w:val="es-ES_tradnl"/>
        </w:rPr>
        <w:t>en</w:t>
      </w:r>
      <w:r w:rsidRPr="004611CE">
        <w:rPr>
          <w:lang w:val="es-ES_tradnl"/>
        </w:rPr>
        <w:t xml:space="preserve"> </w:t>
      </w:r>
      <w:r w:rsidR="00BD6206">
        <w:rPr>
          <w:lang w:val="es-ES_tradnl"/>
        </w:rPr>
        <w:t>su</w:t>
      </w:r>
      <w:r w:rsidRPr="004611CE">
        <w:rPr>
          <w:lang w:val="es-ES_tradnl"/>
        </w:rPr>
        <w:t xml:space="preserve">s capacidades. En lo que se refiere a la bolsa de recursos concursable para proyectos específicos, los mecanismos que </w:t>
      </w:r>
      <w:r w:rsidR="00080633">
        <w:rPr>
          <w:lang w:val="es-ES_tradnl"/>
        </w:rPr>
        <w:t xml:space="preserve">establecen </w:t>
      </w:r>
      <w:r w:rsidRPr="004611CE">
        <w:rPr>
          <w:lang w:val="es-ES_tradnl"/>
        </w:rPr>
        <w:t>los criterios de selección de los proyectos en relación con la cantidad de los recursos disponibles</w:t>
      </w:r>
      <w:r w:rsidR="00080633">
        <w:rPr>
          <w:lang w:val="es-ES_tradnl"/>
        </w:rPr>
        <w:t xml:space="preserve"> no son lo suficientemente claros</w:t>
      </w:r>
      <w:r w:rsidRPr="004611CE">
        <w:rPr>
          <w:lang w:val="es-ES_tradnl"/>
        </w:rPr>
        <w:t>. Asimismo, los tiempos de entrega de las ministraciones</w:t>
      </w:r>
      <w:r w:rsidR="00080633">
        <w:rPr>
          <w:lang w:val="es-ES_tradnl"/>
        </w:rPr>
        <w:t xml:space="preserve"> generan </w:t>
      </w:r>
      <w:r w:rsidRPr="004611CE">
        <w:rPr>
          <w:lang w:val="es-ES_tradnl"/>
        </w:rPr>
        <w:t>que los beneficiarios</w:t>
      </w:r>
      <w:r w:rsidR="00080633">
        <w:rPr>
          <w:lang w:val="es-ES_tradnl"/>
        </w:rPr>
        <w:t xml:space="preserve"> no</w:t>
      </w:r>
      <w:r w:rsidRPr="004611CE">
        <w:rPr>
          <w:lang w:val="es-ES_tradnl"/>
        </w:rPr>
        <w:t xml:space="preserve"> cuenten con </w:t>
      </w:r>
      <w:r w:rsidR="00080633">
        <w:rPr>
          <w:lang w:val="es-ES_tradnl"/>
        </w:rPr>
        <w:t xml:space="preserve">suficiente </w:t>
      </w:r>
      <w:r w:rsidRPr="004611CE">
        <w:rPr>
          <w:lang w:val="es-ES_tradnl"/>
        </w:rPr>
        <w:t xml:space="preserve">tiempo para ejercer los recursos, </w:t>
      </w:r>
      <w:r w:rsidR="00080633">
        <w:rPr>
          <w:lang w:val="es-ES_tradnl"/>
        </w:rPr>
        <w:t xml:space="preserve">obligándolos a ejercerlos de </w:t>
      </w:r>
      <w:r w:rsidRPr="004611CE">
        <w:rPr>
          <w:lang w:val="es-ES_tradnl"/>
        </w:rPr>
        <w:t>manera apresurada.</w:t>
      </w:r>
    </w:p>
    <w:p w14:paraId="6DBD6604" w14:textId="77777777" w:rsidR="004611CE" w:rsidRPr="004611CE" w:rsidRDefault="004611CE" w:rsidP="004611CE">
      <w:pPr>
        <w:pStyle w:val="Cdetexto"/>
        <w:rPr>
          <w:lang w:val="es-ES_tradnl"/>
        </w:rPr>
      </w:pPr>
      <w:r w:rsidRPr="004611CE">
        <w:rPr>
          <w:lang w:val="es-ES_tradnl"/>
        </w:rPr>
        <w:t xml:space="preserve">El tercer </w:t>
      </w:r>
      <w:proofErr w:type="spellStart"/>
      <w:r w:rsidRPr="004611CE">
        <w:rPr>
          <w:lang w:val="es-ES_tradnl"/>
        </w:rPr>
        <w:t>macroproceso</w:t>
      </w:r>
      <w:proofErr w:type="spellEnd"/>
      <w:r w:rsidRPr="004611CE">
        <w:rPr>
          <w:lang w:val="es-ES_tradnl"/>
        </w:rPr>
        <w:t xml:space="preserve"> se considera el más consolidado. En general hay un apropiado y contin</w:t>
      </w:r>
      <w:r w:rsidR="00BD6206">
        <w:rPr>
          <w:lang w:val="es-ES_tradnl"/>
        </w:rPr>
        <w:t>u</w:t>
      </w:r>
      <w:r w:rsidRPr="004611CE">
        <w:rPr>
          <w:lang w:val="es-ES_tradnl"/>
        </w:rPr>
        <w:t xml:space="preserve">o seguimiento a los resultados obtenidos por los beneficiarios y la existencia de una plataforma digital para este seguimiento permite que una buena parte de las actividades a realizar se encuentren automatizadas. Sin embargo, como se dijo anteriormente, los resultados obtenidos por los beneficiarios no tienen efecto alguno en ejercicios posteriores, aunque dentro de los Lineamientos </w:t>
      </w:r>
      <w:r w:rsidR="00BD6206">
        <w:rPr>
          <w:lang w:val="es-ES_tradnl"/>
        </w:rPr>
        <w:t xml:space="preserve">para el otorgamiento de los subsidios del </w:t>
      </w:r>
      <w:r w:rsidRPr="004611CE">
        <w:rPr>
          <w:lang w:val="es-ES_tradnl"/>
        </w:rPr>
        <w:t>se contemplan sanciones por incumplimiento.</w:t>
      </w:r>
    </w:p>
    <w:p w14:paraId="15FFAB41" w14:textId="77777777" w:rsidR="004611CE" w:rsidRPr="004611CE" w:rsidRDefault="004611CE" w:rsidP="004611CE">
      <w:pPr>
        <w:pStyle w:val="Cdetexto"/>
        <w:rPr>
          <w:b/>
          <w:lang w:val="es-ES_tradnl"/>
        </w:rPr>
      </w:pPr>
      <w:r w:rsidRPr="004611CE">
        <w:rPr>
          <w:b/>
          <w:lang w:val="es-ES_tradnl"/>
        </w:rPr>
        <w:t>Principales Recomendaciones</w:t>
      </w:r>
    </w:p>
    <w:p w14:paraId="0C59A393" w14:textId="77777777" w:rsidR="004611CE" w:rsidRDefault="004611CE" w:rsidP="004611CE">
      <w:pPr>
        <w:pStyle w:val="Bala"/>
        <w:numPr>
          <w:ilvl w:val="0"/>
          <w:numId w:val="19"/>
        </w:numPr>
      </w:pPr>
      <w:r>
        <w:lastRenderedPageBreak/>
        <w:t xml:space="preserve">Incorporar instrumentos, herramientas, mecanismos y metodologías para consolidar la operatividad del </w:t>
      </w:r>
      <w:proofErr w:type="spellStart"/>
      <w:r>
        <w:t>Pp</w:t>
      </w:r>
      <w:proofErr w:type="spellEnd"/>
      <w:r>
        <w:t xml:space="preserve"> y plasmarlos en manuales de operación para una mejor implementación.</w:t>
      </w:r>
    </w:p>
    <w:p w14:paraId="65E4F267" w14:textId="77777777" w:rsidR="004611CE" w:rsidRDefault="004611CE" w:rsidP="004611CE">
      <w:pPr>
        <w:pStyle w:val="Bala"/>
        <w:numPr>
          <w:ilvl w:val="0"/>
          <w:numId w:val="19"/>
        </w:numPr>
      </w:pPr>
      <w:r>
        <w:t>Sistematizar los servicios de consulta entre los beneficiarios y el Secretariado Ejecutivo</w:t>
      </w:r>
      <w:r w:rsidR="00BD6206">
        <w:t xml:space="preserve"> del Sistema Nacional de Seguridad Pública</w:t>
      </w:r>
      <w:r>
        <w:t>.</w:t>
      </w:r>
    </w:p>
    <w:p w14:paraId="1B343582" w14:textId="77777777" w:rsidR="004611CE" w:rsidRDefault="004611CE" w:rsidP="004611CE">
      <w:pPr>
        <w:pStyle w:val="Bala"/>
        <w:numPr>
          <w:ilvl w:val="0"/>
          <w:numId w:val="19"/>
        </w:numPr>
      </w:pPr>
      <w:r>
        <w:t>Implementar formatos estándar para la captura de la información que se utiliza para la implementación del Pp.</w:t>
      </w:r>
    </w:p>
    <w:p w14:paraId="3CF578C5" w14:textId="77777777" w:rsidR="004611CE" w:rsidRDefault="004611CE" w:rsidP="004611CE">
      <w:pPr>
        <w:pStyle w:val="Bala"/>
        <w:numPr>
          <w:ilvl w:val="0"/>
          <w:numId w:val="19"/>
        </w:numPr>
      </w:pPr>
      <w:r>
        <w:t>Implementar un sistema de registro y clasificación de las preguntas más frecuentes y formar un conjunto de respuestas para cada una de ellas.</w:t>
      </w:r>
    </w:p>
    <w:p w14:paraId="3026EE6A" w14:textId="77777777" w:rsidR="00080633" w:rsidRPr="00846D82" w:rsidRDefault="00080633" w:rsidP="00080633">
      <w:pPr>
        <w:pStyle w:val="Bala"/>
        <w:numPr>
          <w:ilvl w:val="0"/>
          <w:numId w:val="19"/>
        </w:numPr>
      </w:pPr>
      <w:r>
        <w:t xml:space="preserve">Esclarecer los </w:t>
      </w:r>
      <w:r w:rsidRPr="004611CE">
        <w:rPr>
          <w:lang w:val="es-ES_tradnl"/>
        </w:rPr>
        <w:t xml:space="preserve">criterios de selección de los proyectos </w:t>
      </w:r>
      <w:r>
        <w:rPr>
          <w:lang w:val="es-ES_tradnl"/>
        </w:rPr>
        <w:t xml:space="preserve">específicos </w:t>
      </w:r>
      <w:r w:rsidRPr="004611CE">
        <w:rPr>
          <w:lang w:val="es-ES_tradnl"/>
        </w:rPr>
        <w:t>en relación con la cantidad de los recursos disponibles</w:t>
      </w:r>
      <w:r>
        <w:rPr>
          <w:lang w:val="es-ES_tradnl"/>
        </w:rPr>
        <w:t xml:space="preserve"> para que los posibles beneficiarios estén en posibilidades de mejorar sus propuestas.</w:t>
      </w:r>
    </w:p>
    <w:p w14:paraId="609531F8" w14:textId="77777777" w:rsidR="00080633" w:rsidRDefault="00080633" w:rsidP="00080633">
      <w:pPr>
        <w:pStyle w:val="Bala"/>
        <w:numPr>
          <w:ilvl w:val="0"/>
          <w:numId w:val="19"/>
        </w:numPr>
      </w:pPr>
      <w:r>
        <w:t>Mejorar la ministración de recursos para que los beneficiarios cuenten con más tiempo para ejercer los recursos de una manera más eficaz y menos apresurada.</w:t>
      </w:r>
    </w:p>
    <w:p w14:paraId="56AAF2A6" w14:textId="77777777" w:rsidR="004611CE" w:rsidRPr="004611CE" w:rsidRDefault="004611CE" w:rsidP="004611CE">
      <w:pPr>
        <w:pStyle w:val="Bala"/>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611CE" w:rsidRPr="00FC7306" w14:paraId="6E68EC0E" w14:textId="77777777" w:rsidTr="00BB70D8">
        <w:trPr>
          <w:trHeight w:val="675"/>
        </w:trPr>
        <w:tc>
          <w:tcPr>
            <w:tcW w:w="749" w:type="pct"/>
            <w:vAlign w:val="center"/>
          </w:tcPr>
          <w:p w14:paraId="772BB84C" w14:textId="77777777" w:rsidR="004611CE" w:rsidRPr="00FC7306" w:rsidRDefault="004611CE" w:rsidP="00BB70D8">
            <w:pPr>
              <w:spacing w:before="20" w:after="0"/>
              <w:ind w:left="170"/>
              <w:rPr>
                <w:b/>
                <w:sz w:val="16"/>
                <w:lang w:val="es-ES"/>
              </w:rPr>
            </w:pPr>
            <w:r w:rsidRPr="00FC7306">
              <w:rPr>
                <w:b/>
                <w:sz w:val="16"/>
                <w:lang w:val="es-ES"/>
              </w:rPr>
              <w:t>Evaluador Externo</w:t>
            </w:r>
            <w:r>
              <w:rPr>
                <w:b/>
                <w:sz w:val="16"/>
                <w:lang w:val="es-ES"/>
              </w:rPr>
              <w:t>:</w:t>
            </w:r>
          </w:p>
        </w:tc>
        <w:tc>
          <w:tcPr>
            <w:tcW w:w="4251" w:type="pct"/>
            <w:gridSpan w:val="3"/>
          </w:tcPr>
          <w:p w14:paraId="634A2E53" w14:textId="77777777" w:rsidR="004611CE" w:rsidRDefault="004611CE" w:rsidP="00BB70D8">
            <w:pPr>
              <w:spacing w:before="20" w:after="0"/>
              <w:ind w:left="113"/>
              <w:rPr>
                <w:sz w:val="16"/>
                <w:lang w:val="es-ES"/>
              </w:rPr>
            </w:pPr>
            <w:r w:rsidRPr="00FC7306">
              <w:rPr>
                <w:sz w:val="16"/>
                <w:lang w:val="es-ES"/>
              </w:rPr>
              <w:t>1. Instancia Evaluadora</w:t>
            </w:r>
            <w:r>
              <w:rPr>
                <w:sz w:val="16"/>
                <w:lang w:val="es-ES"/>
              </w:rPr>
              <w:t>:</w:t>
            </w:r>
            <w:r w:rsidRPr="00FC7306">
              <w:rPr>
                <w:sz w:val="16"/>
                <w:lang w:val="es-ES"/>
              </w:rPr>
              <w:t xml:space="preserve"> </w:t>
            </w:r>
            <w:r w:rsidRPr="00F460DD">
              <w:rPr>
                <w:sz w:val="16"/>
                <w:lang w:val="es-ES"/>
              </w:rPr>
              <w:t xml:space="preserve">Centro de Estudios de Opinión Pública de la Facultad de Ciencias Políticas y Sociales de la </w:t>
            </w:r>
            <w:r>
              <w:rPr>
                <w:sz w:val="16"/>
                <w:lang w:val="es-ES"/>
              </w:rPr>
              <w:t>UNAM</w:t>
            </w:r>
          </w:p>
          <w:p w14:paraId="2FE00397" w14:textId="77777777" w:rsidR="004611CE" w:rsidRPr="00FC7306" w:rsidRDefault="004611CE" w:rsidP="00BB70D8">
            <w:pPr>
              <w:spacing w:before="20" w:after="0"/>
              <w:ind w:left="113"/>
              <w:rPr>
                <w:sz w:val="16"/>
                <w:lang w:val="es-ES"/>
              </w:rPr>
            </w:pPr>
            <w:r w:rsidRPr="00FC7306">
              <w:rPr>
                <w:sz w:val="16"/>
                <w:lang w:val="es-ES"/>
              </w:rPr>
              <w:t xml:space="preserve">2. Coordinador de la Evaluación: </w:t>
            </w:r>
            <w:r w:rsidRPr="00F460DD">
              <w:rPr>
                <w:sz w:val="16"/>
                <w:lang w:val="es-ES"/>
              </w:rPr>
              <w:t>Armando Chacón Vilar</w:t>
            </w:r>
          </w:p>
          <w:p w14:paraId="3FF67EBD" w14:textId="77777777" w:rsidR="004611CE" w:rsidRPr="00FC7306" w:rsidRDefault="004611CE" w:rsidP="00BB70D8">
            <w:pPr>
              <w:spacing w:before="20" w:after="0"/>
              <w:ind w:left="113"/>
              <w:rPr>
                <w:sz w:val="16"/>
                <w:lang w:val="es-ES"/>
              </w:rPr>
            </w:pPr>
            <w:r w:rsidRPr="00FC7306">
              <w:rPr>
                <w:sz w:val="16"/>
                <w:lang w:val="es-ES"/>
              </w:rPr>
              <w:t xml:space="preserve">3. Forma de contratación: </w:t>
            </w:r>
            <w:r>
              <w:rPr>
                <w:sz w:val="16"/>
                <w:lang w:val="es-ES"/>
              </w:rPr>
              <w:t>Adjudicación Directa</w:t>
            </w:r>
          </w:p>
        </w:tc>
      </w:tr>
      <w:tr w:rsidR="004611CE" w:rsidRPr="00FC7306" w14:paraId="3F8B06AA" w14:textId="77777777" w:rsidTr="00BB70D8">
        <w:trPr>
          <w:trHeight w:val="80"/>
        </w:trPr>
        <w:tc>
          <w:tcPr>
            <w:tcW w:w="749" w:type="pct"/>
            <w:vAlign w:val="center"/>
          </w:tcPr>
          <w:p w14:paraId="4A34B54B" w14:textId="77777777" w:rsidR="004611CE" w:rsidRPr="00FC7306" w:rsidRDefault="004611CE" w:rsidP="00BB70D8">
            <w:pPr>
              <w:spacing w:before="20" w:after="0"/>
              <w:ind w:left="170"/>
              <w:rPr>
                <w:b/>
                <w:sz w:val="16"/>
                <w:lang w:val="es-ES"/>
              </w:rPr>
            </w:pPr>
          </w:p>
        </w:tc>
        <w:tc>
          <w:tcPr>
            <w:tcW w:w="4251" w:type="pct"/>
            <w:gridSpan w:val="3"/>
          </w:tcPr>
          <w:p w14:paraId="631BE0C6" w14:textId="77777777" w:rsidR="004611CE" w:rsidRPr="00FC7306" w:rsidRDefault="004611CE" w:rsidP="00BB70D8">
            <w:pPr>
              <w:spacing w:before="20" w:after="0"/>
              <w:ind w:left="113"/>
              <w:rPr>
                <w:sz w:val="16"/>
                <w:lang w:val="es-ES"/>
              </w:rPr>
            </w:pPr>
          </w:p>
        </w:tc>
      </w:tr>
      <w:tr w:rsidR="004611CE" w:rsidRPr="00FC7306" w14:paraId="09F21451" w14:textId="77777777" w:rsidTr="00BB70D8">
        <w:tc>
          <w:tcPr>
            <w:tcW w:w="749" w:type="pct"/>
            <w:vAlign w:val="center"/>
          </w:tcPr>
          <w:p w14:paraId="538B6F77" w14:textId="77777777" w:rsidR="004611CE" w:rsidRPr="00FC7306" w:rsidRDefault="004611CE" w:rsidP="00BB70D8">
            <w:pPr>
              <w:spacing w:before="20" w:after="0"/>
              <w:ind w:left="170"/>
              <w:rPr>
                <w:b/>
                <w:sz w:val="16"/>
                <w:lang w:val="es-ES"/>
              </w:rPr>
            </w:pPr>
            <w:r w:rsidRPr="00FC7306">
              <w:rPr>
                <w:b/>
                <w:sz w:val="16"/>
                <w:lang w:val="es-ES"/>
              </w:rPr>
              <w:t>Costo:</w:t>
            </w:r>
          </w:p>
        </w:tc>
        <w:tc>
          <w:tcPr>
            <w:tcW w:w="1113" w:type="pct"/>
            <w:vAlign w:val="center"/>
          </w:tcPr>
          <w:p w14:paraId="273FFB8D" w14:textId="77777777" w:rsidR="004611CE" w:rsidRPr="00FC7306" w:rsidRDefault="004611CE" w:rsidP="004611CE">
            <w:pPr>
              <w:spacing w:before="20" w:after="0"/>
              <w:ind w:left="113"/>
              <w:rPr>
                <w:sz w:val="16"/>
                <w:lang w:val="es-ES"/>
              </w:rPr>
            </w:pPr>
            <w:r w:rsidRPr="00FC7306">
              <w:rPr>
                <w:sz w:val="16"/>
                <w:lang w:val="es-ES"/>
              </w:rPr>
              <w:t>$</w:t>
            </w:r>
            <w:r w:rsidRPr="007816BF">
              <w:rPr>
                <w:sz w:val="16"/>
                <w:lang w:val="es-ES"/>
              </w:rPr>
              <w:t>8</w:t>
            </w:r>
            <w:r>
              <w:rPr>
                <w:sz w:val="16"/>
                <w:lang w:val="es-ES"/>
              </w:rPr>
              <w:t>12</w:t>
            </w:r>
            <w:r w:rsidRPr="007816BF">
              <w:rPr>
                <w:sz w:val="16"/>
                <w:lang w:val="es-ES"/>
              </w:rPr>
              <w:t>,</w:t>
            </w:r>
            <w:r>
              <w:rPr>
                <w:sz w:val="16"/>
                <w:lang w:val="es-ES"/>
              </w:rPr>
              <w:t>0</w:t>
            </w:r>
            <w:r w:rsidRPr="007816BF">
              <w:rPr>
                <w:sz w:val="16"/>
                <w:lang w:val="es-ES"/>
              </w:rPr>
              <w:t>00.00</w:t>
            </w:r>
            <w:r w:rsidRPr="00FC7306">
              <w:t xml:space="preserve"> </w:t>
            </w:r>
            <w:r>
              <w:rPr>
                <w:sz w:val="16"/>
                <w:lang w:val="es-ES"/>
              </w:rPr>
              <w:t>IVA incluido</w:t>
            </w:r>
          </w:p>
        </w:tc>
        <w:tc>
          <w:tcPr>
            <w:tcW w:w="904" w:type="pct"/>
            <w:vAlign w:val="center"/>
          </w:tcPr>
          <w:p w14:paraId="5CA22976" w14:textId="77777777" w:rsidR="004611CE" w:rsidRPr="00FC7306" w:rsidRDefault="004611CE" w:rsidP="00BB70D8">
            <w:pPr>
              <w:spacing w:before="20" w:after="0"/>
              <w:ind w:left="170"/>
              <w:rPr>
                <w:b/>
                <w:sz w:val="16"/>
                <w:lang w:val="es-ES"/>
              </w:rPr>
            </w:pPr>
            <w:r>
              <w:rPr>
                <w:b/>
                <w:sz w:val="16"/>
                <w:lang w:val="es-ES"/>
              </w:rPr>
              <w:t>Fuente de Financiamiento:</w:t>
            </w:r>
            <w:r w:rsidRPr="00FC7306">
              <w:rPr>
                <w:b/>
                <w:sz w:val="16"/>
                <w:lang w:val="es-ES"/>
              </w:rPr>
              <w:t xml:space="preserve"> </w:t>
            </w:r>
          </w:p>
        </w:tc>
        <w:tc>
          <w:tcPr>
            <w:tcW w:w="2234" w:type="pct"/>
            <w:vAlign w:val="center"/>
          </w:tcPr>
          <w:p w14:paraId="541D7A85" w14:textId="77777777" w:rsidR="004611CE" w:rsidRPr="00FC7306" w:rsidRDefault="004611CE" w:rsidP="00BB70D8">
            <w:pPr>
              <w:spacing w:before="20" w:after="0"/>
              <w:rPr>
                <w:sz w:val="16"/>
                <w:lang w:val="es-ES"/>
              </w:rPr>
            </w:pPr>
            <w:r w:rsidRPr="008A45C7">
              <w:rPr>
                <w:sz w:val="16"/>
                <w:lang w:val="es-ES"/>
              </w:rPr>
              <w:t xml:space="preserve">Recursos </w:t>
            </w:r>
            <w:r>
              <w:rPr>
                <w:sz w:val="16"/>
                <w:lang w:val="es-ES"/>
              </w:rPr>
              <w:t>Fiscales</w:t>
            </w:r>
          </w:p>
        </w:tc>
      </w:tr>
      <w:tr w:rsidR="004611CE" w:rsidRPr="00FC7306" w14:paraId="502D8A1A" w14:textId="77777777" w:rsidTr="00BB70D8">
        <w:tc>
          <w:tcPr>
            <w:tcW w:w="749" w:type="pct"/>
            <w:tcBorders>
              <w:bottom w:val="single" w:sz="4" w:space="0" w:color="auto"/>
            </w:tcBorders>
            <w:vAlign w:val="bottom"/>
          </w:tcPr>
          <w:p w14:paraId="27020C4B" w14:textId="77777777" w:rsidR="004611CE" w:rsidRPr="00FC7306" w:rsidRDefault="004611CE" w:rsidP="00BB70D8">
            <w:pPr>
              <w:pStyle w:val="Textocuadroneg1"/>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14:paraId="149E5AD0" w14:textId="77777777" w:rsidR="004611CE" w:rsidRPr="00FC7306" w:rsidRDefault="004611CE" w:rsidP="00BB70D8">
            <w:pPr>
              <w:pStyle w:val="Cdetexto"/>
              <w:spacing w:after="0"/>
              <w:jc w:val="center"/>
              <w:rPr>
                <w:sz w:val="14"/>
                <w:szCs w:val="14"/>
              </w:rPr>
            </w:pPr>
            <w:r w:rsidRPr="007816BF">
              <w:rPr>
                <w:sz w:val="16"/>
                <w:szCs w:val="14"/>
              </w:rPr>
              <w:t>SHCP</w:t>
            </w:r>
          </w:p>
        </w:tc>
        <w:tc>
          <w:tcPr>
            <w:tcW w:w="904" w:type="pct"/>
            <w:tcBorders>
              <w:bottom w:val="single" w:sz="4" w:space="0" w:color="auto"/>
            </w:tcBorders>
            <w:vAlign w:val="center"/>
          </w:tcPr>
          <w:p w14:paraId="1A0E8E91" w14:textId="77777777" w:rsidR="004611CE" w:rsidRPr="00FC7306" w:rsidRDefault="004611CE" w:rsidP="00BB70D8">
            <w:pPr>
              <w:pStyle w:val="Textocuadroneg1"/>
              <w:rPr>
                <w:sz w:val="16"/>
                <w:szCs w:val="16"/>
              </w:rPr>
            </w:pPr>
            <w:r w:rsidRPr="00FC7306">
              <w:rPr>
                <w:sz w:val="16"/>
                <w:szCs w:val="16"/>
              </w:rPr>
              <w:t>Informe completo</w:t>
            </w:r>
            <w:r>
              <w:rPr>
                <w:sz w:val="16"/>
                <w:szCs w:val="16"/>
              </w:rPr>
              <w:t>:</w:t>
            </w:r>
          </w:p>
        </w:tc>
        <w:tc>
          <w:tcPr>
            <w:tcW w:w="2234" w:type="pct"/>
            <w:tcBorders>
              <w:bottom w:val="single" w:sz="4" w:space="0" w:color="auto"/>
            </w:tcBorders>
            <w:vAlign w:val="center"/>
          </w:tcPr>
          <w:p w14:paraId="3B802293" w14:textId="77777777" w:rsidR="004611CE" w:rsidRPr="00FC7306" w:rsidRDefault="004611CE" w:rsidP="00BB70D8">
            <w:pPr>
              <w:pStyle w:val="Textocuadro1"/>
              <w:rPr>
                <w:sz w:val="16"/>
                <w:szCs w:val="16"/>
              </w:rPr>
            </w:pPr>
            <w:r w:rsidRPr="00FC7306">
              <w:rPr>
                <w:sz w:val="16"/>
                <w:szCs w:val="16"/>
              </w:rPr>
              <w:t>Disponible en:</w:t>
            </w:r>
          </w:p>
          <w:p w14:paraId="3DBB2955" w14:textId="77777777" w:rsidR="004611CE" w:rsidRPr="00FC7306" w:rsidRDefault="004611CE" w:rsidP="00BB70D8">
            <w:pPr>
              <w:pStyle w:val="Textocuadro1"/>
              <w:rPr>
                <w:sz w:val="16"/>
                <w:szCs w:val="16"/>
              </w:rPr>
            </w:pPr>
            <w:r w:rsidRPr="00FC7306">
              <w:rPr>
                <w:sz w:val="16"/>
                <w:szCs w:val="16"/>
              </w:rPr>
              <w:t>http://www.transparenciapresupuestaria.gob.mx/</w:t>
            </w:r>
          </w:p>
        </w:tc>
      </w:tr>
    </w:tbl>
    <w:p w14:paraId="7E17FAAE" w14:textId="77777777" w:rsidR="004611CE" w:rsidRDefault="004611CE" w:rsidP="001B210A">
      <w:pPr>
        <w:pStyle w:val="Cdetexto"/>
        <w:rPr>
          <w:lang w:val="es-ES_tradnl"/>
        </w:rPr>
      </w:pPr>
    </w:p>
    <w:tbl>
      <w:tblPr>
        <w:tblStyle w:val="Tablaconcuadrcula32"/>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4611CE" w:rsidRPr="00FC7306" w14:paraId="019C8D34" w14:textId="77777777" w:rsidTr="00BB70D8">
        <w:trPr>
          <w:trHeight w:val="358"/>
          <w:jc w:val="center"/>
        </w:trPr>
        <w:tc>
          <w:tcPr>
            <w:tcW w:w="9923" w:type="dxa"/>
            <w:gridSpan w:val="5"/>
            <w:shd w:val="clear" w:color="auto" w:fill="D6E3BC" w:themeFill="accent3" w:themeFillTint="66"/>
            <w:vAlign w:val="center"/>
          </w:tcPr>
          <w:p w14:paraId="78F8F359" w14:textId="77777777" w:rsidR="004611CE" w:rsidRPr="000203DE" w:rsidRDefault="004611CE" w:rsidP="00BB70D8">
            <w:pPr>
              <w:pStyle w:val="CABEZA"/>
              <w:ind w:left="0"/>
              <w:rPr>
                <w:lang w:val="es-MX"/>
              </w:rPr>
            </w:pPr>
            <w:r w:rsidRPr="00282C72">
              <w:rPr>
                <w:lang w:val="es-MX"/>
              </w:rPr>
              <w:br w:type="page"/>
            </w:r>
            <w:r w:rsidRPr="006C2077">
              <w:rPr>
                <w:lang w:val="es-MX"/>
              </w:rPr>
              <w:t xml:space="preserve">Ramo </w:t>
            </w:r>
            <w:r>
              <w:rPr>
                <w:lang w:val="es-MX"/>
              </w:rPr>
              <w:t xml:space="preserve">09 </w:t>
            </w:r>
            <w:r w:rsidRPr="000203DE">
              <w:rPr>
                <w:lang w:val="es-MX"/>
              </w:rPr>
              <w:t xml:space="preserve">– </w:t>
            </w:r>
            <w:r>
              <w:rPr>
                <w:lang w:val="es-MX"/>
              </w:rPr>
              <w:t>Comunicaciones y Transportes</w:t>
            </w:r>
          </w:p>
        </w:tc>
      </w:tr>
      <w:tr w:rsidR="004611CE" w:rsidRPr="00FC7306" w14:paraId="710FF9C3" w14:textId="77777777" w:rsidTr="00BB70D8">
        <w:trPr>
          <w:jc w:val="center"/>
        </w:trPr>
        <w:tc>
          <w:tcPr>
            <w:tcW w:w="1359" w:type="dxa"/>
            <w:shd w:val="clear" w:color="auto" w:fill="D9D9D9" w:themeFill="background1" w:themeFillShade="D9"/>
          </w:tcPr>
          <w:p w14:paraId="6DE1BEB5" w14:textId="77777777" w:rsidR="004611CE" w:rsidRPr="00FC7306" w:rsidRDefault="004611CE" w:rsidP="00BB70D8">
            <w:pPr>
              <w:spacing w:before="20"/>
              <w:rPr>
                <w:b/>
                <w:sz w:val="16"/>
                <w:lang w:val="es-ES"/>
              </w:rPr>
            </w:pPr>
            <w:r w:rsidRPr="00FC7306">
              <w:rPr>
                <w:b/>
                <w:sz w:val="16"/>
                <w:lang w:val="es-ES"/>
              </w:rPr>
              <w:t xml:space="preserve">Clave del </w:t>
            </w:r>
            <w:proofErr w:type="spellStart"/>
            <w:r w:rsidRPr="00FC7306">
              <w:rPr>
                <w:b/>
                <w:sz w:val="16"/>
                <w:lang w:val="es-ES"/>
              </w:rPr>
              <w:t>Pp</w:t>
            </w:r>
            <w:proofErr w:type="spellEnd"/>
            <w:r w:rsidRPr="00FC7306">
              <w:rPr>
                <w:b/>
                <w:sz w:val="16"/>
                <w:lang w:val="es-ES"/>
              </w:rPr>
              <w:t>:</w:t>
            </w:r>
          </w:p>
        </w:tc>
        <w:tc>
          <w:tcPr>
            <w:tcW w:w="734" w:type="dxa"/>
            <w:shd w:val="clear" w:color="auto" w:fill="D9D9D9" w:themeFill="background1" w:themeFillShade="D9"/>
          </w:tcPr>
          <w:p w14:paraId="085E1627" w14:textId="77777777" w:rsidR="004611CE" w:rsidRPr="00FC7306" w:rsidRDefault="004611CE" w:rsidP="004611CE">
            <w:pPr>
              <w:contextualSpacing/>
              <w:rPr>
                <w:sz w:val="16"/>
                <w:szCs w:val="16"/>
                <w:lang w:val="es-ES" w:eastAsia="en-US"/>
              </w:rPr>
            </w:pPr>
            <w:r>
              <w:rPr>
                <w:sz w:val="16"/>
                <w:szCs w:val="16"/>
                <w:lang w:val="es-ES" w:eastAsia="en-US"/>
              </w:rPr>
              <w:t>G008</w:t>
            </w:r>
          </w:p>
        </w:tc>
        <w:tc>
          <w:tcPr>
            <w:tcW w:w="1701" w:type="dxa"/>
            <w:gridSpan w:val="2"/>
            <w:shd w:val="clear" w:color="auto" w:fill="D9D9D9" w:themeFill="background1" w:themeFillShade="D9"/>
          </w:tcPr>
          <w:p w14:paraId="1C848081" w14:textId="77777777" w:rsidR="004611CE" w:rsidRPr="00FC7306" w:rsidRDefault="004611CE" w:rsidP="00BB70D8">
            <w:pPr>
              <w:spacing w:before="20"/>
              <w:rPr>
                <w:b/>
                <w:sz w:val="16"/>
                <w:lang w:val="es-ES"/>
              </w:rPr>
            </w:pPr>
            <w:r w:rsidRPr="00FC7306">
              <w:rPr>
                <w:b/>
                <w:sz w:val="16"/>
                <w:lang w:val="es-ES"/>
              </w:rPr>
              <w:t>Denominación:</w:t>
            </w:r>
          </w:p>
        </w:tc>
        <w:tc>
          <w:tcPr>
            <w:tcW w:w="6129" w:type="dxa"/>
            <w:shd w:val="clear" w:color="auto" w:fill="D9D9D9" w:themeFill="background1" w:themeFillShade="D9"/>
          </w:tcPr>
          <w:p w14:paraId="2242A065" w14:textId="77777777" w:rsidR="004611CE" w:rsidRPr="00FC7306" w:rsidRDefault="004611CE" w:rsidP="00BB70D8">
            <w:pPr>
              <w:contextualSpacing/>
              <w:rPr>
                <w:sz w:val="16"/>
                <w:szCs w:val="16"/>
                <w:lang w:eastAsia="en-US"/>
              </w:rPr>
            </w:pPr>
            <w:r>
              <w:rPr>
                <w:sz w:val="16"/>
                <w:szCs w:val="16"/>
                <w:lang w:val="es-ES" w:eastAsia="en-US"/>
              </w:rPr>
              <w:t>Derecho de vía</w:t>
            </w:r>
          </w:p>
        </w:tc>
      </w:tr>
      <w:tr w:rsidR="004611CE" w:rsidRPr="00FC7306" w14:paraId="57FCCA4C" w14:textId="77777777" w:rsidTr="00BB70D8">
        <w:trPr>
          <w:jc w:val="center"/>
        </w:trPr>
        <w:tc>
          <w:tcPr>
            <w:tcW w:w="2778" w:type="dxa"/>
            <w:gridSpan w:val="3"/>
          </w:tcPr>
          <w:p w14:paraId="0CED9B17" w14:textId="77777777" w:rsidR="004611CE" w:rsidRPr="00FC7306" w:rsidRDefault="004611CE" w:rsidP="00BB70D8">
            <w:pPr>
              <w:spacing w:before="20"/>
              <w:rPr>
                <w:b/>
                <w:sz w:val="16"/>
                <w:lang w:val="es-ES"/>
              </w:rPr>
            </w:pPr>
            <w:r>
              <w:rPr>
                <w:b/>
                <w:sz w:val="16"/>
                <w:lang w:val="es-ES"/>
              </w:rPr>
              <w:t>Unidades Administrativas:</w:t>
            </w:r>
          </w:p>
        </w:tc>
        <w:tc>
          <w:tcPr>
            <w:tcW w:w="7145" w:type="dxa"/>
            <w:gridSpan w:val="2"/>
          </w:tcPr>
          <w:p w14:paraId="12636E8A" w14:textId="77777777" w:rsidR="004611CE" w:rsidRDefault="004611CE" w:rsidP="00BB70D8">
            <w:pPr>
              <w:spacing w:before="20" w:after="0"/>
              <w:rPr>
                <w:rFonts w:eastAsia="Times New Roman"/>
                <w:sz w:val="16"/>
                <w:szCs w:val="16"/>
                <w:lang w:val="es-MX" w:eastAsia="en-US"/>
              </w:rPr>
            </w:pPr>
            <w:r>
              <w:rPr>
                <w:rFonts w:eastAsia="Times New Roman"/>
                <w:sz w:val="16"/>
                <w:szCs w:val="16"/>
                <w:lang w:val="es-MX" w:eastAsia="en-US"/>
              </w:rPr>
              <w:t>Dirección General de Carreteras</w:t>
            </w:r>
          </w:p>
          <w:p w14:paraId="0B946BEB" w14:textId="77777777" w:rsidR="00500D3E" w:rsidRPr="00087CC8" w:rsidRDefault="00500D3E" w:rsidP="00D94D1D">
            <w:pPr>
              <w:spacing w:before="20" w:after="0"/>
              <w:rPr>
                <w:sz w:val="16"/>
                <w:highlight w:val="green"/>
                <w:lang w:val="es-ES"/>
              </w:rPr>
            </w:pPr>
            <w:r>
              <w:rPr>
                <w:rFonts w:eastAsia="Times New Roman"/>
                <w:sz w:val="16"/>
                <w:szCs w:val="16"/>
                <w:lang w:val="es-MX" w:eastAsia="en-US"/>
              </w:rPr>
              <w:t xml:space="preserve">31 Centros SCT en </w:t>
            </w:r>
            <w:r w:rsidR="00D94D1D">
              <w:rPr>
                <w:rFonts w:eastAsia="Times New Roman"/>
                <w:sz w:val="16"/>
                <w:szCs w:val="16"/>
                <w:lang w:val="es-MX" w:eastAsia="en-US"/>
              </w:rPr>
              <w:t>los estados</w:t>
            </w:r>
          </w:p>
        </w:tc>
      </w:tr>
      <w:tr w:rsidR="004611CE" w:rsidRPr="00FC7306" w14:paraId="2973960F" w14:textId="77777777" w:rsidTr="00BB70D8">
        <w:trPr>
          <w:jc w:val="center"/>
        </w:trPr>
        <w:tc>
          <w:tcPr>
            <w:tcW w:w="2778" w:type="dxa"/>
            <w:gridSpan w:val="3"/>
          </w:tcPr>
          <w:p w14:paraId="17E99ABB" w14:textId="77777777" w:rsidR="004611CE" w:rsidRPr="001B12A5" w:rsidRDefault="004611CE" w:rsidP="00BB70D8">
            <w:pPr>
              <w:spacing w:before="20"/>
              <w:rPr>
                <w:b/>
                <w:sz w:val="16"/>
                <w:lang w:val="es-ES"/>
              </w:rPr>
            </w:pPr>
            <w:r w:rsidRPr="001B12A5">
              <w:rPr>
                <w:b/>
                <w:sz w:val="16"/>
                <w:lang w:val="es-ES"/>
              </w:rPr>
              <w:t>Responsables</w:t>
            </w:r>
            <w:r w:rsidR="00500D3E" w:rsidRPr="001B12A5">
              <w:rPr>
                <w:rStyle w:val="Refdenotaalpie"/>
                <w:b/>
                <w:sz w:val="16"/>
                <w:lang w:val="es-ES"/>
              </w:rPr>
              <w:footnoteReference w:id="12"/>
            </w:r>
            <w:r w:rsidR="001B12A5" w:rsidRPr="001B12A5">
              <w:rPr>
                <w:b/>
                <w:sz w:val="16"/>
                <w:szCs w:val="16"/>
                <w:vertAlign w:val="superscript"/>
              </w:rPr>
              <w:t>_/</w:t>
            </w:r>
            <w:r w:rsidRPr="001B12A5">
              <w:rPr>
                <w:b/>
                <w:sz w:val="16"/>
                <w:lang w:val="es-ES"/>
              </w:rPr>
              <w:t>:</w:t>
            </w:r>
          </w:p>
        </w:tc>
        <w:tc>
          <w:tcPr>
            <w:tcW w:w="7145" w:type="dxa"/>
            <w:gridSpan w:val="2"/>
          </w:tcPr>
          <w:p w14:paraId="77E1B898" w14:textId="77777777" w:rsidR="004611CE" w:rsidRPr="00087CC8" w:rsidRDefault="004611CE" w:rsidP="00BB70D8">
            <w:pPr>
              <w:spacing w:before="20" w:after="0"/>
              <w:rPr>
                <w:sz w:val="16"/>
                <w:highlight w:val="green"/>
                <w:lang w:val="es-ES"/>
              </w:rPr>
            </w:pPr>
            <w:r w:rsidRPr="00532EDB">
              <w:rPr>
                <w:rFonts w:eastAsia="Times New Roman"/>
                <w:sz w:val="16"/>
                <w:szCs w:val="16"/>
                <w:lang w:val="es-MX" w:eastAsia="en-US"/>
              </w:rPr>
              <w:t xml:space="preserve">Clemente </w:t>
            </w:r>
            <w:proofErr w:type="spellStart"/>
            <w:r w:rsidRPr="00532EDB">
              <w:rPr>
                <w:rFonts w:eastAsia="Times New Roman"/>
                <w:sz w:val="16"/>
                <w:szCs w:val="16"/>
                <w:lang w:val="es-MX" w:eastAsia="en-US"/>
              </w:rPr>
              <w:t>Poon</w:t>
            </w:r>
            <w:proofErr w:type="spellEnd"/>
            <w:r w:rsidRPr="00532EDB">
              <w:rPr>
                <w:rFonts w:eastAsia="Times New Roman"/>
                <w:sz w:val="16"/>
                <w:szCs w:val="16"/>
                <w:lang w:val="es-MX" w:eastAsia="en-US"/>
              </w:rPr>
              <w:t xml:space="preserve"> </w:t>
            </w:r>
            <w:proofErr w:type="spellStart"/>
            <w:r w:rsidRPr="00532EDB">
              <w:rPr>
                <w:rFonts w:eastAsia="Times New Roman"/>
                <w:sz w:val="16"/>
                <w:szCs w:val="16"/>
                <w:lang w:val="es-MX" w:eastAsia="en-US"/>
              </w:rPr>
              <w:t>Hung</w:t>
            </w:r>
            <w:proofErr w:type="spellEnd"/>
          </w:p>
        </w:tc>
      </w:tr>
      <w:tr w:rsidR="004611CE" w:rsidRPr="00FC7306" w14:paraId="30496325" w14:textId="77777777" w:rsidTr="00BB70D8">
        <w:trPr>
          <w:jc w:val="center"/>
        </w:trPr>
        <w:tc>
          <w:tcPr>
            <w:tcW w:w="2778" w:type="dxa"/>
            <w:gridSpan w:val="3"/>
            <w:tcBorders>
              <w:bottom w:val="single" w:sz="4" w:space="0" w:color="auto"/>
            </w:tcBorders>
            <w:shd w:val="clear" w:color="auto" w:fill="D9D9D9" w:themeFill="background1" w:themeFillShade="D9"/>
          </w:tcPr>
          <w:p w14:paraId="52507439" w14:textId="77777777" w:rsidR="004611CE" w:rsidRPr="00FC7306" w:rsidRDefault="004611CE" w:rsidP="00BB70D8">
            <w:pPr>
              <w:spacing w:before="20"/>
              <w:rPr>
                <w:b/>
                <w:sz w:val="16"/>
                <w:lang w:val="es-ES"/>
              </w:rPr>
            </w:pPr>
            <w:r w:rsidRPr="00FC7306">
              <w:rPr>
                <w:b/>
                <w:sz w:val="16"/>
                <w:lang w:val="es-ES"/>
              </w:rPr>
              <w:t>Tipo de Evaluación</w:t>
            </w:r>
            <w:r>
              <w:rPr>
                <w:b/>
                <w:sz w:val="16"/>
                <w:lang w:val="es-ES"/>
              </w:rPr>
              <w:t>:</w:t>
            </w:r>
          </w:p>
        </w:tc>
        <w:tc>
          <w:tcPr>
            <w:tcW w:w="7145" w:type="dxa"/>
            <w:gridSpan w:val="2"/>
            <w:tcBorders>
              <w:bottom w:val="single" w:sz="4" w:space="0" w:color="auto"/>
            </w:tcBorders>
            <w:shd w:val="clear" w:color="auto" w:fill="D9D9D9" w:themeFill="background1" w:themeFillShade="D9"/>
          </w:tcPr>
          <w:p w14:paraId="73878014" w14:textId="77777777" w:rsidR="004611CE" w:rsidRPr="00FC7306" w:rsidRDefault="004611CE" w:rsidP="004611CE">
            <w:pPr>
              <w:spacing w:before="20"/>
              <w:rPr>
                <w:sz w:val="16"/>
                <w:lang w:val="es-ES"/>
              </w:rPr>
            </w:pPr>
            <w:r>
              <w:rPr>
                <w:sz w:val="16"/>
                <w:lang w:val="es-ES"/>
              </w:rPr>
              <w:t>Procesos, PAE 2016</w:t>
            </w:r>
          </w:p>
        </w:tc>
      </w:tr>
    </w:tbl>
    <w:p w14:paraId="0A6D613B" w14:textId="77777777" w:rsidR="004611CE" w:rsidRDefault="004611CE" w:rsidP="001B210A">
      <w:pPr>
        <w:pStyle w:val="Cdetexto"/>
        <w:rPr>
          <w:lang w:val="es-ES_tradnl"/>
        </w:rPr>
      </w:pPr>
    </w:p>
    <w:p w14:paraId="2137BF4B" w14:textId="77777777" w:rsidR="00276AA6" w:rsidRPr="00276AA6" w:rsidRDefault="00276AA6" w:rsidP="00276AA6">
      <w:pPr>
        <w:pStyle w:val="Cdetexto"/>
        <w:rPr>
          <w:b/>
          <w:lang w:val="es-ES_tradnl"/>
        </w:rPr>
      </w:pPr>
      <w:r w:rsidRPr="00276AA6">
        <w:rPr>
          <w:b/>
          <w:lang w:val="es-ES_tradnl"/>
        </w:rPr>
        <w:t xml:space="preserve">Descripción del </w:t>
      </w:r>
      <w:proofErr w:type="spellStart"/>
      <w:r w:rsidRPr="00276AA6">
        <w:rPr>
          <w:b/>
          <w:lang w:val="es-ES_tradnl"/>
        </w:rPr>
        <w:t>Pp</w:t>
      </w:r>
      <w:proofErr w:type="spellEnd"/>
    </w:p>
    <w:p w14:paraId="72B27630" w14:textId="77777777" w:rsidR="00276AA6" w:rsidRPr="00276AA6" w:rsidRDefault="00276AA6" w:rsidP="00276AA6">
      <w:pPr>
        <w:pStyle w:val="Cdetexto"/>
        <w:rPr>
          <w:lang w:val="es-ES_tradnl"/>
        </w:rPr>
      </w:pPr>
      <w:r w:rsidRPr="00276AA6">
        <w:rPr>
          <w:lang w:val="es-ES_tradnl"/>
        </w:rPr>
        <w:t xml:space="preserve">El problema que busca solucionar el </w:t>
      </w:r>
      <w:proofErr w:type="spellStart"/>
      <w:r w:rsidRPr="00276AA6">
        <w:rPr>
          <w:lang w:val="es-ES_tradnl"/>
        </w:rPr>
        <w:t>Pp</w:t>
      </w:r>
      <w:proofErr w:type="spellEnd"/>
      <w:r w:rsidRPr="00276AA6">
        <w:rPr>
          <w:lang w:val="es-ES_tradnl"/>
        </w:rPr>
        <w:t xml:space="preserve"> es “Terrenos federales insuficientes para cumplir la meta programada de construcción y modernización de carreteras federales”.</w:t>
      </w:r>
    </w:p>
    <w:p w14:paraId="436CF664" w14:textId="77777777" w:rsidR="00276AA6" w:rsidRPr="00276AA6" w:rsidRDefault="00080633" w:rsidP="00276AA6">
      <w:pPr>
        <w:pStyle w:val="Cdetexto"/>
        <w:rPr>
          <w:lang w:val="es-ES_tradnl"/>
        </w:rPr>
      </w:pPr>
      <w:r>
        <w:rPr>
          <w:lang w:val="es-ES_tradnl"/>
        </w:rPr>
        <w:t xml:space="preserve">El fin del </w:t>
      </w:r>
      <w:proofErr w:type="spellStart"/>
      <w:r>
        <w:rPr>
          <w:lang w:val="es-ES_tradnl"/>
        </w:rPr>
        <w:t>Pp</w:t>
      </w:r>
      <w:proofErr w:type="spellEnd"/>
      <w:r>
        <w:rPr>
          <w:lang w:val="es-ES_tradnl"/>
        </w:rPr>
        <w:t xml:space="preserve"> es</w:t>
      </w:r>
      <w:r w:rsidR="00276AA6" w:rsidRPr="00276AA6">
        <w:rPr>
          <w:lang w:val="es-ES_tradnl"/>
        </w:rPr>
        <w:t xml:space="preserve"> “Contribuir a desarrollar una infraestructura de transporte y logística multimodal que genere costos competitivos, mejore la seguridad e impulse el desarrollo económico y social mediante la Construcción y Modernización de la Infraestructura Carretera”.</w:t>
      </w:r>
    </w:p>
    <w:p w14:paraId="463523FC" w14:textId="77777777" w:rsidR="00276AA6" w:rsidRPr="00276AA6" w:rsidRDefault="00276AA6" w:rsidP="00276AA6">
      <w:pPr>
        <w:pStyle w:val="Cdetexto"/>
        <w:rPr>
          <w:lang w:val="es-ES_tradnl"/>
        </w:rPr>
      </w:pPr>
      <w:r w:rsidRPr="00276AA6">
        <w:rPr>
          <w:lang w:val="es-ES_tradnl"/>
        </w:rPr>
        <w:t xml:space="preserve">El propósito definido para el </w:t>
      </w:r>
      <w:proofErr w:type="spellStart"/>
      <w:r w:rsidR="00080633">
        <w:rPr>
          <w:lang w:val="es-ES_tradnl"/>
        </w:rPr>
        <w:t>Pp</w:t>
      </w:r>
      <w:proofErr w:type="spellEnd"/>
      <w:r w:rsidR="00080633">
        <w:rPr>
          <w:lang w:val="es-ES_tradnl"/>
        </w:rPr>
        <w:t xml:space="preserve"> es</w:t>
      </w:r>
      <w:r w:rsidRPr="00276AA6">
        <w:rPr>
          <w:lang w:val="es-ES_tradnl"/>
        </w:rPr>
        <w:t xml:space="preserve"> “Contar con el derecho de vía necesario para cumplir la meta programada de Construcción y Modernización de carreteras federales”.</w:t>
      </w:r>
    </w:p>
    <w:p w14:paraId="7FB24339" w14:textId="77777777" w:rsidR="00276AA6" w:rsidRPr="00276AA6" w:rsidRDefault="00276AA6" w:rsidP="00276AA6">
      <w:pPr>
        <w:pStyle w:val="Cdetexto"/>
        <w:rPr>
          <w:lang w:val="es-ES_tradnl"/>
        </w:rPr>
      </w:pPr>
      <w:r w:rsidRPr="00276AA6">
        <w:rPr>
          <w:lang w:val="es-ES_tradnl"/>
        </w:rPr>
        <w:lastRenderedPageBreak/>
        <w:t xml:space="preserve">El </w:t>
      </w:r>
      <w:proofErr w:type="spellStart"/>
      <w:r w:rsidRPr="00276AA6">
        <w:rPr>
          <w:lang w:val="es-ES_tradnl"/>
        </w:rPr>
        <w:t>AEPo</w:t>
      </w:r>
      <w:proofErr w:type="spellEnd"/>
      <w:r w:rsidRPr="00276AA6">
        <w:rPr>
          <w:lang w:val="es-ES_tradnl"/>
        </w:rPr>
        <w:t xml:space="preserve"> son “Terrenos requeridos para la construcción y modernización de carreteras a nivel nacional, en todas las regiones que necesitan ser comunicadas vía terrestre”. Por otro lado, el AEO son “Terrenos requeridos para la construcción y modernización de carreteras a nivel nacional, de acuerdo a los proyectos de construcción y modernización que serán re</w:t>
      </w:r>
      <w:r>
        <w:rPr>
          <w:lang w:val="es-ES_tradnl"/>
        </w:rPr>
        <w:t>alizados en el sexenio en curso</w:t>
      </w:r>
      <w:r w:rsidRPr="00276AA6">
        <w:rPr>
          <w:lang w:val="es-ES_tradnl"/>
        </w:rPr>
        <w:t>”</w:t>
      </w:r>
      <w:r>
        <w:rPr>
          <w:lang w:val="es-ES_tradnl"/>
        </w:rPr>
        <w:t>.</w:t>
      </w:r>
    </w:p>
    <w:p w14:paraId="74C9E940" w14:textId="77777777" w:rsidR="00276AA6" w:rsidRPr="00276AA6" w:rsidRDefault="00276AA6" w:rsidP="00276AA6">
      <w:pPr>
        <w:pStyle w:val="Cdetexto"/>
        <w:rPr>
          <w:lang w:val="es-ES_tradnl"/>
        </w:rPr>
      </w:pPr>
      <w:r w:rsidRPr="00276AA6">
        <w:rPr>
          <w:lang w:val="es-ES_tradnl"/>
        </w:rPr>
        <w:t xml:space="preserve">El </w:t>
      </w:r>
      <w:proofErr w:type="spellStart"/>
      <w:r w:rsidRPr="00276AA6">
        <w:rPr>
          <w:lang w:val="es-ES_tradnl"/>
        </w:rPr>
        <w:t>Pp</w:t>
      </w:r>
      <w:proofErr w:type="spellEnd"/>
      <w:r w:rsidRPr="00276AA6">
        <w:rPr>
          <w:lang w:val="es-ES_tradnl"/>
        </w:rPr>
        <w:t xml:space="preserve"> está vinculado a la Meta Nacional IV. México Próspero, a través del Objetivo 4.9</w:t>
      </w:r>
      <w:r w:rsidR="00F83642">
        <w:rPr>
          <w:lang w:val="es-ES_tradnl"/>
        </w:rPr>
        <w:t>.</w:t>
      </w:r>
      <w:r w:rsidRPr="00276AA6">
        <w:rPr>
          <w:lang w:val="es-ES_tradnl"/>
        </w:rPr>
        <w:t xml:space="preserve"> Contar con una infraestructura de transporte que se refleje en menores costos para realizar la actividad económica</w:t>
      </w:r>
      <w:r w:rsidR="00080633">
        <w:rPr>
          <w:lang w:val="es-ES_tradnl"/>
        </w:rPr>
        <w:t>,</w:t>
      </w:r>
      <w:r w:rsidRPr="00276AA6">
        <w:rPr>
          <w:lang w:val="es-ES_tradnl"/>
        </w:rPr>
        <w:t xml:space="preserve"> del PND. Asimismo, está alineado al PSCT a través del Objetivo 1. Desarrollar una infraestructura de transporte y logística multimodal que genere costos competitivos, mejore la seguridad e impulse el desarrollo económico y social.</w:t>
      </w:r>
    </w:p>
    <w:p w14:paraId="01062CB9" w14:textId="77777777" w:rsidR="00276AA6" w:rsidRPr="00276AA6" w:rsidRDefault="00276AA6" w:rsidP="00276AA6">
      <w:pPr>
        <w:pStyle w:val="Cdetexto"/>
        <w:rPr>
          <w:b/>
          <w:lang w:val="es-ES_tradnl"/>
        </w:rPr>
      </w:pPr>
      <w:r w:rsidRPr="00276AA6">
        <w:rPr>
          <w:b/>
          <w:lang w:val="es-ES_tradnl"/>
        </w:rPr>
        <w:t>Principales Hallazgos</w:t>
      </w:r>
    </w:p>
    <w:p w14:paraId="64EE5B0B" w14:textId="77777777" w:rsidR="00276AA6" w:rsidRPr="00276AA6" w:rsidRDefault="00276AA6" w:rsidP="00276AA6">
      <w:pPr>
        <w:pStyle w:val="Cdetexto"/>
        <w:rPr>
          <w:lang w:val="es-ES_tradnl"/>
        </w:rPr>
      </w:pPr>
      <w:r w:rsidRPr="00276AA6">
        <w:rPr>
          <w:lang w:val="es-ES_tradnl"/>
        </w:rPr>
        <w:t>La evaluación identificó una consolidación operativa media, en virtud de que los ocho procesos se encuentran normados, estandarizados, documentados y cuentan con un sistema de monitoreo y seguimiento de la gestión. Por otra parte, aunque existen sistemas informáticos que permiten la automatización de algunos procesos, no se presentan para todos los casos.</w:t>
      </w:r>
    </w:p>
    <w:p w14:paraId="2727AAC9" w14:textId="77777777" w:rsidR="00276AA6" w:rsidRPr="00276AA6" w:rsidRDefault="00276AA6" w:rsidP="00276AA6">
      <w:pPr>
        <w:pStyle w:val="Cdetexto"/>
        <w:rPr>
          <w:lang w:val="es-ES_tradnl"/>
        </w:rPr>
      </w:pPr>
      <w:r>
        <w:rPr>
          <w:lang w:val="es-ES_tradnl"/>
        </w:rPr>
        <w:t>Respecto del proceso de pl</w:t>
      </w:r>
      <w:r w:rsidRPr="00276AA6">
        <w:rPr>
          <w:lang w:val="es-ES_tradnl"/>
        </w:rPr>
        <w:t>aneación</w:t>
      </w:r>
      <w:r>
        <w:rPr>
          <w:lang w:val="es-ES_tradnl"/>
        </w:rPr>
        <w:t>, pese</w:t>
      </w:r>
      <w:r w:rsidRPr="00276AA6">
        <w:rPr>
          <w:lang w:val="es-ES_tradnl"/>
        </w:rPr>
        <w:t xml:space="preserve"> a que existe normatividad en materia de Derecho de Vía, el </w:t>
      </w:r>
      <w:proofErr w:type="spellStart"/>
      <w:r>
        <w:rPr>
          <w:lang w:val="es-ES_tradnl"/>
        </w:rPr>
        <w:t>Pp</w:t>
      </w:r>
      <w:proofErr w:type="spellEnd"/>
      <w:r w:rsidRPr="00276AA6">
        <w:rPr>
          <w:lang w:val="es-ES_tradnl"/>
        </w:rPr>
        <w:t xml:space="preserve"> no cuenta con lineamientos propios, lo que genera que las actividades no estén estandarizadas. Asimismo, no se cuenta con una estrategia formalizada en virtud de que los trabajos de análisis sobre los terrenos necesarios para la construcción de las carreteras no inician hasta que se han autorizado los recursos para iniciar la construcción, lo que tiende a retrasar los proyectos.</w:t>
      </w:r>
    </w:p>
    <w:p w14:paraId="37CFB4A4" w14:textId="77777777" w:rsidR="00276AA6" w:rsidRPr="00276AA6" w:rsidRDefault="00276AA6" w:rsidP="00276AA6">
      <w:pPr>
        <w:pStyle w:val="Cdetexto"/>
        <w:rPr>
          <w:lang w:val="es-ES_tradnl"/>
        </w:rPr>
      </w:pPr>
      <w:r>
        <w:rPr>
          <w:lang w:val="es-ES_tradnl"/>
        </w:rPr>
        <w:t>Sobre el proceso de c</w:t>
      </w:r>
      <w:r w:rsidRPr="00276AA6">
        <w:rPr>
          <w:lang w:val="es-ES_tradnl"/>
        </w:rPr>
        <w:t>omunicación</w:t>
      </w:r>
      <w:r>
        <w:rPr>
          <w:lang w:val="es-ES_tradnl"/>
        </w:rPr>
        <w:t xml:space="preserve">, éste </w:t>
      </w:r>
      <w:r w:rsidRPr="00276AA6">
        <w:rPr>
          <w:lang w:val="es-ES_tradnl"/>
        </w:rPr>
        <w:t xml:space="preserve">se realiza tanto con actores internos como externos, en particular </w:t>
      </w:r>
      <w:r w:rsidR="00F83642">
        <w:rPr>
          <w:lang w:val="es-ES_tradnl"/>
        </w:rPr>
        <w:t>con las empresas que se dedicará</w:t>
      </w:r>
      <w:r w:rsidRPr="00276AA6">
        <w:rPr>
          <w:lang w:val="es-ES_tradnl"/>
        </w:rPr>
        <w:t>n a liberar los terrenos (esto no se realiza de manera interna en virtud de la insuficiencia de personal). Dicha comunicación se realiza exclusivamente vía oficios, al no existir un sistema de información para ello.</w:t>
      </w:r>
    </w:p>
    <w:p w14:paraId="3651C654" w14:textId="77777777" w:rsidR="00276AA6" w:rsidRDefault="00276AA6" w:rsidP="00276AA6">
      <w:pPr>
        <w:pStyle w:val="Cdetexto"/>
        <w:rPr>
          <w:lang w:val="es-ES_tradnl"/>
        </w:rPr>
      </w:pPr>
      <w:r>
        <w:rPr>
          <w:lang w:val="es-ES_tradnl"/>
        </w:rPr>
        <w:t>D</w:t>
      </w:r>
      <w:r w:rsidRPr="00276AA6">
        <w:rPr>
          <w:lang w:val="es-ES_tradnl"/>
        </w:rPr>
        <w:t>ebido a que la identificación de los predios de los que se requiere tramitar la liberación de Derecho de Vía se da a la par de la liberación de recursos para la construcción, existen presiones de tiempo para lograr la liberación de los predios, lo que se traduce a menudo en negociaciones apresuradas, donde no necesariamente se logran las mejor</w:t>
      </w:r>
      <w:r>
        <w:rPr>
          <w:lang w:val="es-ES_tradnl"/>
        </w:rPr>
        <w:t>es condiciones para la SCT.</w:t>
      </w:r>
    </w:p>
    <w:p w14:paraId="7A325AAE" w14:textId="77777777" w:rsidR="00276AA6" w:rsidRPr="00276AA6" w:rsidRDefault="00276AA6" w:rsidP="00276AA6">
      <w:pPr>
        <w:pStyle w:val="Cdetexto"/>
        <w:rPr>
          <w:lang w:val="es-ES_tradnl"/>
        </w:rPr>
      </w:pPr>
      <w:r w:rsidRPr="00276AA6">
        <w:rPr>
          <w:lang w:val="es-ES_tradnl"/>
        </w:rPr>
        <w:t>Actualmente se trabaja en una estrategia que permita dividir el proyecto y así realizar las labores en tramos más cortos para no atrasar la construcción.</w:t>
      </w:r>
      <w:r>
        <w:rPr>
          <w:lang w:val="es-ES_tradnl"/>
        </w:rPr>
        <w:t xml:space="preserve"> </w:t>
      </w:r>
      <w:r w:rsidRPr="00276AA6">
        <w:rPr>
          <w:lang w:val="es-ES_tradnl"/>
        </w:rPr>
        <w:t>La información obtenida durante este proceso se registra en un sistema electrónico institucional, lo cual permite monitorear y dar seguimiento al avance que se va teniendo.</w:t>
      </w:r>
    </w:p>
    <w:p w14:paraId="78CDC110" w14:textId="77777777" w:rsidR="00276AA6" w:rsidRPr="00276AA6" w:rsidRDefault="00276AA6" w:rsidP="00276AA6">
      <w:pPr>
        <w:pStyle w:val="Cdetexto"/>
        <w:rPr>
          <w:lang w:val="es-ES_tradnl"/>
        </w:rPr>
      </w:pPr>
      <w:r w:rsidRPr="00276AA6">
        <w:rPr>
          <w:lang w:val="es-ES_tradnl"/>
        </w:rPr>
        <w:t xml:space="preserve">El tiempo con el que se cuenta para </w:t>
      </w:r>
      <w:r>
        <w:rPr>
          <w:lang w:val="es-ES_tradnl"/>
        </w:rPr>
        <w:t xml:space="preserve">el </w:t>
      </w:r>
      <w:r w:rsidRPr="00276AA6">
        <w:rPr>
          <w:lang w:val="es-ES_tradnl"/>
        </w:rPr>
        <w:t xml:space="preserve">proceso </w:t>
      </w:r>
      <w:r>
        <w:rPr>
          <w:lang w:val="es-ES_tradnl"/>
        </w:rPr>
        <w:t xml:space="preserve">de </w:t>
      </w:r>
      <w:r w:rsidRPr="00276AA6">
        <w:rPr>
          <w:lang w:val="es-ES_tradnl"/>
        </w:rPr>
        <w:t>Integración de Expedientes para la Liberación de Derecho de Vía es excesivamente corto y</w:t>
      </w:r>
      <w:r w:rsidR="001E2465">
        <w:rPr>
          <w:lang w:val="es-ES_tradnl"/>
        </w:rPr>
        <w:t>,</w:t>
      </w:r>
      <w:r w:rsidRPr="00276AA6">
        <w:rPr>
          <w:lang w:val="es-ES_tradnl"/>
        </w:rPr>
        <w:t xml:space="preserve"> a menudo</w:t>
      </w:r>
      <w:r w:rsidR="001E2465">
        <w:rPr>
          <w:lang w:val="es-ES_tradnl"/>
        </w:rPr>
        <w:t>,</w:t>
      </w:r>
      <w:r w:rsidRPr="00276AA6">
        <w:rPr>
          <w:lang w:val="es-ES_tradnl"/>
        </w:rPr>
        <w:t xml:space="preserve"> se expande más allá de lo previsto en el Manual de Procedimientos, ya que la información requerida para elaborar los expedientes depende de particularidades tanto de</w:t>
      </w:r>
      <w:r w:rsidR="00D94D1D">
        <w:rPr>
          <w:lang w:val="es-ES_tradnl"/>
        </w:rPr>
        <w:t xml:space="preserve"> </w:t>
      </w:r>
      <w:r w:rsidRPr="00276AA6">
        <w:rPr>
          <w:lang w:val="es-ES_tradnl"/>
        </w:rPr>
        <w:t>l</w:t>
      </w:r>
      <w:r w:rsidR="00D94D1D">
        <w:rPr>
          <w:lang w:val="es-ES_tradnl"/>
        </w:rPr>
        <w:t>os</w:t>
      </w:r>
      <w:r w:rsidRPr="00276AA6">
        <w:rPr>
          <w:lang w:val="es-ES_tradnl"/>
        </w:rPr>
        <w:t xml:space="preserve"> pr</w:t>
      </w:r>
      <w:r w:rsidR="00500D3E">
        <w:rPr>
          <w:lang w:val="es-ES_tradnl"/>
        </w:rPr>
        <w:t>edio</w:t>
      </w:r>
      <w:r w:rsidR="00D94D1D">
        <w:rPr>
          <w:lang w:val="es-ES_tradnl"/>
        </w:rPr>
        <w:t>s</w:t>
      </w:r>
      <w:r w:rsidR="00500D3E">
        <w:rPr>
          <w:lang w:val="es-ES_tradnl"/>
        </w:rPr>
        <w:t xml:space="preserve"> como de los propietario</w:t>
      </w:r>
      <w:r w:rsidRPr="00276AA6">
        <w:rPr>
          <w:lang w:val="es-ES_tradnl"/>
        </w:rPr>
        <w:t>s.</w:t>
      </w:r>
    </w:p>
    <w:p w14:paraId="08748CC2" w14:textId="77777777" w:rsidR="00276AA6" w:rsidRPr="00276AA6" w:rsidRDefault="00276AA6" w:rsidP="00276AA6">
      <w:pPr>
        <w:pStyle w:val="Cdetexto"/>
        <w:rPr>
          <w:lang w:val="es-ES_tradnl"/>
        </w:rPr>
      </w:pPr>
      <w:r w:rsidRPr="00276AA6">
        <w:rPr>
          <w:lang w:val="es-ES_tradnl"/>
        </w:rPr>
        <w:t>La intervención de otras dependencias en este proceso también puede retrasar los trabajos, ya que la información que se les solicita a menudo no se entrega oportunamente.</w:t>
      </w:r>
    </w:p>
    <w:p w14:paraId="7A48B162" w14:textId="77777777" w:rsidR="00276AA6" w:rsidRPr="00276AA6" w:rsidRDefault="00276AA6" w:rsidP="00276AA6">
      <w:pPr>
        <w:pStyle w:val="Cdetexto"/>
        <w:rPr>
          <w:lang w:val="es-ES_tradnl"/>
        </w:rPr>
      </w:pPr>
      <w:r>
        <w:rPr>
          <w:lang w:val="es-ES_tradnl"/>
        </w:rPr>
        <w:t>Respecto de la e</w:t>
      </w:r>
      <w:r w:rsidRPr="00276AA6">
        <w:rPr>
          <w:lang w:val="es-ES_tradnl"/>
        </w:rPr>
        <w:t>ntrega de expedientes integrados</w:t>
      </w:r>
      <w:r>
        <w:rPr>
          <w:lang w:val="es-ES_tradnl"/>
        </w:rPr>
        <w:t>, a</w:t>
      </w:r>
      <w:r w:rsidRPr="00276AA6">
        <w:rPr>
          <w:lang w:val="es-ES_tradnl"/>
        </w:rPr>
        <w:t xml:space="preserve">l no estar plasmadas en documentos oficiales las características que deben tener los documentos que forman parte de los expedientes </w:t>
      </w:r>
      <w:r w:rsidRPr="00276AA6">
        <w:rPr>
          <w:lang w:val="es-ES_tradnl"/>
        </w:rPr>
        <w:lastRenderedPageBreak/>
        <w:t>entregados</w:t>
      </w:r>
      <w:r>
        <w:rPr>
          <w:lang w:val="es-ES_tradnl"/>
        </w:rPr>
        <w:t>,</w:t>
      </w:r>
      <w:r w:rsidRPr="00276AA6">
        <w:rPr>
          <w:lang w:val="es-ES_tradnl"/>
        </w:rPr>
        <w:t xml:space="preserve"> </w:t>
      </w:r>
      <w:r w:rsidR="001E2465">
        <w:rPr>
          <w:lang w:val="es-ES_tradnl"/>
        </w:rPr>
        <w:t>es común que</w:t>
      </w:r>
      <w:r w:rsidR="006F4A52">
        <w:rPr>
          <w:lang w:val="es-ES_tradnl"/>
        </w:rPr>
        <w:t xml:space="preserve"> </w:t>
      </w:r>
      <w:r w:rsidRPr="00276AA6">
        <w:rPr>
          <w:lang w:val="es-ES_tradnl"/>
        </w:rPr>
        <w:t>se present</w:t>
      </w:r>
      <w:r w:rsidR="001E2465">
        <w:rPr>
          <w:lang w:val="es-ES_tradnl"/>
        </w:rPr>
        <w:t>e</w:t>
      </w:r>
      <w:r w:rsidRPr="00276AA6">
        <w:rPr>
          <w:lang w:val="es-ES_tradnl"/>
        </w:rPr>
        <w:t xml:space="preserve"> documentación errónea o no válida, lo que repercute en los tiempos de ejecución.</w:t>
      </w:r>
    </w:p>
    <w:p w14:paraId="51CA04AC" w14:textId="77777777" w:rsidR="00276AA6" w:rsidRPr="00276AA6" w:rsidRDefault="00276AA6" w:rsidP="00276AA6">
      <w:pPr>
        <w:pStyle w:val="Cdetexto"/>
        <w:rPr>
          <w:lang w:val="es-ES_tradnl"/>
        </w:rPr>
      </w:pPr>
      <w:r w:rsidRPr="00276AA6">
        <w:rPr>
          <w:lang w:val="es-ES_tradnl"/>
        </w:rPr>
        <w:t>En este mismo sentido, en el Manual de Procedimientos para la Liberación de Derecho de Vía, no se consideran las actividades que realizan las empresas contratadas para realizar el proceso de liberación, incluidas las relacionadas a la entrega de expedientes para su revisión por parte del centro SCT, lo que trae como consecuencia que no se tenga un proceso estandarizado ni criterios claros sobre cómo realizar la entrega y el procedimiento de revisión de los documentos recibidos en los diferentes centros SCT.</w:t>
      </w:r>
    </w:p>
    <w:p w14:paraId="4E220EEE" w14:textId="77777777" w:rsidR="00276AA6" w:rsidRPr="00276AA6" w:rsidRDefault="00276AA6" w:rsidP="00276AA6">
      <w:pPr>
        <w:pStyle w:val="Cdetexto"/>
        <w:rPr>
          <w:lang w:val="es-ES_tradnl"/>
        </w:rPr>
      </w:pPr>
      <w:r w:rsidRPr="00276AA6">
        <w:rPr>
          <w:lang w:val="es-ES_tradnl"/>
        </w:rPr>
        <w:t>El seguimiento al avance de este proceso se realiza de manera interna por cada centro SCT y si bien se realiza a través de medios electrónicos, no hay un sistema de información institucional que permita conocer</w:t>
      </w:r>
      <w:r w:rsidR="00080633">
        <w:rPr>
          <w:lang w:val="es-ES_tradnl"/>
        </w:rPr>
        <w:t xml:space="preserve"> la</w:t>
      </w:r>
      <w:r w:rsidRPr="00276AA6">
        <w:rPr>
          <w:lang w:val="es-ES_tradnl"/>
        </w:rPr>
        <w:t xml:space="preserve"> información de todos los proyectos desarrollados por todos los centros SCT.</w:t>
      </w:r>
    </w:p>
    <w:p w14:paraId="0BA38F24" w14:textId="77777777" w:rsidR="00276AA6" w:rsidRPr="00276AA6" w:rsidRDefault="00276AA6" w:rsidP="00276AA6">
      <w:pPr>
        <w:pStyle w:val="Cdetexto"/>
        <w:rPr>
          <w:lang w:val="es-ES_tradnl"/>
        </w:rPr>
      </w:pPr>
      <w:r>
        <w:rPr>
          <w:lang w:val="es-ES_tradnl"/>
        </w:rPr>
        <w:t>En cuanto al proceso de s</w:t>
      </w:r>
      <w:r w:rsidRPr="00276AA6">
        <w:rPr>
          <w:lang w:val="es-ES_tradnl"/>
        </w:rPr>
        <w:t>eguimiento</w:t>
      </w:r>
      <w:r>
        <w:rPr>
          <w:lang w:val="es-ES_tradnl"/>
        </w:rPr>
        <w:t>, a</w:t>
      </w:r>
      <w:r w:rsidRPr="00276AA6">
        <w:rPr>
          <w:lang w:val="es-ES_tradnl"/>
        </w:rPr>
        <w:t>l no estar bien definidas las características de los documentos necesarios para el trámite de los pagos, en ocasiones se detecta que están incompletos o no son válidos, lo que retrasa el proceso. En general, se considera que este proceso es lento e ineficiente.</w:t>
      </w:r>
    </w:p>
    <w:p w14:paraId="1CB700EB" w14:textId="77777777" w:rsidR="00276AA6" w:rsidRPr="00276AA6" w:rsidRDefault="00E73A41" w:rsidP="00276AA6">
      <w:pPr>
        <w:pStyle w:val="Cdetexto"/>
        <w:rPr>
          <w:lang w:val="es-ES_tradnl"/>
        </w:rPr>
      </w:pPr>
      <w:r>
        <w:rPr>
          <w:lang w:val="es-ES_tradnl"/>
        </w:rPr>
        <w:t>Respecto del proceso de monitoreo, l</w:t>
      </w:r>
      <w:r w:rsidR="00276AA6" w:rsidRPr="00276AA6">
        <w:rPr>
          <w:lang w:val="es-ES_tradnl"/>
        </w:rPr>
        <w:t xml:space="preserve">a información del avance se presenta de manera trimestral y la calendarización para la recepción de dicha información se define desde el inicio del ejercicio fiscal, lo que permite a las UR distribuir sus tiempos adecuadamente. Sin embargo, </w:t>
      </w:r>
      <w:r w:rsidR="00276AA6" w:rsidRPr="00720CCA">
        <w:rPr>
          <w:lang w:val="es-ES_tradnl"/>
        </w:rPr>
        <w:t>en los Centros SCT no existe suficiente personal para encargarse de este proceso, lo que genera retraso</w:t>
      </w:r>
      <w:r w:rsidR="00276AA6" w:rsidRPr="00276AA6">
        <w:rPr>
          <w:lang w:val="es-ES_tradnl"/>
        </w:rPr>
        <w:t xml:space="preserve"> en los envíos.</w:t>
      </w:r>
    </w:p>
    <w:p w14:paraId="33AAEAA0" w14:textId="77777777" w:rsidR="00276AA6" w:rsidRPr="00276AA6" w:rsidRDefault="00080633" w:rsidP="00276AA6">
      <w:pPr>
        <w:pStyle w:val="Cdetexto"/>
        <w:rPr>
          <w:lang w:val="es-ES_tradnl"/>
        </w:rPr>
      </w:pPr>
      <w:r>
        <w:rPr>
          <w:lang w:val="es-ES_tradnl"/>
        </w:rPr>
        <w:t>Adicionalmente, n</w:t>
      </w:r>
      <w:r w:rsidR="00276AA6" w:rsidRPr="00276AA6">
        <w:rPr>
          <w:lang w:val="es-ES_tradnl"/>
        </w:rPr>
        <w:t>o existe un sistema automatizado de registro y de reporte de la información por parte de los Centros SCT, s</w:t>
      </w:r>
      <w:r w:rsidR="00DE1828">
        <w:rPr>
          <w:lang w:val="es-ES_tradnl"/>
        </w:rPr>
        <w:t>o</w:t>
      </w:r>
      <w:r w:rsidR="00276AA6" w:rsidRPr="00276AA6">
        <w:rPr>
          <w:lang w:val="es-ES_tradnl"/>
        </w:rPr>
        <w:t>lo a nivel central.</w:t>
      </w:r>
    </w:p>
    <w:p w14:paraId="3EF7B8E4" w14:textId="77777777" w:rsidR="00276AA6" w:rsidRPr="00276AA6" w:rsidRDefault="00E73A41" w:rsidP="00276AA6">
      <w:pPr>
        <w:pStyle w:val="Cdetexto"/>
        <w:rPr>
          <w:lang w:val="es-ES_tradnl"/>
        </w:rPr>
      </w:pPr>
      <w:r>
        <w:rPr>
          <w:lang w:val="es-ES_tradnl"/>
        </w:rPr>
        <w:t>Finalmente, en cuanto a la e</w:t>
      </w:r>
      <w:r w:rsidR="00276AA6" w:rsidRPr="00276AA6">
        <w:rPr>
          <w:lang w:val="es-ES_tradnl"/>
        </w:rPr>
        <w:t xml:space="preserve">valuación </w:t>
      </w:r>
      <w:r>
        <w:rPr>
          <w:lang w:val="es-ES_tradnl"/>
        </w:rPr>
        <w:t>e</w:t>
      </w:r>
      <w:r w:rsidR="00276AA6" w:rsidRPr="00276AA6">
        <w:rPr>
          <w:lang w:val="es-ES_tradnl"/>
        </w:rPr>
        <w:t>xterna</w:t>
      </w:r>
      <w:r>
        <w:rPr>
          <w:lang w:val="es-ES_tradnl"/>
        </w:rPr>
        <w:t>, e</w:t>
      </w:r>
      <w:r w:rsidR="00276AA6" w:rsidRPr="00276AA6">
        <w:rPr>
          <w:lang w:val="es-ES_tradnl"/>
        </w:rPr>
        <w:t xml:space="preserve">l </w:t>
      </w:r>
      <w:proofErr w:type="spellStart"/>
      <w:r>
        <w:rPr>
          <w:lang w:val="es-ES_tradnl"/>
        </w:rPr>
        <w:t>Pp</w:t>
      </w:r>
      <w:proofErr w:type="spellEnd"/>
      <w:r>
        <w:rPr>
          <w:lang w:val="es-ES_tradnl"/>
        </w:rPr>
        <w:t xml:space="preserve"> </w:t>
      </w:r>
      <w:r w:rsidR="00276AA6" w:rsidRPr="00276AA6">
        <w:rPr>
          <w:lang w:val="es-ES_tradnl"/>
        </w:rPr>
        <w:t>no cuenta con evaluaciones externas previas a la presente.</w:t>
      </w:r>
    </w:p>
    <w:p w14:paraId="407CE895" w14:textId="77777777" w:rsidR="00276AA6" w:rsidRPr="00E73A41" w:rsidRDefault="00276AA6" w:rsidP="00276AA6">
      <w:pPr>
        <w:pStyle w:val="Cdetexto"/>
        <w:rPr>
          <w:b/>
          <w:lang w:val="es-ES_tradnl"/>
        </w:rPr>
      </w:pPr>
      <w:r w:rsidRPr="00E73A41">
        <w:rPr>
          <w:b/>
          <w:lang w:val="es-ES_tradnl"/>
        </w:rPr>
        <w:t>Principales Recomendaciones</w:t>
      </w:r>
    </w:p>
    <w:p w14:paraId="12F3693C" w14:textId="77777777" w:rsidR="00276AA6" w:rsidRPr="00276AA6" w:rsidRDefault="00276AA6" w:rsidP="00276AA6">
      <w:pPr>
        <w:pStyle w:val="Bala"/>
        <w:numPr>
          <w:ilvl w:val="0"/>
          <w:numId w:val="19"/>
        </w:numPr>
      </w:pPr>
      <w:r w:rsidRPr="00276AA6">
        <w:t xml:space="preserve">Definir claramente el </w:t>
      </w:r>
      <w:proofErr w:type="spellStart"/>
      <w:r w:rsidRPr="00276AA6">
        <w:t>AEPo</w:t>
      </w:r>
      <w:proofErr w:type="spellEnd"/>
      <w:r w:rsidRPr="00276AA6">
        <w:t xml:space="preserve"> y el AEO, así como mejorar la lógica vertical de la MIR del </w:t>
      </w:r>
      <w:r w:rsidR="00E73A41">
        <w:t>Pp</w:t>
      </w:r>
      <w:r w:rsidRPr="00276AA6">
        <w:t>.</w:t>
      </w:r>
    </w:p>
    <w:p w14:paraId="1F18D2C1" w14:textId="77777777" w:rsidR="00276AA6" w:rsidRPr="00276AA6" w:rsidRDefault="00276AA6" w:rsidP="00276AA6">
      <w:pPr>
        <w:pStyle w:val="Bala"/>
        <w:numPr>
          <w:ilvl w:val="0"/>
          <w:numId w:val="19"/>
        </w:numPr>
      </w:pPr>
      <w:r w:rsidRPr="00276AA6">
        <w:t>Actualizar el Manual de Procedimientos para incluir la participación de empresas externas en el proceso de liberación de Derecho de Vía, así como la supervisión de sus actividades y las características de sus entregables.</w:t>
      </w:r>
    </w:p>
    <w:p w14:paraId="1659F32F" w14:textId="77777777" w:rsidR="00276AA6" w:rsidRPr="00276AA6" w:rsidRDefault="00276AA6" w:rsidP="00276AA6">
      <w:pPr>
        <w:pStyle w:val="Bala"/>
        <w:numPr>
          <w:ilvl w:val="0"/>
          <w:numId w:val="19"/>
        </w:numPr>
      </w:pPr>
      <w:r w:rsidRPr="00276AA6">
        <w:t xml:space="preserve">Elaborar Lineamientos de Operación del </w:t>
      </w:r>
      <w:r w:rsidR="00E73A41">
        <w:t>Pp</w:t>
      </w:r>
      <w:r w:rsidRPr="00276AA6">
        <w:t>.</w:t>
      </w:r>
    </w:p>
    <w:p w14:paraId="13D306FA" w14:textId="77777777" w:rsidR="00276AA6" w:rsidRPr="00276AA6" w:rsidRDefault="00276AA6" w:rsidP="00276AA6">
      <w:pPr>
        <w:pStyle w:val="Bala"/>
        <w:numPr>
          <w:ilvl w:val="0"/>
          <w:numId w:val="19"/>
        </w:numPr>
      </w:pPr>
      <w:r w:rsidRPr="00276AA6">
        <w:t>Desarrollar una estrategia operativa que permita el inicio de labores de identificación de tramos que requieren la liberación de Derecho de Vía previo a la liberación de recursos presupuestarios para las obras.</w:t>
      </w:r>
    </w:p>
    <w:p w14:paraId="21BF6171" w14:textId="77777777" w:rsidR="00276AA6" w:rsidRPr="00276AA6" w:rsidRDefault="00276AA6" w:rsidP="00276AA6">
      <w:pPr>
        <w:pStyle w:val="Bala"/>
        <w:numPr>
          <w:ilvl w:val="0"/>
          <w:numId w:val="19"/>
        </w:numPr>
      </w:pPr>
      <w:r w:rsidRPr="00276AA6">
        <w:t>Desarrollar un sistema para registrar información del avance de las actividades y los resultados obtenidos, tanto a nivel central como en los Centros SCT.</w:t>
      </w:r>
    </w:p>
    <w:p w14:paraId="4609DD81" w14:textId="77777777" w:rsidR="004611CE" w:rsidRPr="00276AA6" w:rsidRDefault="00276AA6" w:rsidP="00276AA6">
      <w:pPr>
        <w:pStyle w:val="Bala"/>
        <w:numPr>
          <w:ilvl w:val="0"/>
          <w:numId w:val="19"/>
        </w:numPr>
      </w:pPr>
      <w:r w:rsidRPr="00276AA6">
        <w:t>Continuar y formalizar la estrategia que permite dividir los proyectos de construcción en tramos cortos para no retrasar las labores de construcción.</w:t>
      </w:r>
    </w:p>
    <w:p w14:paraId="03837336" w14:textId="77777777" w:rsidR="004611CE" w:rsidRDefault="004611CE" w:rsidP="001B210A">
      <w:pPr>
        <w:pStyle w:val="Cdetexto"/>
        <w:rPr>
          <w:lang w:val="es-ES_tradnl"/>
        </w:rPr>
      </w:pPr>
    </w:p>
    <w:p w14:paraId="64E78DD2" w14:textId="77777777" w:rsidR="003562B5" w:rsidRDefault="003562B5">
      <w:r>
        <w:br w:type="page"/>
      </w: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611CE" w:rsidRPr="00FC7306" w14:paraId="1C95CF6E" w14:textId="77777777" w:rsidTr="001B12A5">
        <w:trPr>
          <w:trHeight w:val="137"/>
        </w:trPr>
        <w:tc>
          <w:tcPr>
            <w:tcW w:w="749" w:type="pct"/>
            <w:vAlign w:val="center"/>
          </w:tcPr>
          <w:p w14:paraId="22389BC4" w14:textId="77777777" w:rsidR="004611CE" w:rsidRPr="00FC7306" w:rsidRDefault="004611CE" w:rsidP="00BB70D8">
            <w:pPr>
              <w:spacing w:before="20" w:after="0"/>
              <w:ind w:left="170"/>
              <w:rPr>
                <w:b/>
                <w:sz w:val="16"/>
                <w:lang w:val="es-ES"/>
              </w:rPr>
            </w:pPr>
            <w:r w:rsidRPr="00FC7306">
              <w:rPr>
                <w:b/>
                <w:sz w:val="16"/>
                <w:lang w:val="es-ES"/>
              </w:rPr>
              <w:lastRenderedPageBreak/>
              <w:t>Evaluador Externo</w:t>
            </w:r>
            <w:r>
              <w:rPr>
                <w:b/>
                <w:sz w:val="16"/>
                <w:lang w:val="es-ES"/>
              </w:rPr>
              <w:t>:</w:t>
            </w:r>
          </w:p>
        </w:tc>
        <w:tc>
          <w:tcPr>
            <w:tcW w:w="4251" w:type="pct"/>
            <w:gridSpan w:val="3"/>
          </w:tcPr>
          <w:p w14:paraId="70BC65F2" w14:textId="77777777" w:rsidR="004611CE" w:rsidRDefault="004611CE" w:rsidP="00BB70D8">
            <w:pPr>
              <w:spacing w:before="20" w:after="0"/>
              <w:ind w:left="113"/>
              <w:rPr>
                <w:sz w:val="16"/>
                <w:lang w:val="es-ES"/>
              </w:rPr>
            </w:pPr>
            <w:r w:rsidRPr="00FC7306">
              <w:rPr>
                <w:sz w:val="16"/>
                <w:lang w:val="es-ES"/>
              </w:rPr>
              <w:t>1. Instancia Evaluadora</w:t>
            </w:r>
            <w:r>
              <w:rPr>
                <w:sz w:val="16"/>
                <w:lang w:val="es-ES"/>
              </w:rPr>
              <w:t>:</w:t>
            </w:r>
            <w:r w:rsidRPr="00FC7306">
              <w:rPr>
                <w:sz w:val="16"/>
                <w:lang w:val="es-ES"/>
              </w:rPr>
              <w:t xml:space="preserve"> </w:t>
            </w:r>
            <w:r w:rsidR="00276AA6" w:rsidRPr="00C91C73">
              <w:rPr>
                <w:sz w:val="16"/>
                <w:lang w:val="es-ES"/>
              </w:rPr>
              <w:t>Facultad de Economía</w:t>
            </w:r>
            <w:r w:rsidRPr="00F460DD">
              <w:rPr>
                <w:sz w:val="16"/>
                <w:lang w:val="es-ES"/>
              </w:rPr>
              <w:t xml:space="preserve"> de la </w:t>
            </w:r>
            <w:r>
              <w:rPr>
                <w:sz w:val="16"/>
                <w:lang w:val="es-ES"/>
              </w:rPr>
              <w:t>UNAM</w:t>
            </w:r>
          </w:p>
          <w:p w14:paraId="069FFA84" w14:textId="77777777" w:rsidR="004611CE" w:rsidRPr="00FC7306" w:rsidRDefault="004611CE" w:rsidP="00BB70D8">
            <w:pPr>
              <w:spacing w:before="20" w:after="0"/>
              <w:ind w:left="113"/>
              <w:rPr>
                <w:sz w:val="16"/>
                <w:lang w:val="es-ES"/>
              </w:rPr>
            </w:pPr>
            <w:r w:rsidRPr="00FC7306">
              <w:rPr>
                <w:sz w:val="16"/>
                <w:lang w:val="es-ES"/>
              </w:rPr>
              <w:t xml:space="preserve">2. Coordinador de la Evaluación: </w:t>
            </w:r>
            <w:r w:rsidR="00276AA6" w:rsidRPr="00C91C73">
              <w:rPr>
                <w:sz w:val="16"/>
                <w:lang w:val="es-ES"/>
              </w:rPr>
              <w:t>José Manuel Flores</w:t>
            </w:r>
          </w:p>
          <w:p w14:paraId="425A4855" w14:textId="77777777" w:rsidR="004611CE" w:rsidRPr="00FC7306" w:rsidRDefault="004611CE" w:rsidP="00DE1828">
            <w:pPr>
              <w:spacing w:before="20" w:after="0"/>
              <w:ind w:left="113"/>
              <w:rPr>
                <w:sz w:val="16"/>
                <w:lang w:val="es-ES"/>
              </w:rPr>
            </w:pPr>
            <w:r w:rsidRPr="00FC7306">
              <w:rPr>
                <w:sz w:val="16"/>
                <w:lang w:val="es-ES"/>
              </w:rPr>
              <w:t xml:space="preserve">3. Forma de contratación: </w:t>
            </w:r>
            <w:r w:rsidR="00DE1828">
              <w:rPr>
                <w:sz w:val="16"/>
                <w:lang w:val="es-ES"/>
              </w:rPr>
              <w:t>No disponible</w:t>
            </w:r>
            <w:r w:rsidR="00DE1828">
              <w:rPr>
                <w:rStyle w:val="Refdenotaalpie"/>
                <w:sz w:val="16"/>
                <w:lang w:val="es-ES"/>
              </w:rPr>
              <w:footnoteReference w:id="13"/>
            </w:r>
            <w:r w:rsidR="001B12A5" w:rsidRPr="00ED7357">
              <w:rPr>
                <w:sz w:val="16"/>
                <w:szCs w:val="16"/>
                <w:vertAlign w:val="superscript"/>
              </w:rPr>
              <w:t>_/</w:t>
            </w:r>
          </w:p>
        </w:tc>
      </w:tr>
      <w:tr w:rsidR="004611CE" w:rsidRPr="00FC7306" w14:paraId="133B926A" w14:textId="77777777" w:rsidTr="001B12A5">
        <w:trPr>
          <w:trHeight w:val="70"/>
        </w:trPr>
        <w:tc>
          <w:tcPr>
            <w:tcW w:w="749" w:type="pct"/>
            <w:vAlign w:val="center"/>
          </w:tcPr>
          <w:p w14:paraId="3A436DAD" w14:textId="77777777" w:rsidR="004611CE" w:rsidRPr="00FC7306" w:rsidRDefault="004611CE" w:rsidP="00BB70D8">
            <w:pPr>
              <w:spacing w:before="20" w:after="0"/>
              <w:ind w:left="170"/>
              <w:rPr>
                <w:b/>
                <w:sz w:val="16"/>
                <w:lang w:val="es-ES"/>
              </w:rPr>
            </w:pPr>
          </w:p>
        </w:tc>
        <w:tc>
          <w:tcPr>
            <w:tcW w:w="4251" w:type="pct"/>
            <w:gridSpan w:val="3"/>
          </w:tcPr>
          <w:p w14:paraId="47D360F6" w14:textId="77777777" w:rsidR="004611CE" w:rsidRPr="00FC7306" w:rsidRDefault="004611CE" w:rsidP="00BB70D8">
            <w:pPr>
              <w:spacing w:before="20" w:after="0"/>
              <w:ind w:left="113"/>
              <w:rPr>
                <w:sz w:val="16"/>
                <w:lang w:val="es-ES"/>
              </w:rPr>
            </w:pPr>
          </w:p>
        </w:tc>
      </w:tr>
      <w:tr w:rsidR="004611CE" w:rsidRPr="00FC7306" w14:paraId="7E4D8CF2" w14:textId="77777777" w:rsidTr="00BB70D8">
        <w:tc>
          <w:tcPr>
            <w:tcW w:w="749" w:type="pct"/>
            <w:vAlign w:val="center"/>
          </w:tcPr>
          <w:p w14:paraId="6F6CA633" w14:textId="77777777" w:rsidR="004611CE" w:rsidRPr="00FC7306" w:rsidRDefault="004611CE" w:rsidP="00BB70D8">
            <w:pPr>
              <w:spacing w:before="20" w:after="0"/>
              <w:ind w:left="170"/>
              <w:rPr>
                <w:b/>
                <w:sz w:val="16"/>
                <w:lang w:val="es-ES"/>
              </w:rPr>
            </w:pPr>
            <w:r w:rsidRPr="00FC7306">
              <w:rPr>
                <w:b/>
                <w:sz w:val="16"/>
                <w:lang w:val="es-ES"/>
              </w:rPr>
              <w:t>Costo:</w:t>
            </w:r>
          </w:p>
        </w:tc>
        <w:tc>
          <w:tcPr>
            <w:tcW w:w="1113" w:type="pct"/>
            <w:vAlign w:val="center"/>
          </w:tcPr>
          <w:p w14:paraId="3630ED7C" w14:textId="77777777" w:rsidR="004611CE" w:rsidRPr="00FC7306" w:rsidRDefault="004611CE" w:rsidP="00276AA6">
            <w:pPr>
              <w:spacing w:before="20" w:after="0"/>
              <w:ind w:left="113"/>
              <w:rPr>
                <w:sz w:val="16"/>
                <w:lang w:val="es-ES"/>
              </w:rPr>
            </w:pPr>
            <w:r w:rsidRPr="00FC7306">
              <w:rPr>
                <w:sz w:val="16"/>
                <w:lang w:val="es-ES"/>
              </w:rPr>
              <w:t>$</w:t>
            </w:r>
            <w:r w:rsidR="00276AA6">
              <w:rPr>
                <w:sz w:val="16"/>
                <w:lang w:val="es-ES"/>
              </w:rPr>
              <w:t>3,500</w:t>
            </w:r>
            <w:r w:rsidRPr="007816BF">
              <w:rPr>
                <w:sz w:val="16"/>
                <w:lang w:val="es-ES"/>
              </w:rPr>
              <w:t>,</w:t>
            </w:r>
            <w:r>
              <w:rPr>
                <w:sz w:val="16"/>
                <w:lang w:val="es-ES"/>
              </w:rPr>
              <w:t>0</w:t>
            </w:r>
            <w:r w:rsidRPr="007816BF">
              <w:rPr>
                <w:sz w:val="16"/>
                <w:lang w:val="es-ES"/>
              </w:rPr>
              <w:t>00.00</w:t>
            </w:r>
            <w:r w:rsidRPr="00FC7306">
              <w:t xml:space="preserve"> </w:t>
            </w:r>
            <w:r>
              <w:rPr>
                <w:sz w:val="16"/>
                <w:lang w:val="es-ES"/>
              </w:rPr>
              <w:t>IVA incluido</w:t>
            </w:r>
          </w:p>
        </w:tc>
        <w:tc>
          <w:tcPr>
            <w:tcW w:w="904" w:type="pct"/>
            <w:vAlign w:val="center"/>
          </w:tcPr>
          <w:p w14:paraId="0E138ABD" w14:textId="77777777" w:rsidR="004611CE" w:rsidRPr="00FC7306" w:rsidRDefault="004611CE" w:rsidP="00BB70D8">
            <w:pPr>
              <w:spacing w:before="20" w:after="0"/>
              <w:ind w:left="170"/>
              <w:rPr>
                <w:b/>
                <w:sz w:val="16"/>
                <w:lang w:val="es-ES"/>
              </w:rPr>
            </w:pPr>
            <w:r>
              <w:rPr>
                <w:b/>
                <w:sz w:val="16"/>
                <w:lang w:val="es-ES"/>
              </w:rPr>
              <w:t>Fuente de Financiamiento:</w:t>
            </w:r>
            <w:r w:rsidRPr="00FC7306">
              <w:rPr>
                <w:b/>
                <w:sz w:val="16"/>
                <w:lang w:val="es-ES"/>
              </w:rPr>
              <w:t xml:space="preserve"> </w:t>
            </w:r>
          </w:p>
        </w:tc>
        <w:tc>
          <w:tcPr>
            <w:tcW w:w="2234" w:type="pct"/>
            <w:vAlign w:val="center"/>
          </w:tcPr>
          <w:p w14:paraId="1EBE1C3A" w14:textId="77777777" w:rsidR="004611CE" w:rsidRPr="00FC7306" w:rsidRDefault="004611CE" w:rsidP="00BB70D8">
            <w:pPr>
              <w:spacing w:before="20" w:after="0"/>
              <w:rPr>
                <w:sz w:val="16"/>
                <w:lang w:val="es-ES"/>
              </w:rPr>
            </w:pPr>
            <w:r w:rsidRPr="008A45C7">
              <w:rPr>
                <w:sz w:val="16"/>
                <w:lang w:val="es-ES"/>
              </w:rPr>
              <w:t xml:space="preserve">Recursos </w:t>
            </w:r>
            <w:r>
              <w:rPr>
                <w:sz w:val="16"/>
                <w:lang w:val="es-ES"/>
              </w:rPr>
              <w:t>Fiscales</w:t>
            </w:r>
          </w:p>
        </w:tc>
      </w:tr>
      <w:tr w:rsidR="004611CE" w:rsidRPr="00FC7306" w14:paraId="5DC3D81E" w14:textId="77777777" w:rsidTr="00BB70D8">
        <w:tc>
          <w:tcPr>
            <w:tcW w:w="749" w:type="pct"/>
            <w:tcBorders>
              <w:bottom w:val="single" w:sz="4" w:space="0" w:color="auto"/>
            </w:tcBorders>
            <w:vAlign w:val="bottom"/>
          </w:tcPr>
          <w:p w14:paraId="002522BE" w14:textId="77777777" w:rsidR="004611CE" w:rsidRPr="00FC7306" w:rsidRDefault="004611CE" w:rsidP="00BB70D8">
            <w:pPr>
              <w:pStyle w:val="Textocuadroneg1"/>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14:paraId="2BB28C32" w14:textId="77777777" w:rsidR="004611CE" w:rsidRPr="00FC7306" w:rsidRDefault="004611CE" w:rsidP="00BB70D8">
            <w:pPr>
              <w:pStyle w:val="Cdetexto"/>
              <w:spacing w:after="0"/>
              <w:jc w:val="center"/>
              <w:rPr>
                <w:sz w:val="14"/>
                <w:szCs w:val="14"/>
              </w:rPr>
            </w:pPr>
            <w:r w:rsidRPr="007816BF">
              <w:rPr>
                <w:sz w:val="16"/>
                <w:szCs w:val="14"/>
              </w:rPr>
              <w:t>SHCP</w:t>
            </w:r>
          </w:p>
        </w:tc>
        <w:tc>
          <w:tcPr>
            <w:tcW w:w="904" w:type="pct"/>
            <w:tcBorders>
              <w:bottom w:val="single" w:sz="4" w:space="0" w:color="auto"/>
            </w:tcBorders>
            <w:vAlign w:val="center"/>
          </w:tcPr>
          <w:p w14:paraId="7BB92457" w14:textId="77777777" w:rsidR="004611CE" w:rsidRPr="00FC7306" w:rsidRDefault="004611CE" w:rsidP="00BB70D8">
            <w:pPr>
              <w:pStyle w:val="Textocuadroneg1"/>
              <w:rPr>
                <w:sz w:val="16"/>
                <w:szCs w:val="16"/>
              </w:rPr>
            </w:pPr>
            <w:r w:rsidRPr="00FC7306">
              <w:rPr>
                <w:sz w:val="16"/>
                <w:szCs w:val="16"/>
              </w:rPr>
              <w:t>Informe completo</w:t>
            </w:r>
            <w:r>
              <w:rPr>
                <w:sz w:val="16"/>
                <w:szCs w:val="16"/>
              </w:rPr>
              <w:t>:</w:t>
            </w:r>
          </w:p>
        </w:tc>
        <w:tc>
          <w:tcPr>
            <w:tcW w:w="2234" w:type="pct"/>
            <w:tcBorders>
              <w:bottom w:val="single" w:sz="4" w:space="0" w:color="auto"/>
            </w:tcBorders>
            <w:vAlign w:val="center"/>
          </w:tcPr>
          <w:p w14:paraId="08B42574" w14:textId="77777777" w:rsidR="004611CE" w:rsidRPr="00FC7306" w:rsidRDefault="004611CE" w:rsidP="00BB70D8">
            <w:pPr>
              <w:pStyle w:val="Textocuadro1"/>
              <w:rPr>
                <w:sz w:val="16"/>
                <w:szCs w:val="16"/>
              </w:rPr>
            </w:pPr>
            <w:r w:rsidRPr="00FC7306">
              <w:rPr>
                <w:sz w:val="16"/>
                <w:szCs w:val="16"/>
              </w:rPr>
              <w:t>Disponible en:</w:t>
            </w:r>
          </w:p>
          <w:p w14:paraId="020D92C2" w14:textId="77777777" w:rsidR="004611CE" w:rsidRPr="00FC7306" w:rsidRDefault="004611CE" w:rsidP="00BB70D8">
            <w:pPr>
              <w:pStyle w:val="Textocuadro1"/>
              <w:rPr>
                <w:sz w:val="16"/>
                <w:szCs w:val="16"/>
              </w:rPr>
            </w:pPr>
            <w:r w:rsidRPr="00FC7306">
              <w:rPr>
                <w:sz w:val="16"/>
                <w:szCs w:val="16"/>
              </w:rPr>
              <w:t>http://www.transparenciapresupuestaria.gob.mx/</w:t>
            </w:r>
          </w:p>
        </w:tc>
      </w:tr>
    </w:tbl>
    <w:p w14:paraId="3D46E738" w14:textId="77777777" w:rsidR="004611CE" w:rsidRDefault="004611CE" w:rsidP="001B210A">
      <w:pPr>
        <w:pStyle w:val="Cdetexto"/>
        <w:rPr>
          <w:lang w:val="es-ES_tradnl"/>
        </w:rPr>
      </w:pPr>
    </w:p>
    <w:tbl>
      <w:tblPr>
        <w:tblStyle w:val="Tablaconcuadrcula32"/>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F13410" w:rsidRPr="00FC7306" w14:paraId="668389C3" w14:textId="77777777" w:rsidTr="0050583E">
        <w:trPr>
          <w:trHeight w:val="358"/>
          <w:jc w:val="center"/>
        </w:trPr>
        <w:tc>
          <w:tcPr>
            <w:tcW w:w="9923" w:type="dxa"/>
            <w:gridSpan w:val="5"/>
            <w:shd w:val="clear" w:color="auto" w:fill="D6E3BC" w:themeFill="accent3" w:themeFillTint="66"/>
            <w:vAlign w:val="center"/>
          </w:tcPr>
          <w:p w14:paraId="64212489" w14:textId="77777777" w:rsidR="00F13410" w:rsidRPr="000203DE" w:rsidRDefault="00BD7CE9" w:rsidP="004C24AF">
            <w:pPr>
              <w:pStyle w:val="CABEZA"/>
              <w:ind w:left="0"/>
              <w:rPr>
                <w:lang w:val="es-MX"/>
              </w:rPr>
            </w:pPr>
            <w:r w:rsidRPr="00282C72">
              <w:rPr>
                <w:lang w:val="es-MX"/>
              </w:rPr>
              <w:br w:type="page"/>
            </w:r>
            <w:r w:rsidRPr="006C2077">
              <w:rPr>
                <w:lang w:val="es-MX"/>
              </w:rPr>
              <w:t xml:space="preserve">Ramo </w:t>
            </w:r>
            <w:r w:rsidR="004C24AF">
              <w:rPr>
                <w:lang w:val="es-MX"/>
              </w:rPr>
              <w:t>4</w:t>
            </w:r>
            <w:r w:rsidR="00F754D2">
              <w:rPr>
                <w:lang w:val="es-MX"/>
              </w:rPr>
              <w:t>7</w:t>
            </w:r>
            <w:r w:rsidR="00664F86">
              <w:rPr>
                <w:lang w:val="es-MX"/>
              </w:rPr>
              <w:t xml:space="preserve"> </w:t>
            </w:r>
            <w:r w:rsidR="000203DE" w:rsidRPr="000203DE">
              <w:rPr>
                <w:lang w:val="es-MX"/>
              </w:rPr>
              <w:t xml:space="preserve">– </w:t>
            </w:r>
            <w:r w:rsidR="00F754D2">
              <w:rPr>
                <w:lang w:val="es-MX"/>
              </w:rPr>
              <w:t>Entidades no sectorizadas</w:t>
            </w:r>
          </w:p>
        </w:tc>
      </w:tr>
      <w:tr w:rsidR="00F13410" w:rsidRPr="00FC7306" w14:paraId="6EEAB442" w14:textId="77777777" w:rsidTr="008655E9">
        <w:trPr>
          <w:jc w:val="center"/>
        </w:trPr>
        <w:tc>
          <w:tcPr>
            <w:tcW w:w="1359" w:type="dxa"/>
            <w:shd w:val="clear" w:color="auto" w:fill="D9D9D9" w:themeFill="background1" w:themeFillShade="D9"/>
          </w:tcPr>
          <w:p w14:paraId="5F48F08E" w14:textId="77777777" w:rsidR="00F13410" w:rsidRPr="00FC7306" w:rsidRDefault="00F13410" w:rsidP="008655E9">
            <w:pPr>
              <w:spacing w:before="20"/>
              <w:rPr>
                <w:b/>
                <w:sz w:val="16"/>
                <w:lang w:val="es-ES"/>
              </w:rPr>
            </w:pPr>
            <w:r w:rsidRPr="00FC7306">
              <w:rPr>
                <w:b/>
                <w:sz w:val="16"/>
                <w:lang w:val="es-ES"/>
              </w:rPr>
              <w:t xml:space="preserve">Clave del </w:t>
            </w:r>
            <w:proofErr w:type="spellStart"/>
            <w:r w:rsidRPr="00FC7306">
              <w:rPr>
                <w:b/>
                <w:sz w:val="16"/>
                <w:lang w:val="es-ES"/>
              </w:rPr>
              <w:t>Pp</w:t>
            </w:r>
            <w:proofErr w:type="spellEnd"/>
            <w:r w:rsidRPr="00FC7306">
              <w:rPr>
                <w:b/>
                <w:sz w:val="16"/>
                <w:lang w:val="es-ES"/>
              </w:rPr>
              <w:t>:</w:t>
            </w:r>
          </w:p>
        </w:tc>
        <w:tc>
          <w:tcPr>
            <w:tcW w:w="734" w:type="dxa"/>
            <w:shd w:val="clear" w:color="auto" w:fill="D9D9D9" w:themeFill="background1" w:themeFillShade="D9"/>
          </w:tcPr>
          <w:p w14:paraId="0C4154F3" w14:textId="77777777" w:rsidR="00F13410" w:rsidRPr="00FC7306" w:rsidRDefault="00F754D2" w:rsidP="000203DE">
            <w:pPr>
              <w:contextualSpacing/>
              <w:rPr>
                <w:sz w:val="16"/>
                <w:szCs w:val="16"/>
                <w:lang w:val="es-ES" w:eastAsia="en-US"/>
              </w:rPr>
            </w:pPr>
            <w:r>
              <w:rPr>
                <w:sz w:val="16"/>
                <w:szCs w:val="16"/>
                <w:lang w:val="es-ES" w:eastAsia="en-US"/>
              </w:rPr>
              <w:t>P0</w:t>
            </w:r>
            <w:r w:rsidR="000203DE">
              <w:rPr>
                <w:sz w:val="16"/>
                <w:szCs w:val="16"/>
                <w:lang w:val="es-ES" w:eastAsia="en-US"/>
              </w:rPr>
              <w:t>1</w:t>
            </w:r>
            <w:r>
              <w:rPr>
                <w:sz w:val="16"/>
                <w:szCs w:val="16"/>
                <w:lang w:val="es-ES" w:eastAsia="en-US"/>
              </w:rPr>
              <w:t>0</w:t>
            </w:r>
          </w:p>
        </w:tc>
        <w:tc>
          <w:tcPr>
            <w:tcW w:w="1701" w:type="dxa"/>
            <w:gridSpan w:val="2"/>
            <w:shd w:val="clear" w:color="auto" w:fill="D9D9D9" w:themeFill="background1" w:themeFillShade="D9"/>
          </w:tcPr>
          <w:p w14:paraId="4164AE31" w14:textId="77777777" w:rsidR="00F13410" w:rsidRPr="00FC7306" w:rsidRDefault="00F13410" w:rsidP="008655E9">
            <w:pPr>
              <w:spacing w:before="20"/>
              <w:rPr>
                <w:b/>
                <w:sz w:val="16"/>
                <w:lang w:val="es-ES"/>
              </w:rPr>
            </w:pPr>
            <w:r w:rsidRPr="00FC7306">
              <w:rPr>
                <w:b/>
                <w:sz w:val="16"/>
                <w:lang w:val="es-ES"/>
              </w:rPr>
              <w:t>Denominación:</w:t>
            </w:r>
          </w:p>
        </w:tc>
        <w:tc>
          <w:tcPr>
            <w:tcW w:w="6129" w:type="dxa"/>
            <w:shd w:val="clear" w:color="auto" w:fill="D9D9D9" w:themeFill="background1" w:themeFillShade="D9"/>
          </w:tcPr>
          <w:p w14:paraId="4E7B6551" w14:textId="77777777" w:rsidR="00F13410" w:rsidRPr="00FC7306" w:rsidRDefault="00F754D2" w:rsidP="00787F5D">
            <w:pPr>
              <w:contextualSpacing/>
              <w:rPr>
                <w:sz w:val="16"/>
                <w:szCs w:val="16"/>
                <w:lang w:eastAsia="en-US"/>
              </w:rPr>
            </w:pPr>
            <w:r w:rsidRPr="00F310CF">
              <w:rPr>
                <w:sz w:val="16"/>
                <w:szCs w:val="16"/>
                <w:lang w:val="es-ES" w:eastAsia="en-US"/>
              </w:rPr>
              <w:t>Programa de Fortalecimiento a la Igualdad Sustantiva entre Mujeres y Hombres</w:t>
            </w:r>
          </w:p>
        </w:tc>
      </w:tr>
      <w:tr w:rsidR="00F13410" w:rsidRPr="00FC7306" w14:paraId="32D292E4" w14:textId="77777777" w:rsidTr="008655E9">
        <w:trPr>
          <w:jc w:val="center"/>
        </w:trPr>
        <w:tc>
          <w:tcPr>
            <w:tcW w:w="2778" w:type="dxa"/>
            <w:gridSpan w:val="3"/>
          </w:tcPr>
          <w:p w14:paraId="3D122E08" w14:textId="77777777" w:rsidR="00F13410" w:rsidRPr="00FC7306" w:rsidRDefault="00427760" w:rsidP="008655E9">
            <w:pPr>
              <w:spacing w:before="20"/>
              <w:rPr>
                <w:b/>
                <w:sz w:val="16"/>
                <w:lang w:val="es-ES"/>
              </w:rPr>
            </w:pPr>
            <w:r>
              <w:rPr>
                <w:b/>
                <w:sz w:val="16"/>
                <w:lang w:val="es-ES"/>
              </w:rPr>
              <w:t>Unidad</w:t>
            </w:r>
            <w:r w:rsidR="00912DA2">
              <w:rPr>
                <w:b/>
                <w:sz w:val="16"/>
                <w:lang w:val="es-ES"/>
              </w:rPr>
              <w:t>es</w:t>
            </w:r>
            <w:r>
              <w:rPr>
                <w:b/>
                <w:sz w:val="16"/>
                <w:lang w:val="es-ES"/>
              </w:rPr>
              <w:t xml:space="preserve"> Administrativa</w:t>
            </w:r>
            <w:r w:rsidR="00912DA2">
              <w:rPr>
                <w:b/>
                <w:sz w:val="16"/>
                <w:lang w:val="es-ES"/>
              </w:rPr>
              <w:t>s</w:t>
            </w:r>
            <w:r>
              <w:rPr>
                <w:b/>
                <w:sz w:val="16"/>
                <w:lang w:val="es-ES"/>
              </w:rPr>
              <w:t>:</w:t>
            </w:r>
          </w:p>
        </w:tc>
        <w:tc>
          <w:tcPr>
            <w:tcW w:w="7145" w:type="dxa"/>
            <w:gridSpan w:val="2"/>
          </w:tcPr>
          <w:p w14:paraId="7D7CABAA" w14:textId="77777777" w:rsidR="008B38FF" w:rsidRPr="00087CC8" w:rsidRDefault="00F754D2" w:rsidP="00E57BE3">
            <w:pPr>
              <w:spacing w:before="20" w:after="0"/>
              <w:rPr>
                <w:sz w:val="16"/>
                <w:highlight w:val="green"/>
                <w:lang w:val="es-ES"/>
              </w:rPr>
            </w:pPr>
            <w:r w:rsidRPr="00F754D2">
              <w:rPr>
                <w:rFonts w:eastAsia="Times New Roman"/>
                <w:sz w:val="16"/>
                <w:szCs w:val="16"/>
                <w:lang w:val="es-MX" w:eastAsia="en-US"/>
              </w:rPr>
              <w:t>Instituto Nacional de las Mujeres</w:t>
            </w:r>
          </w:p>
        </w:tc>
      </w:tr>
      <w:tr w:rsidR="00F13410" w:rsidRPr="00FC7306" w14:paraId="47F3DBC3" w14:textId="77777777" w:rsidTr="008655E9">
        <w:trPr>
          <w:jc w:val="center"/>
        </w:trPr>
        <w:tc>
          <w:tcPr>
            <w:tcW w:w="2778" w:type="dxa"/>
            <w:gridSpan w:val="3"/>
          </w:tcPr>
          <w:p w14:paraId="535A11AA" w14:textId="77777777" w:rsidR="00F13410" w:rsidRPr="00FC7306" w:rsidRDefault="00F13410" w:rsidP="008655E9">
            <w:pPr>
              <w:spacing w:before="20"/>
              <w:rPr>
                <w:b/>
                <w:sz w:val="16"/>
                <w:lang w:val="es-ES"/>
              </w:rPr>
            </w:pPr>
            <w:r w:rsidRPr="00FC7306">
              <w:rPr>
                <w:b/>
                <w:sz w:val="16"/>
                <w:lang w:val="es-ES"/>
              </w:rPr>
              <w:t>Responsable</w:t>
            </w:r>
            <w:r w:rsidR="00912DA2">
              <w:rPr>
                <w:b/>
                <w:sz w:val="16"/>
                <w:lang w:val="es-ES"/>
              </w:rPr>
              <w:t>s</w:t>
            </w:r>
            <w:r w:rsidR="00427760">
              <w:rPr>
                <w:b/>
                <w:sz w:val="16"/>
                <w:lang w:val="es-ES"/>
              </w:rPr>
              <w:t>:</w:t>
            </w:r>
          </w:p>
        </w:tc>
        <w:tc>
          <w:tcPr>
            <w:tcW w:w="7145" w:type="dxa"/>
            <w:gridSpan w:val="2"/>
          </w:tcPr>
          <w:p w14:paraId="4164829F" w14:textId="77777777" w:rsidR="00F13410" w:rsidRPr="00087CC8" w:rsidRDefault="00F754D2" w:rsidP="007816BF">
            <w:pPr>
              <w:spacing w:before="20" w:after="0"/>
              <w:rPr>
                <w:sz w:val="16"/>
                <w:highlight w:val="green"/>
                <w:lang w:val="es-ES"/>
              </w:rPr>
            </w:pPr>
            <w:r w:rsidRPr="00F754D2">
              <w:rPr>
                <w:rFonts w:eastAsia="Times New Roman"/>
                <w:sz w:val="16"/>
                <w:szCs w:val="16"/>
                <w:lang w:val="es-MX" w:eastAsia="en-US"/>
              </w:rPr>
              <w:t>Lorena Cruz Sánchez</w:t>
            </w:r>
          </w:p>
        </w:tc>
      </w:tr>
      <w:tr w:rsidR="00F13410" w:rsidRPr="00FC7306" w14:paraId="5DB591A5" w14:textId="77777777" w:rsidTr="008655E9">
        <w:trPr>
          <w:jc w:val="center"/>
        </w:trPr>
        <w:tc>
          <w:tcPr>
            <w:tcW w:w="2778" w:type="dxa"/>
            <w:gridSpan w:val="3"/>
            <w:tcBorders>
              <w:bottom w:val="single" w:sz="4" w:space="0" w:color="auto"/>
            </w:tcBorders>
            <w:shd w:val="clear" w:color="auto" w:fill="D9D9D9" w:themeFill="background1" w:themeFillShade="D9"/>
          </w:tcPr>
          <w:p w14:paraId="7142A50C" w14:textId="77777777" w:rsidR="00F13410" w:rsidRPr="00FC7306" w:rsidRDefault="00F13410" w:rsidP="008655E9">
            <w:pPr>
              <w:spacing w:before="20"/>
              <w:rPr>
                <w:b/>
                <w:sz w:val="16"/>
                <w:lang w:val="es-ES"/>
              </w:rPr>
            </w:pPr>
            <w:r w:rsidRPr="00FC7306">
              <w:rPr>
                <w:b/>
                <w:sz w:val="16"/>
                <w:lang w:val="es-ES"/>
              </w:rPr>
              <w:t>Tipo de Evaluación</w:t>
            </w:r>
            <w:r w:rsidR="00427760">
              <w:rPr>
                <w:b/>
                <w:sz w:val="16"/>
                <w:lang w:val="es-ES"/>
              </w:rPr>
              <w:t>:</w:t>
            </w:r>
          </w:p>
        </w:tc>
        <w:tc>
          <w:tcPr>
            <w:tcW w:w="7145" w:type="dxa"/>
            <w:gridSpan w:val="2"/>
            <w:tcBorders>
              <w:bottom w:val="single" w:sz="4" w:space="0" w:color="auto"/>
            </w:tcBorders>
            <w:shd w:val="clear" w:color="auto" w:fill="D9D9D9" w:themeFill="background1" w:themeFillShade="D9"/>
          </w:tcPr>
          <w:p w14:paraId="24C2BC11" w14:textId="77777777" w:rsidR="00F13410" w:rsidRPr="00FC7306" w:rsidRDefault="0008339F" w:rsidP="0008339F">
            <w:pPr>
              <w:spacing w:before="20"/>
              <w:rPr>
                <w:sz w:val="16"/>
                <w:lang w:val="es-ES"/>
              </w:rPr>
            </w:pPr>
            <w:r>
              <w:rPr>
                <w:sz w:val="16"/>
                <w:lang w:val="es-ES"/>
              </w:rPr>
              <w:t>Procesos</w:t>
            </w:r>
            <w:r w:rsidR="007816BF">
              <w:rPr>
                <w:sz w:val="16"/>
                <w:lang w:val="es-ES"/>
              </w:rPr>
              <w:t>, PAE 2017</w:t>
            </w:r>
          </w:p>
        </w:tc>
      </w:tr>
    </w:tbl>
    <w:p w14:paraId="19A14CFF" w14:textId="77777777" w:rsidR="00F13410" w:rsidRPr="00FC7306" w:rsidRDefault="00F13410" w:rsidP="00F13410">
      <w:pPr>
        <w:rPr>
          <w:lang w:eastAsia="en-US"/>
        </w:rPr>
      </w:pPr>
    </w:p>
    <w:p w14:paraId="5C13953F" w14:textId="77777777" w:rsidR="00F13410" w:rsidRPr="000530E2" w:rsidRDefault="00F13410" w:rsidP="007B6212">
      <w:pPr>
        <w:pStyle w:val="Cdetextonegrita"/>
      </w:pPr>
      <w:r w:rsidRPr="000530E2">
        <w:t xml:space="preserve">Descripción del </w:t>
      </w:r>
      <w:proofErr w:type="spellStart"/>
      <w:r w:rsidRPr="000530E2">
        <w:t>Pp</w:t>
      </w:r>
      <w:proofErr w:type="spellEnd"/>
    </w:p>
    <w:p w14:paraId="76517E15" w14:textId="77777777" w:rsidR="0014275D" w:rsidRDefault="00F754D2" w:rsidP="00F754D2">
      <w:pPr>
        <w:pStyle w:val="Cdetexto"/>
      </w:pPr>
      <w:r>
        <w:t xml:space="preserve">El </w:t>
      </w:r>
      <w:proofErr w:type="spellStart"/>
      <w:r>
        <w:t>Pp</w:t>
      </w:r>
      <w:proofErr w:type="spellEnd"/>
      <w:r>
        <w:t xml:space="preserve"> es implementado por el </w:t>
      </w:r>
      <w:r w:rsidR="0014275D">
        <w:t>Instituto Nacional de las Mujeres (</w:t>
      </w:r>
      <w:r>
        <w:t>INMUJERES</w:t>
      </w:r>
      <w:r w:rsidR="0014275D">
        <w:t>)</w:t>
      </w:r>
      <w:r>
        <w:t xml:space="preserve"> desde su creación en </w:t>
      </w:r>
      <w:r w:rsidR="00D94D1D">
        <w:t xml:space="preserve">el ejercicio fiscal </w:t>
      </w:r>
      <w:r>
        <w:t>2008, aunque el nombre se modificó en 2013 para obtener la nomenclatura actual.</w:t>
      </w:r>
    </w:p>
    <w:p w14:paraId="2F5ED08F" w14:textId="77777777" w:rsidR="00F754D2" w:rsidRDefault="00F754D2" w:rsidP="00F754D2">
      <w:pPr>
        <w:pStyle w:val="Cdetexto"/>
      </w:pPr>
      <w:r>
        <w:t xml:space="preserve">El problema que busca </w:t>
      </w:r>
      <w:r w:rsidR="0014275D">
        <w:t xml:space="preserve">solucionar el </w:t>
      </w:r>
      <w:proofErr w:type="spellStart"/>
      <w:r w:rsidR="0014275D">
        <w:t>Pp</w:t>
      </w:r>
      <w:proofErr w:type="spellEnd"/>
      <w:r w:rsidR="0014275D">
        <w:t xml:space="preserve"> </w:t>
      </w:r>
      <w:r>
        <w:t>es</w:t>
      </w:r>
      <w:r w:rsidR="0014275D">
        <w:t xml:space="preserve"> el siguiente</w:t>
      </w:r>
      <w:r>
        <w:t>: “El Estado mexicano no ha logrado garantizar y proteger los derechos humanos de las mujeres y las niñas para erradicar las distintas formas de discriminación contra ellas”.</w:t>
      </w:r>
    </w:p>
    <w:p w14:paraId="6373CB33" w14:textId="77777777" w:rsidR="00F754D2" w:rsidRDefault="00F754D2" w:rsidP="00F754D2">
      <w:pPr>
        <w:pStyle w:val="Cdetexto"/>
      </w:pPr>
      <w:r>
        <w:t>E</w:t>
      </w:r>
      <w:r w:rsidR="00080633">
        <w:t xml:space="preserve">l fin del </w:t>
      </w:r>
      <w:proofErr w:type="spellStart"/>
      <w:r w:rsidR="00080633">
        <w:t>Pp</w:t>
      </w:r>
      <w:proofErr w:type="spellEnd"/>
      <w:r w:rsidR="00080633">
        <w:t xml:space="preserve"> es</w:t>
      </w:r>
      <w:r>
        <w:t xml:space="preserve"> “Contribuir a varios objetivos mediante la instrumentación de acciones de coordinación institucional para alcanzar la igualdad sustantiva entre mujeres y hombres”.</w:t>
      </w:r>
    </w:p>
    <w:p w14:paraId="6C4747C7" w14:textId="77777777" w:rsidR="00F754D2" w:rsidRDefault="00F754D2" w:rsidP="00F754D2">
      <w:pPr>
        <w:pStyle w:val="Cdetexto"/>
      </w:pPr>
      <w:r>
        <w:t xml:space="preserve">El propósito definido para el </w:t>
      </w:r>
      <w:proofErr w:type="spellStart"/>
      <w:r>
        <w:t>Pp</w:t>
      </w:r>
      <w:proofErr w:type="spellEnd"/>
      <w:r>
        <w:t xml:space="preserve"> es “Las dependencias y entidades de la Administración Pública implementan políticas públicas con perspectiva de género en coordinación con el sector privado y con las organizaciones de la sociedad civil”</w:t>
      </w:r>
      <w:r w:rsidR="0014275D">
        <w:t>.</w:t>
      </w:r>
    </w:p>
    <w:p w14:paraId="05999ED9" w14:textId="77777777" w:rsidR="00F754D2" w:rsidRDefault="00F754D2" w:rsidP="00F754D2">
      <w:pPr>
        <w:pStyle w:val="Cdetexto"/>
      </w:pPr>
      <w:r>
        <w:t xml:space="preserve">El </w:t>
      </w:r>
      <w:proofErr w:type="spellStart"/>
      <w:r>
        <w:t>AEPo</w:t>
      </w:r>
      <w:proofErr w:type="spellEnd"/>
      <w:r>
        <w:t xml:space="preserve"> está definida como “Las dependencias y entidades de los tres poderes de gobierno y de los tres ámbitos de gobierno, organizaciones de sociedad civil y centros de trabajo del sector públi</w:t>
      </w:r>
      <w:r w:rsidR="00E64330">
        <w:t>co y privado”. Por otro lado, el</w:t>
      </w:r>
      <w:r>
        <w:t xml:space="preserve"> AEO está definida como “Las dependencias y entidades, organizaciones de sociedad civil y centros de trabajo del sector público y privado”.</w:t>
      </w:r>
    </w:p>
    <w:p w14:paraId="716FA08E" w14:textId="77777777" w:rsidR="000530E2" w:rsidRDefault="00F754D2" w:rsidP="00F754D2">
      <w:pPr>
        <w:pStyle w:val="Cdetexto"/>
      </w:pPr>
      <w:r>
        <w:t xml:space="preserve">El </w:t>
      </w:r>
      <w:proofErr w:type="spellStart"/>
      <w:r>
        <w:t>Pp</w:t>
      </w:r>
      <w:proofErr w:type="spellEnd"/>
      <w:r>
        <w:t xml:space="preserve"> está vinculado a la Estrategia Transversal “Perspectiva de Género” del </w:t>
      </w:r>
      <w:r w:rsidR="0014275D">
        <w:t>PND</w:t>
      </w:r>
      <w:r>
        <w:t xml:space="preserve"> y</w:t>
      </w:r>
      <w:r w:rsidR="0014275D">
        <w:t>,</w:t>
      </w:r>
      <w:r>
        <w:t xml:space="preserve"> por tanto</w:t>
      </w:r>
      <w:r w:rsidR="0014275D">
        <w:t>,</w:t>
      </w:r>
      <w:r>
        <w:t xml:space="preserve"> a las </w:t>
      </w:r>
      <w:r w:rsidR="0014275D">
        <w:t>cinco</w:t>
      </w:r>
      <w:r>
        <w:t xml:space="preserve"> Metas Nacionales. Asimismo</w:t>
      </w:r>
      <w:r w:rsidR="0014275D">
        <w:t>,</w:t>
      </w:r>
      <w:r>
        <w:t xml:space="preserve"> está alineado al Programa Nacional para la Igualdad de Oportunidades y no Discriminación contra las Mujeres</w:t>
      </w:r>
      <w:r w:rsidR="00E64330">
        <w:t xml:space="preserve"> 2013-2018</w:t>
      </w:r>
      <w:r>
        <w:t xml:space="preserve"> </w:t>
      </w:r>
      <w:r w:rsidR="00E64330">
        <w:t>(</w:t>
      </w:r>
      <w:r>
        <w:t>PROIGUALDAD</w:t>
      </w:r>
      <w:r w:rsidR="00E64330">
        <w:t>)</w:t>
      </w:r>
      <w:r>
        <w:t xml:space="preserve">, a través de los </w:t>
      </w:r>
      <w:r w:rsidR="005A634D">
        <w:t>seis</w:t>
      </w:r>
      <w:r w:rsidR="006F4A52">
        <w:t xml:space="preserve"> </w:t>
      </w:r>
      <w:r>
        <w:t>objetivos trasversales.</w:t>
      </w:r>
    </w:p>
    <w:p w14:paraId="205D5D19" w14:textId="77777777" w:rsidR="005854F3" w:rsidRDefault="005854F3">
      <w:pPr>
        <w:spacing w:after="0"/>
        <w:rPr>
          <w:rFonts w:eastAsia="Times New Roman" w:cs="Arial"/>
          <w:b/>
          <w:szCs w:val="20"/>
          <w:lang w:val="es-ES"/>
        </w:rPr>
      </w:pPr>
      <w:r>
        <w:br w:type="page"/>
      </w:r>
    </w:p>
    <w:p w14:paraId="626F4A7D" w14:textId="4B01D536" w:rsidR="00F13410" w:rsidRPr="00FC7306" w:rsidRDefault="00F13410" w:rsidP="006F4565">
      <w:pPr>
        <w:pStyle w:val="Cdetextonegrita"/>
      </w:pPr>
      <w:r w:rsidRPr="00FC7306">
        <w:lastRenderedPageBreak/>
        <w:t>Principales Hallazgos</w:t>
      </w:r>
    </w:p>
    <w:p w14:paraId="6289949F" w14:textId="77777777" w:rsidR="00F754D2" w:rsidRPr="00F754D2" w:rsidRDefault="00F754D2" w:rsidP="00F754D2">
      <w:pPr>
        <w:pStyle w:val="Cdetexto"/>
      </w:pPr>
      <w:r w:rsidRPr="00F754D2">
        <w:t xml:space="preserve">El </w:t>
      </w:r>
      <w:proofErr w:type="spellStart"/>
      <w:r w:rsidRPr="00F754D2">
        <w:t>Pp</w:t>
      </w:r>
      <w:proofErr w:type="spellEnd"/>
      <w:r w:rsidRPr="00F754D2">
        <w:t xml:space="preserve"> agrupa casi todas las actividades sustantivas del INMUJERES, por lo que resulta complejo armonizarlas, cohesionarlas y dirigirlas como procesos o subprocesos concatenados en un mismo </w:t>
      </w:r>
      <w:proofErr w:type="spellStart"/>
      <w:r w:rsidRPr="00F754D2">
        <w:t>macroproceso</w:t>
      </w:r>
      <w:proofErr w:type="spellEnd"/>
      <w:r w:rsidRPr="00F754D2">
        <w:t>.</w:t>
      </w:r>
    </w:p>
    <w:p w14:paraId="5317713A" w14:textId="77777777" w:rsidR="00F754D2" w:rsidRPr="00F754D2" w:rsidRDefault="00F754D2" w:rsidP="00F754D2">
      <w:pPr>
        <w:pStyle w:val="Cdetexto"/>
      </w:pPr>
      <w:r w:rsidRPr="00F754D2">
        <w:t>Actualmente no existe un mecanismo institucional a través del cual estén formalizados los procesos</w:t>
      </w:r>
      <w:r w:rsidR="00080633">
        <w:t xml:space="preserve"> y</w:t>
      </w:r>
      <w:r w:rsidRPr="00F754D2">
        <w:t xml:space="preserve"> subprocesos, el funcionamiento de </w:t>
      </w:r>
      <w:r w:rsidR="005A634D">
        <w:t>e</w:t>
      </w:r>
      <w:r w:rsidRPr="00F754D2">
        <w:t>stos ha dependido más de la cohesión al interior de los equipos de trabajo que de una institucionalización de ellos.</w:t>
      </w:r>
    </w:p>
    <w:p w14:paraId="455F9344" w14:textId="77777777" w:rsidR="00F754D2" w:rsidRPr="00F754D2" w:rsidRDefault="00D94D1D" w:rsidP="00F754D2">
      <w:pPr>
        <w:pStyle w:val="Cdetexto"/>
      </w:pPr>
      <w:r>
        <w:t>Se carece</w:t>
      </w:r>
      <w:r w:rsidR="00F754D2" w:rsidRPr="00F754D2">
        <w:t xml:space="preserve"> de sistemas de información</w:t>
      </w:r>
      <w:r>
        <w:t>, lo</w:t>
      </w:r>
      <w:r w:rsidR="00F754D2" w:rsidRPr="00F754D2">
        <w:t xml:space="preserve"> que limita la eficiencia del trabajo y dificulta constatar la veracidad de la información.</w:t>
      </w:r>
    </w:p>
    <w:p w14:paraId="7EA15F55" w14:textId="77777777" w:rsidR="00F754D2" w:rsidRPr="009F0900" w:rsidRDefault="006F701F" w:rsidP="009F0900">
      <w:pPr>
        <w:pStyle w:val="Cdetexto"/>
      </w:pPr>
      <w:r>
        <w:t>S</w:t>
      </w:r>
      <w:r w:rsidR="00F754D2" w:rsidRPr="00F754D2">
        <w:t>e identificaron ocho procesos para la valoración ini</w:t>
      </w:r>
      <w:r w:rsidR="00FF4929">
        <w:t xml:space="preserve">cial, tres de los cuales son transversales. Dichos procesos </w:t>
      </w:r>
      <w:r w:rsidR="00F754D2" w:rsidRPr="00F754D2">
        <w:t>se llevan a cabo de manera paralela e independiente, con objetivos, usuarios, entregables y subprocesos que siguen un curso particular y sin que existan actividades, procedimientos o productos que les cone</w:t>
      </w:r>
      <w:r w:rsidR="009F0900">
        <w:t>cten o retroalimenten entre sí.</w:t>
      </w:r>
    </w:p>
    <w:p w14:paraId="0FD33299" w14:textId="77777777" w:rsidR="00F754D2" w:rsidRDefault="002F26E8" w:rsidP="009F0900">
      <w:pPr>
        <w:pStyle w:val="Cdetextonegrita"/>
        <w:rPr>
          <w:b w:val="0"/>
        </w:rPr>
      </w:pPr>
      <w:r>
        <w:rPr>
          <w:b w:val="0"/>
        </w:rPr>
        <w:t xml:space="preserve">El proceso </w:t>
      </w:r>
      <w:r w:rsidR="009F0900">
        <w:rPr>
          <w:b w:val="0"/>
        </w:rPr>
        <w:t>“</w:t>
      </w:r>
      <w:r w:rsidR="009F0900" w:rsidRPr="006D1CDB">
        <w:rPr>
          <w:b w:val="0"/>
        </w:rPr>
        <w:t>Programación, ejecución y seguimiento de las sesiones del Sistema Nacional para la igualdad entre Mujeres y Hombres</w:t>
      </w:r>
      <w:r w:rsidR="009F0900">
        <w:rPr>
          <w:b w:val="0"/>
        </w:rPr>
        <w:t xml:space="preserve"> [SNIMH]”</w:t>
      </w:r>
      <w:r w:rsidR="009F0900" w:rsidRPr="006D1CDB">
        <w:rPr>
          <w:b w:val="0"/>
        </w:rPr>
        <w:t xml:space="preserve"> </w:t>
      </w:r>
      <w:r>
        <w:rPr>
          <w:b w:val="0"/>
        </w:rPr>
        <w:t xml:space="preserve">no cuenta con plazos definidos (salvo para la notificación de la convocatoria de las sesiones). </w:t>
      </w:r>
      <w:r w:rsidR="00D94D1D">
        <w:rPr>
          <w:b w:val="0"/>
        </w:rPr>
        <w:t>Algunos t</w:t>
      </w:r>
      <w:r>
        <w:rPr>
          <w:b w:val="0"/>
        </w:rPr>
        <w:t>emas</w:t>
      </w:r>
      <w:r w:rsidR="00D94D1D">
        <w:rPr>
          <w:b w:val="0"/>
        </w:rPr>
        <w:t>,</w:t>
      </w:r>
      <w:r>
        <w:rPr>
          <w:b w:val="0"/>
        </w:rPr>
        <w:t xml:space="preserve"> como la periodicidad de las sesiones, cumplimiento de acuerdos o envío de información para los informes</w:t>
      </w:r>
      <w:r w:rsidR="00D94D1D">
        <w:rPr>
          <w:b w:val="0"/>
        </w:rPr>
        <w:t>,</w:t>
      </w:r>
      <w:r>
        <w:rPr>
          <w:b w:val="0"/>
        </w:rPr>
        <w:t xml:space="preserve"> no cuentan con periodos definidos en los instrumentos nor</w:t>
      </w:r>
      <w:r w:rsidR="009F0900">
        <w:rPr>
          <w:b w:val="0"/>
        </w:rPr>
        <w:t>mativos.</w:t>
      </w:r>
    </w:p>
    <w:p w14:paraId="3448CEA8" w14:textId="77777777" w:rsidR="00F754D2" w:rsidRDefault="002F26E8" w:rsidP="009F0900">
      <w:pPr>
        <w:pStyle w:val="Cdetextonegrita"/>
        <w:rPr>
          <w:b w:val="0"/>
        </w:rPr>
      </w:pPr>
      <w:r>
        <w:rPr>
          <w:b w:val="0"/>
        </w:rPr>
        <w:t xml:space="preserve">El proceso </w:t>
      </w:r>
      <w:r w:rsidR="009F0900">
        <w:rPr>
          <w:b w:val="0"/>
        </w:rPr>
        <w:t>“</w:t>
      </w:r>
      <w:r w:rsidR="009F0900" w:rsidRPr="006D1CDB">
        <w:rPr>
          <w:b w:val="0"/>
        </w:rPr>
        <w:t>Seguimiento a los Programas Presupuestales definidos en el Anexo Igualdad de género</w:t>
      </w:r>
      <w:r w:rsidR="009F0900">
        <w:rPr>
          <w:b w:val="0"/>
        </w:rPr>
        <w:t xml:space="preserve">” </w:t>
      </w:r>
      <w:r>
        <w:rPr>
          <w:b w:val="0"/>
        </w:rPr>
        <w:t xml:space="preserve">se ejecuta de acuerdo con los tiempos planeados en la normativa, pero si bien el área responsable del proceso </w:t>
      </w:r>
      <w:r w:rsidRPr="00E44AA7">
        <w:rPr>
          <w:b w:val="0"/>
        </w:rPr>
        <w:t xml:space="preserve">cuenta con los recursos de infraestructura, capacidad instalada e insumos tecnológicos necesarios, </w:t>
      </w:r>
      <w:r w:rsidR="009F0900">
        <w:rPr>
          <w:b w:val="0"/>
        </w:rPr>
        <w:t>el personal es insuficiente.</w:t>
      </w:r>
    </w:p>
    <w:p w14:paraId="682CC9E9" w14:textId="77777777" w:rsidR="00F754D2" w:rsidRDefault="002F26E8" w:rsidP="009F0900">
      <w:pPr>
        <w:pStyle w:val="Cdetextonegrita"/>
        <w:rPr>
          <w:b w:val="0"/>
        </w:rPr>
      </w:pPr>
      <w:r>
        <w:rPr>
          <w:b w:val="0"/>
        </w:rPr>
        <w:t xml:space="preserve">El proceso </w:t>
      </w:r>
      <w:r w:rsidR="009F0900">
        <w:rPr>
          <w:b w:val="0"/>
        </w:rPr>
        <w:t>“</w:t>
      </w:r>
      <w:r w:rsidR="009F0900" w:rsidRPr="006D1CDB">
        <w:rPr>
          <w:b w:val="0"/>
        </w:rPr>
        <w:t>Capacitación y Certificación</w:t>
      </w:r>
      <w:r w:rsidR="009F0900">
        <w:rPr>
          <w:b w:val="0"/>
        </w:rPr>
        <w:t xml:space="preserve">” </w:t>
      </w:r>
      <w:r>
        <w:rPr>
          <w:b w:val="0"/>
        </w:rPr>
        <w:t>se realiza dentro de los periodos planificados, con la excepción de las capacitaciones y certificaciones en línea, cuyo diseño en ocasiones tarda más de lo previsto impidiendo que las capacitaciones y certificaciones se realicen durante el primer trimestre del año. Asimismo, temas como insufi</w:t>
      </w:r>
      <w:r w:rsidR="009F0900">
        <w:rPr>
          <w:b w:val="0"/>
        </w:rPr>
        <w:t>ci</w:t>
      </w:r>
      <w:r>
        <w:rPr>
          <w:b w:val="0"/>
        </w:rPr>
        <w:t>encia de personal y recursos financieros también repercute</w:t>
      </w:r>
      <w:r w:rsidR="009F0900">
        <w:rPr>
          <w:b w:val="0"/>
        </w:rPr>
        <w:t>n</w:t>
      </w:r>
      <w:r>
        <w:rPr>
          <w:b w:val="0"/>
        </w:rPr>
        <w:t xml:space="preserve"> en el calendario de ejecución </w:t>
      </w:r>
      <w:r w:rsidR="009F0900">
        <w:rPr>
          <w:b w:val="0"/>
        </w:rPr>
        <w:t>del proceso.</w:t>
      </w:r>
    </w:p>
    <w:p w14:paraId="194AE968" w14:textId="77777777" w:rsidR="002F26E8" w:rsidRPr="002F26E8" w:rsidRDefault="002F26E8" w:rsidP="002F26E8">
      <w:pPr>
        <w:pStyle w:val="Cdetextonegrita"/>
        <w:rPr>
          <w:b w:val="0"/>
        </w:rPr>
      </w:pPr>
      <w:r w:rsidRPr="002F26E8">
        <w:rPr>
          <w:b w:val="0"/>
        </w:rPr>
        <w:t xml:space="preserve">El proceso </w:t>
      </w:r>
      <w:r w:rsidR="009F0900">
        <w:rPr>
          <w:b w:val="0"/>
        </w:rPr>
        <w:t>“</w:t>
      </w:r>
      <w:r w:rsidR="009F0900" w:rsidRPr="007111B6">
        <w:rPr>
          <w:b w:val="0"/>
        </w:rPr>
        <w:t>Solicitud de Alertas de Violencia de Género contra las Mujeres</w:t>
      </w:r>
      <w:r w:rsidR="009F0900">
        <w:rPr>
          <w:b w:val="0"/>
        </w:rPr>
        <w:t xml:space="preserve"> [AVGM]”</w:t>
      </w:r>
      <w:r w:rsidR="009F0900" w:rsidRPr="002F26E8">
        <w:rPr>
          <w:b w:val="0"/>
        </w:rPr>
        <w:t xml:space="preserve"> </w:t>
      </w:r>
      <w:r w:rsidRPr="002F26E8">
        <w:rPr>
          <w:b w:val="0"/>
        </w:rPr>
        <w:t>implica etapas y actividades que no están bajo control directo del INMUJERES</w:t>
      </w:r>
      <w:r w:rsidR="009F0900">
        <w:rPr>
          <w:b w:val="0"/>
        </w:rPr>
        <w:t>;</w:t>
      </w:r>
      <w:r w:rsidRPr="002F26E8">
        <w:rPr>
          <w:b w:val="0"/>
        </w:rPr>
        <w:t xml:space="preserve"> </w:t>
      </w:r>
      <w:r w:rsidR="009F0900">
        <w:rPr>
          <w:b w:val="0"/>
        </w:rPr>
        <w:t>a</w:t>
      </w:r>
      <w:r w:rsidRPr="002F26E8">
        <w:rPr>
          <w:b w:val="0"/>
        </w:rPr>
        <w:t>unque de acuerdo con el área responsable del proceso, los tiempos planteados en la normatividad en la materia se cumplen oportunamente, por lo menos por parte de INMUJERES, se carece de un sistema que permit</w:t>
      </w:r>
      <w:r w:rsidR="009F0900">
        <w:rPr>
          <w:b w:val="0"/>
        </w:rPr>
        <w:t>a verificar dicho cumplimiento.</w:t>
      </w:r>
    </w:p>
    <w:p w14:paraId="69E8F4A0" w14:textId="77777777" w:rsidR="00F754D2" w:rsidRDefault="002F26E8" w:rsidP="008016B2">
      <w:pPr>
        <w:pStyle w:val="Cdetextonegrita"/>
        <w:rPr>
          <w:b w:val="0"/>
        </w:rPr>
      </w:pPr>
      <w:r w:rsidRPr="002F26E8">
        <w:rPr>
          <w:b w:val="0"/>
        </w:rPr>
        <w:t xml:space="preserve">La falta de </w:t>
      </w:r>
      <w:proofErr w:type="spellStart"/>
      <w:r w:rsidRPr="002F26E8">
        <w:rPr>
          <w:b w:val="0"/>
        </w:rPr>
        <w:t>personal</w:t>
      </w:r>
      <w:proofErr w:type="spellEnd"/>
      <w:r w:rsidRPr="002F26E8">
        <w:rPr>
          <w:b w:val="0"/>
        </w:rPr>
        <w:t xml:space="preserve"> también incide </w:t>
      </w:r>
      <w:r w:rsidR="009F0900">
        <w:rPr>
          <w:b w:val="0"/>
        </w:rPr>
        <w:t>en</w:t>
      </w:r>
      <w:r w:rsidRPr="002F26E8">
        <w:rPr>
          <w:b w:val="0"/>
        </w:rPr>
        <w:t xml:space="preserve"> la prontitud con la que las solicitudes son procesadas, en virtud de</w:t>
      </w:r>
      <w:r w:rsidR="009F0900">
        <w:rPr>
          <w:b w:val="0"/>
        </w:rPr>
        <w:t xml:space="preserve"> que</w:t>
      </w:r>
      <w:r w:rsidRPr="002F26E8">
        <w:rPr>
          <w:b w:val="0"/>
        </w:rPr>
        <w:t xml:space="preserve"> en ocasiones </w:t>
      </w:r>
      <w:r w:rsidR="009F0900">
        <w:rPr>
          <w:b w:val="0"/>
        </w:rPr>
        <w:t>existe</w:t>
      </w:r>
      <w:r w:rsidRPr="002F26E8">
        <w:rPr>
          <w:b w:val="0"/>
        </w:rPr>
        <w:t xml:space="preserve"> sobrecarga de trabajo al </w:t>
      </w:r>
      <w:r w:rsidR="008016B2">
        <w:rPr>
          <w:b w:val="0"/>
        </w:rPr>
        <w:t>presentarse</w:t>
      </w:r>
      <w:r w:rsidRPr="002F26E8">
        <w:rPr>
          <w:b w:val="0"/>
        </w:rPr>
        <w:t xml:space="preserve"> varias solicitudes al mismo tiempo.</w:t>
      </w:r>
    </w:p>
    <w:p w14:paraId="28FD80A8" w14:textId="77777777" w:rsidR="002F26E8" w:rsidRDefault="002F26E8" w:rsidP="002F26E8">
      <w:pPr>
        <w:pStyle w:val="Cdetextonegrita"/>
        <w:rPr>
          <w:b w:val="0"/>
        </w:rPr>
      </w:pPr>
      <w:r>
        <w:rPr>
          <w:b w:val="0"/>
        </w:rPr>
        <w:t>El proceso</w:t>
      </w:r>
      <w:r w:rsidR="008016B2">
        <w:rPr>
          <w:b w:val="0"/>
        </w:rPr>
        <w:t xml:space="preserve"> “</w:t>
      </w:r>
      <w:proofErr w:type="spellStart"/>
      <w:r w:rsidR="008016B2" w:rsidRPr="007111B6">
        <w:rPr>
          <w:b w:val="0"/>
        </w:rPr>
        <w:t>Proequidad</w:t>
      </w:r>
      <w:proofErr w:type="spellEnd"/>
      <w:r w:rsidR="008016B2">
        <w:rPr>
          <w:b w:val="0"/>
        </w:rPr>
        <w:t>”</w:t>
      </w:r>
      <w:r>
        <w:rPr>
          <w:b w:val="0"/>
        </w:rPr>
        <w:t xml:space="preserve"> en ocasiones presenta problemas para la recepción de las solicitudes, en virtud de que el sistema que se utiliza</w:t>
      </w:r>
      <w:r w:rsidR="00080633">
        <w:rPr>
          <w:b w:val="0"/>
        </w:rPr>
        <w:t xml:space="preserve"> presenta</w:t>
      </w:r>
      <w:r>
        <w:rPr>
          <w:b w:val="0"/>
        </w:rPr>
        <w:t xml:space="preserve"> fallas que retrasan el proceso y dificultan dar seguimiento. Si bien el sistema es útil porque automatiza muchas actividades, debe estar operando en condiciones óptimas</w:t>
      </w:r>
      <w:r w:rsidR="008016B2">
        <w:rPr>
          <w:b w:val="0"/>
        </w:rPr>
        <w:t>,</w:t>
      </w:r>
      <w:r>
        <w:rPr>
          <w:b w:val="0"/>
        </w:rPr>
        <w:t xml:space="preserve"> lo cual no siempre resulta cierto.</w:t>
      </w:r>
    </w:p>
    <w:p w14:paraId="203D8167" w14:textId="77777777" w:rsidR="002F26E8" w:rsidRDefault="002F26E8" w:rsidP="002F26E8">
      <w:pPr>
        <w:pStyle w:val="Cdetextonegrita"/>
        <w:rPr>
          <w:b w:val="0"/>
        </w:rPr>
      </w:pPr>
      <w:r>
        <w:rPr>
          <w:b w:val="0"/>
        </w:rPr>
        <w:t>El proceso</w:t>
      </w:r>
      <w:r w:rsidR="008016B2">
        <w:rPr>
          <w:b w:val="0"/>
        </w:rPr>
        <w:t xml:space="preserve"> de </w:t>
      </w:r>
      <w:r w:rsidR="004C60D4">
        <w:rPr>
          <w:b w:val="0"/>
        </w:rPr>
        <w:t>“P</w:t>
      </w:r>
      <w:r w:rsidR="008016B2">
        <w:rPr>
          <w:b w:val="0"/>
        </w:rPr>
        <w:t>laneación</w:t>
      </w:r>
      <w:r w:rsidR="004C60D4">
        <w:rPr>
          <w:b w:val="0"/>
        </w:rPr>
        <w:t>”</w:t>
      </w:r>
      <w:r>
        <w:rPr>
          <w:b w:val="0"/>
        </w:rPr>
        <w:t xml:space="preserve"> es eficiente y en su mayoría se realiza de manera electrónica, de tal forma que la mayoría de los </w:t>
      </w:r>
      <w:r w:rsidR="00080633">
        <w:rPr>
          <w:b w:val="0"/>
        </w:rPr>
        <w:t>sub</w:t>
      </w:r>
      <w:r>
        <w:rPr>
          <w:b w:val="0"/>
        </w:rPr>
        <w:t>procesos están automatizados.</w:t>
      </w:r>
    </w:p>
    <w:p w14:paraId="729A141F" w14:textId="77777777" w:rsidR="002F26E8" w:rsidRDefault="002F26E8" w:rsidP="002F26E8">
      <w:pPr>
        <w:pStyle w:val="Cdetextonegrita"/>
        <w:rPr>
          <w:b w:val="0"/>
        </w:rPr>
      </w:pPr>
      <w:r>
        <w:rPr>
          <w:b w:val="0"/>
        </w:rPr>
        <w:lastRenderedPageBreak/>
        <w:t>El proceso</w:t>
      </w:r>
      <w:r w:rsidR="008016B2">
        <w:rPr>
          <w:b w:val="0"/>
        </w:rPr>
        <w:t xml:space="preserve"> de </w:t>
      </w:r>
      <w:r w:rsidR="004C60D4">
        <w:rPr>
          <w:b w:val="0"/>
        </w:rPr>
        <w:t>“M</w:t>
      </w:r>
      <w:r w:rsidR="008016B2">
        <w:rPr>
          <w:b w:val="0"/>
        </w:rPr>
        <w:t>onitoreo</w:t>
      </w:r>
      <w:r w:rsidR="004C60D4">
        <w:rPr>
          <w:b w:val="0"/>
        </w:rPr>
        <w:t>”</w:t>
      </w:r>
      <w:r>
        <w:rPr>
          <w:b w:val="0"/>
        </w:rPr>
        <w:t xml:space="preserve"> cuenta con los insumos necesarios para una operación eficiente, logrando que se cumpla con las actividades en tiempo y fo</w:t>
      </w:r>
      <w:r w:rsidR="008016B2">
        <w:rPr>
          <w:b w:val="0"/>
        </w:rPr>
        <w:t>rma. Por otro lado, el proceso s</w:t>
      </w:r>
      <w:r>
        <w:rPr>
          <w:b w:val="0"/>
        </w:rPr>
        <w:t>e realiza de manera electrónica</w:t>
      </w:r>
      <w:r w:rsidR="008016B2">
        <w:rPr>
          <w:b w:val="0"/>
        </w:rPr>
        <w:t>,</w:t>
      </w:r>
      <w:r w:rsidR="00080633">
        <w:rPr>
          <w:b w:val="0"/>
        </w:rPr>
        <w:t xml:space="preserve"> lo que contribuye a su</w:t>
      </w:r>
      <w:r>
        <w:rPr>
          <w:b w:val="0"/>
        </w:rPr>
        <w:t xml:space="preserve"> eficiencia.</w:t>
      </w:r>
    </w:p>
    <w:p w14:paraId="1C02E2F3" w14:textId="77777777" w:rsidR="002F26E8" w:rsidRDefault="002F26E8" w:rsidP="002F26E8">
      <w:pPr>
        <w:pStyle w:val="Cdetexto"/>
      </w:pPr>
      <w:r>
        <w:t>El proceso</w:t>
      </w:r>
      <w:r w:rsidR="008016B2">
        <w:t xml:space="preserve"> de </w:t>
      </w:r>
      <w:r w:rsidR="004C60D4">
        <w:t>“E</w:t>
      </w:r>
      <w:r w:rsidR="008016B2">
        <w:t>valuación externa</w:t>
      </w:r>
      <w:r w:rsidR="004C60D4">
        <w:t>”</w:t>
      </w:r>
      <w:r>
        <w:t xml:space="preserve"> requiere una alta coordinación entre las áreas responsables de contratar y supervisar las evaluaciones para garantizar que el proceso se </w:t>
      </w:r>
      <w:r w:rsidR="008016B2">
        <w:t>lleve a cabo en tiempo y forma.</w:t>
      </w:r>
    </w:p>
    <w:p w14:paraId="35C93728" w14:textId="77777777" w:rsidR="00F754D2" w:rsidRPr="00F754D2" w:rsidRDefault="002F26E8" w:rsidP="002F26E8">
      <w:pPr>
        <w:pStyle w:val="Cdetexto"/>
      </w:pPr>
      <w:r>
        <w:t>Se identificó que dentro de los 8 procesos no existen actividades y mecanismos para verificar que los diferentes procedimientos, procesos y subprocesos se estén ejecutando conforme a lo planeado. Por último, s</w:t>
      </w:r>
      <w:r w:rsidR="004C60D4">
        <w:t>ó</w:t>
      </w:r>
      <w:r>
        <w:t xml:space="preserve">lo en los procesos de </w:t>
      </w:r>
      <w:r w:rsidR="008016B2">
        <w:t>“</w:t>
      </w:r>
      <w:r>
        <w:t>Seguimiento a los Programas Presupuestales definidos en el Anexo Igualdad de género</w:t>
      </w:r>
      <w:r w:rsidR="008016B2">
        <w:t>”</w:t>
      </w:r>
      <w:r>
        <w:t xml:space="preserve"> y </w:t>
      </w:r>
      <w:r w:rsidR="008016B2">
        <w:t xml:space="preserve">de </w:t>
      </w:r>
      <w:r w:rsidR="004C60D4">
        <w:t>“P</w:t>
      </w:r>
      <w:r>
        <w:t>laneación</w:t>
      </w:r>
      <w:r w:rsidR="004C60D4">
        <w:t>”</w:t>
      </w:r>
      <w:r>
        <w:t xml:space="preserve"> se consideran actividades relacionadas al monitoreo.</w:t>
      </w:r>
    </w:p>
    <w:p w14:paraId="0355B9D3" w14:textId="77777777" w:rsidR="00F13410" w:rsidRPr="00FC7306" w:rsidRDefault="00F13410" w:rsidP="006F4565">
      <w:pPr>
        <w:pStyle w:val="Cdetextonegrita"/>
      </w:pPr>
      <w:r w:rsidRPr="00FC7306">
        <w:t>Principales Recomendaciones</w:t>
      </w:r>
    </w:p>
    <w:p w14:paraId="0AC6814A" w14:textId="77777777" w:rsidR="0037606D" w:rsidRPr="00D71458" w:rsidRDefault="00F754D2" w:rsidP="00000CD2">
      <w:pPr>
        <w:pStyle w:val="Bala"/>
        <w:numPr>
          <w:ilvl w:val="0"/>
          <w:numId w:val="19"/>
        </w:numPr>
      </w:pPr>
      <w:r w:rsidRPr="005B0058">
        <w:t xml:space="preserve">Reestructurar el </w:t>
      </w:r>
      <w:proofErr w:type="spellStart"/>
      <w:r w:rsidRPr="005B0058">
        <w:t>Pp</w:t>
      </w:r>
      <w:proofErr w:type="spellEnd"/>
      <w:r w:rsidRPr="005B0058">
        <w:t xml:space="preserve"> a fin de integrarlo efectivamente como un </w:t>
      </w:r>
      <w:proofErr w:type="spellStart"/>
      <w:r w:rsidR="00832004">
        <w:t>Pp</w:t>
      </w:r>
      <w:proofErr w:type="spellEnd"/>
      <w:r w:rsidR="00832004" w:rsidRPr="005B0058">
        <w:t xml:space="preserve"> </w:t>
      </w:r>
      <w:r w:rsidRPr="005B0058">
        <w:t xml:space="preserve">articulado, para lo cual se recomienda que se valore </w:t>
      </w:r>
      <w:r w:rsidR="00080633">
        <w:t xml:space="preserve">la </w:t>
      </w:r>
      <w:r w:rsidRPr="005B0058">
        <w:t xml:space="preserve">reorganización de los procesos con base en la readecuación de su MIR, así como la conveniencia de excluir algunos procesos de este </w:t>
      </w:r>
      <w:proofErr w:type="spellStart"/>
      <w:r w:rsidR="00832004">
        <w:t>Pp</w:t>
      </w:r>
      <w:proofErr w:type="spellEnd"/>
      <w:r w:rsidRPr="005B0058">
        <w:t xml:space="preserve">, que en sí mismos pueden constituir un </w:t>
      </w:r>
      <w:proofErr w:type="spellStart"/>
      <w:r w:rsidR="00832004">
        <w:t>Pp</w:t>
      </w:r>
      <w:proofErr w:type="spellEnd"/>
      <w:r w:rsidR="00832004">
        <w:t xml:space="preserve"> </w:t>
      </w:r>
      <w:r w:rsidRPr="005B0058">
        <w:t>independiente</w:t>
      </w:r>
      <w:r w:rsidR="006A0C8C">
        <w:t>,</w:t>
      </w:r>
      <w:r w:rsidRPr="005B0058">
        <w:t xml:space="preserve"> como es el caso del Programa </w:t>
      </w:r>
      <w:proofErr w:type="spellStart"/>
      <w:r w:rsidRPr="005B0058">
        <w:t>Proequidad</w:t>
      </w:r>
      <w:proofErr w:type="spellEnd"/>
      <w:r w:rsidRPr="005B0058">
        <w:t>.</w:t>
      </w:r>
    </w:p>
    <w:p w14:paraId="7C5A98BF" w14:textId="77777777" w:rsidR="00F754D2" w:rsidRDefault="00F754D2" w:rsidP="00F754D2">
      <w:pPr>
        <w:pStyle w:val="Bala"/>
        <w:numPr>
          <w:ilvl w:val="0"/>
          <w:numId w:val="19"/>
        </w:numPr>
      </w:pPr>
      <w:r w:rsidRPr="005B0058">
        <w:t>Instrumentar un mecanismo institucional a través del cual se sancionen y formalicen los procesos, subprocesos y</w:t>
      </w:r>
      <w:r w:rsidR="006A0C8C">
        <w:t>,</w:t>
      </w:r>
      <w:r w:rsidRPr="005B0058">
        <w:t xml:space="preserve"> en su caso</w:t>
      </w:r>
      <w:r w:rsidR="006A0C8C">
        <w:t>,</w:t>
      </w:r>
      <w:r w:rsidRPr="005B0058">
        <w:t xml:space="preserve"> </w:t>
      </w:r>
      <w:proofErr w:type="spellStart"/>
      <w:r w:rsidRPr="005B0058">
        <w:t>macroprocesos</w:t>
      </w:r>
      <w:proofErr w:type="spellEnd"/>
      <w:r w:rsidRPr="005B0058">
        <w:t xml:space="preserve"> que se llevan a cabo en el INMUJERES</w:t>
      </w:r>
      <w:r>
        <w:t>.</w:t>
      </w:r>
    </w:p>
    <w:p w14:paraId="3AA2BF50" w14:textId="77777777" w:rsidR="000B698A" w:rsidRPr="00D71458" w:rsidRDefault="00F754D2" w:rsidP="00F754D2">
      <w:pPr>
        <w:pStyle w:val="Bala"/>
        <w:numPr>
          <w:ilvl w:val="0"/>
          <w:numId w:val="19"/>
        </w:numPr>
      </w:pPr>
      <w:r w:rsidRPr="00613244">
        <w:t>Implementar sistemas de información por proceso que permitan una adecuada estandarización, integración y administración de información.</w:t>
      </w:r>
    </w:p>
    <w:p w14:paraId="10923782" w14:textId="77777777" w:rsidR="00F754D2" w:rsidRDefault="00F754D2" w:rsidP="002F26E8">
      <w:pPr>
        <w:pStyle w:val="Bala"/>
        <w:numPr>
          <w:ilvl w:val="0"/>
          <w:numId w:val="19"/>
        </w:numPr>
      </w:pPr>
      <w:r w:rsidRPr="00613244">
        <w:t>Elaborar un manual de procedimientos que formalice las operaciones que se llevan a cabo para realizar la programación, ejecución y seguimi</w:t>
      </w:r>
      <w:r>
        <w:t xml:space="preserve">ento a las sesiones del </w:t>
      </w:r>
      <w:r w:rsidR="008016B2">
        <w:t>SNIMH</w:t>
      </w:r>
      <w:r>
        <w:t>.</w:t>
      </w:r>
    </w:p>
    <w:p w14:paraId="546828BA" w14:textId="77777777" w:rsidR="00F754D2" w:rsidRDefault="0080164B" w:rsidP="00D06D09">
      <w:pPr>
        <w:pStyle w:val="Bala"/>
        <w:numPr>
          <w:ilvl w:val="0"/>
          <w:numId w:val="19"/>
        </w:numPr>
      </w:pPr>
      <w:r>
        <w:t>I</w:t>
      </w:r>
      <w:r w:rsidR="00F754D2" w:rsidRPr="00613244">
        <w:t>ncrementar el personal que se dedica a dar seguimiento al presupuesto</w:t>
      </w:r>
      <w:r w:rsidR="00D06D09">
        <w:t xml:space="preserve"> y aquel </w:t>
      </w:r>
      <w:r w:rsidR="00F754D2" w:rsidRPr="00613244">
        <w:t xml:space="preserve">que interviene en el proceso </w:t>
      </w:r>
      <w:r>
        <w:t>de s</w:t>
      </w:r>
      <w:r w:rsidRPr="00613244">
        <w:t xml:space="preserve">olicitud de </w:t>
      </w:r>
      <w:r w:rsidR="006A0C8C">
        <w:t>AVGM</w:t>
      </w:r>
      <w:r w:rsidR="00F754D2" w:rsidRPr="00613244">
        <w:t>.</w:t>
      </w:r>
    </w:p>
    <w:p w14:paraId="3AEF51BF" w14:textId="77777777" w:rsidR="00F754D2" w:rsidRDefault="00F754D2" w:rsidP="002F26E8">
      <w:pPr>
        <w:pStyle w:val="Bala"/>
        <w:numPr>
          <w:ilvl w:val="0"/>
          <w:numId w:val="19"/>
        </w:numPr>
      </w:pPr>
      <w:r w:rsidRPr="00613244">
        <w:t>Incluir</w:t>
      </w:r>
      <w:r w:rsidR="0080164B">
        <w:t>,</w:t>
      </w:r>
      <w:r w:rsidRPr="00613244">
        <w:t xml:space="preserve"> como una actividad del proceso </w:t>
      </w:r>
      <w:r w:rsidR="0080164B">
        <w:t xml:space="preserve">de </w:t>
      </w:r>
      <w:r w:rsidR="006A0C8C">
        <w:t>“S</w:t>
      </w:r>
      <w:r w:rsidR="0080164B" w:rsidRPr="00613244">
        <w:t xml:space="preserve">olicitud de </w:t>
      </w:r>
      <w:r w:rsidR="006A0C8C">
        <w:t>AVGM”</w:t>
      </w:r>
      <w:r w:rsidR="0080164B">
        <w:t xml:space="preserve">, </w:t>
      </w:r>
      <w:r w:rsidRPr="00613244">
        <w:t xml:space="preserve">la asesoría </w:t>
      </w:r>
      <w:r w:rsidR="00FE1FCA">
        <w:t>dirigida a las</w:t>
      </w:r>
      <w:r w:rsidR="00FE1FCA" w:rsidRPr="00613244">
        <w:t xml:space="preserve"> organizaciones </w:t>
      </w:r>
      <w:r w:rsidRPr="00613244">
        <w:t xml:space="preserve">para la integración de solicitudes, a fin de que </w:t>
      </w:r>
      <w:r w:rsidR="006A0C8C">
        <w:t xml:space="preserve">éstas </w:t>
      </w:r>
      <w:r w:rsidRPr="00613244">
        <w:t>cuenten con mejores elementos para presentarlas.</w:t>
      </w:r>
    </w:p>
    <w:p w14:paraId="0A1FCEA0" w14:textId="77777777" w:rsidR="00F754D2" w:rsidRDefault="00F754D2" w:rsidP="002F26E8">
      <w:pPr>
        <w:pStyle w:val="Bala"/>
        <w:numPr>
          <w:ilvl w:val="0"/>
          <w:numId w:val="19"/>
        </w:numPr>
      </w:pPr>
      <w:r w:rsidRPr="00613244">
        <w:t>Diseñar y operar un sistema de indicadores para valorar y medir la gravedad y urgencia de la situación de violencia de género y violaciones a los derechos humanos de las mujeres que existe en las entidades en las que se solicita AVGM.</w:t>
      </w:r>
    </w:p>
    <w:p w14:paraId="0146997C" w14:textId="77777777" w:rsidR="00F754D2" w:rsidRDefault="00F754D2" w:rsidP="002F26E8">
      <w:pPr>
        <w:pStyle w:val="Bala"/>
        <w:numPr>
          <w:ilvl w:val="0"/>
          <w:numId w:val="19"/>
        </w:numPr>
      </w:pPr>
      <w:r w:rsidRPr="00613244">
        <w:t xml:space="preserve">Incorporar en el proceso </w:t>
      </w:r>
      <w:r w:rsidR="005E58A4">
        <w:t xml:space="preserve">de </w:t>
      </w:r>
      <w:r w:rsidR="006A0C8C">
        <w:t>“S</w:t>
      </w:r>
      <w:r w:rsidR="005E58A4" w:rsidRPr="00613244">
        <w:t xml:space="preserve">olicitud de </w:t>
      </w:r>
      <w:r w:rsidR="006A0C8C">
        <w:t>AVGM</w:t>
      </w:r>
      <w:r w:rsidR="00FE1FCA">
        <w:t>”</w:t>
      </w:r>
      <w:r w:rsidR="006A0C8C">
        <w:t xml:space="preserve"> </w:t>
      </w:r>
      <w:r w:rsidR="005E58A4">
        <w:t>en</w:t>
      </w:r>
      <w:r w:rsidRPr="00613244">
        <w:t xml:space="preserve"> los Gobiernos Municipales</w:t>
      </w:r>
      <w:r>
        <w:t>.</w:t>
      </w:r>
    </w:p>
    <w:p w14:paraId="0C7AD6DC" w14:textId="77777777" w:rsidR="00F754D2" w:rsidRDefault="00F754D2" w:rsidP="002F26E8">
      <w:pPr>
        <w:pStyle w:val="Bala"/>
        <w:numPr>
          <w:ilvl w:val="0"/>
          <w:numId w:val="19"/>
        </w:numPr>
      </w:pPr>
      <w:r w:rsidRPr="00613244">
        <w:t xml:space="preserve">Diseñar e implementar una plataforma informática que permita registrar, sistematizar y dar seguimiento a la información que se genera </w:t>
      </w:r>
      <w:r w:rsidR="00FE1FCA">
        <w:t>para</w:t>
      </w:r>
      <w:r w:rsidRPr="00613244">
        <w:t xml:space="preserve"> la ejecución del proceso</w:t>
      </w:r>
      <w:r w:rsidR="005E58A4">
        <w:t xml:space="preserve"> de s</w:t>
      </w:r>
      <w:r w:rsidR="005E58A4" w:rsidRPr="00613244">
        <w:t xml:space="preserve">olicitud de </w:t>
      </w:r>
      <w:r w:rsidR="006A0C8C">
        <w:t>AVGM</w:t>
      </w:r>
      <w:r w:rsidRPr="00613244">
        <w:t>.</w:t>
      </w:r>
    </w:p>
    <w:p w14:paraId="5F915ADC" w14:textId="77777777" w:rsidR="00F754D2" w:rsidRDefault="00F754D2" w:rsidP="002F26E8">
      <w:pPr>
        <w:pStyle w:val="Bala"/>
        <w:numPr>
          <w:ilvl w:val="0"/>
          <w:numId w:val="19"/>
        </w:numPr>
      </w:pPr>
      <w:r w:rsidRPr="00613244">
        <w:t>Buscar asesorías especializadas que permitan asegurar el adecuado funcionamiento del Sistema informático</w:t>
      </w:r>
      <w:r w:rsidR="008340EF">
        <w:t xml:space="preserve"> del </w:t>
      </w:r>
      <w:r w:rsidR="008340EF" w:rsidRPr="00613244">
        <w:t xml:space="preserve">Programa </w:t>
      </w:r>
      <w:proofErr w:type="spellStart"/>
      <w:r w:rsidR="008340EF" w:rsidRPr="00613244">
        <w:t>Proequidad</w:t>
      </w:r>
      <w:proofErr w:type="spellEnd"/>
      <w:r w:rsidRPr="00613244">
        <w:t>.</w:t>
      </w:r>
    </w:p>
    <w:p w14:paraId="6657A451" w14:textId="77777777" w:rsidR="00F754D2" w:rsidRDefault="00F754D2" w:rsidP="002F26E8">
      <w:pPr>
        <w:pStyle w:val="Bala"/>
        <w:numPr>
          <w:ilvl w:val="0"/>
          <w:numId w:val="19"/>
        </w:numPr>
      </w:pPr>
      <w:r w:rsidRPr="00613244">
        <w:t xml:space="preserve">Definir mecanismos para verificar la calidad de la </w:t>
      </w:r>
      <w:proofErr w:type="spellStart"/>
      <w:r w:rsidRPr="00613244">
        <w:t>dictaminación</w:t>
      </w:r>
      <w:proofErr w:type="spellEnd"/>
      <w:r w:rsidR="008340EF">
        <w:t xml:space="preserve"> del </w:t>
      </w:r>
      <w:r w:rsidR="008340EF" w:rsidRPr="00613244">
        <w:t xml:space="preserve">Programa </w:t>
      </w:r>
      <w:proofErr w:type="spellStart"/>
      <w:r w:rsidR="008340EF" w:rsidRPr="00613244">
        <w:t>Proequidad</w:t>
      </w:r>
      <w:proofErr w:type="spellEnd"/>
      <w:r w:rsidRPr="00613244">
        <w:t xml:space="preserve">. Si bien se asume que las personas que integran el Comité Dictaminador disponen del perfil requerido, es necesario verificar que los tiempos, las cargas de trabajo y los criterios que orientan la </w:t>
      </w:r>
      <w:proofErr w:type="spellStart"/>
      <w:r w:rsidRPr="00613244">
        <w:t>dictaminación</w:t>
      </w:r>
      <w:proofErr w:type="spellEnd"/>
      <w:r w:rsidRPr="00613244">
        <w:t xml:space="preserve"> son adecuados para asegurar que esta fase se realiza con calidad.</w:t>
      </w:r>
    </w:p>
    <w:p w14:paraId="4B479948" w14:textId="77777777" w:rsidR="00F754D2" w:rsidRDefault="00F754D2" w:rsidP="002F26E8">
      <w:pPr>
        <w:pStyle w:val="Bala"/>
        <w:numPr>
          <w:ilvl w:val="0"/>
          <w:numId w:val="19"/>
        </w:numPr>
      </w:pPr>
      <w:r w:rsidRPr="00613244">
        <w:lastRenderedPageBreak/>
        <w:t>Brindar capacitación en materia de indicadores al personal que participa en la formulació</w:t>
      </w:r>
      <w:r w:rsidRPr="009F6AF2">
        <w:t>n y seguimiento a los indicadores que se definen en primer término en el P</w:t>
      </w:r>
      <w:r w:rsidR="009F6AF2" w:rsidRPr="009F6AF2">
        <w:t xml:space="preserve">rograma Anual para Resultados </w:t>
      </w:r>
      <w:r w:rsidRPr="009F6AF2">
        <w:t>de su propia área y, en segundo término en el P</w:t>
      </w:r>
      <w:r w:rsidR="009F6AF2" w:rsidRPr="009F6AF2">
        <w:t xml:space="preserve">rograma </w:t>
      </w:r>
      <w:r w:rsidRPr="009F6AF2">
        <w:t>A</w:t>
      </w:r>
      <w:r w:rsidR="009F6AF2" w:rsidRPr="009F6AF2">
        <w:t xml:space="preserve">nual para </w:t>
      </w:r>
      <w:r w:rsidRPr="009F6AF2">
        <w:t>R</w:t>
      </w:r>
      <w:r w:rsidR="009F6AF2" w:rsidRPr="009F6AF2">
        <w:t>esultados</w:t>
      </w:r>
      <w:r w:rsidRPr="00613244">
        <w:t xml:space="preserve"> de la Institución.</w:t>
      </w:r>
    </w:p>
    <w:p w14:paraId="14D0418A" w14:textId="77777777" w:rsidR="00DD23A1" w:rsidRDefault="00F754D2" w:rsidP="002F26E8">
      <w:pPr>
        <w:pStyle w:val="Bala"/>
        <w:numPr>
          <w:ilvl w:val="0"/>
          <w:numId w:val="19"/>
        </w:numPr>
      </w:pPr>
      <w:r w:rsidRPr="00613244">
        <w:t>Diseñar e implementar un sistema de información que permita que las áreas alimenten</w:t>
      </w:r>
      <w:r w:rsidR="000403FA">
        <w:t>,</w:t>
      </w:r>
      <w:r w:rsidRPr="00613244">
        <w:t xml:space="preserve"> de manera sistemática</w:t>
      </w:r>
      <w:r w:rsidR="000403FA">
        <w:t>,</w:t>
      </w:r>
      <w:r w:rsidRPr="00613244">
        <w:t xml:space="preserve"> los indicadores contemplados para el monitoreo y que favorezca la generación de reportes.</w:t>
      </w:r>
    </w:p>
    <w:p w14:paraId="146F1192" w14:textId="77777777" w:rsidR="00E7446A" w:rsidRPr="00FC7306" w:rsidRDefault="00E7446A" w:rsidP="00E7446A">
      <w:pPr>
        <w:pStyle w:val="Bala"/>
        <w:ind w:left="720"/>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F13410" w:rsidRPr="00FC7306" w14:paraId="02305AC3" w14:textId="77777777" w:rsidTr="006B532E">
        <w:trPr>
          <w:trHeight w:val="675"/>
        </w:trPr>
        <w:tc>
          <w:tcPr>
            <w:tcW w:w="749" w:type="pct"/>
            <w:vAlign w:val="center"/>
          </w:tcPr>
          <w:p w14:paraId="0401B7A1" w14:textId="77777777" w:rsidR="00F13410" w:rsidRPr="00FC7306" w:rsidRDefault="00F13410" w:rsidP="006B532E">
            <w:pPr>
              <w:spacing w:before="20" w:after="0"/>
              <w:ind w:left="170"/>
              <w:rPr>
                <w:b/>
                <w:sz w:val="16"/>
                <w:lang w:val="es-ES"/>
              </w:rPr>
            </w:pPr>
            <w:r w:rsidRPr="00FC7306">
              <w:rPr>
                <w:b/>
                <w:sz w:val="16"/>
                <w:lang w:val="es-ES"/>
              </w:rPr>
              <w:t>Evaluador Externo</w:t>
            </w:r>
            <w:r w:rsidR="00503632">
              <w:rPr>
                <w:b/>
                <w:sz w:val="16"/>
                <w:lang w:val="es-ES"/>
              </w:rPr>
              <w:t>:</w:t>
            </w:r>
          </w:p>
        </w:tc>
        <w:tc>
          <w:tcPr>
            <w:tcW w:w="4251" w:type="pct"/>
            <w:gridSpan w:val="3"/>
          </w:tcPr>
          <w:p w14:paraId="50EE47B2" w14:textId="77777777" w:rsidR="0008339F" w:rsidRDefault="00F13410" w:rsidP="006B532E">
            <w:pPr>
              <w:spacing w:before="20" w:after="0"/>
              <w:ind w:left="113"/>
              <w:rPr>
                <w:sz w:val="16"/>
                <w:lang w:val="es-ES"/>
              </w:rPr>
            </w:pPr>
            <w:r w:rsidRPr="00FC7306">
              <w:rPr>
                <w:sz w:val="16"/>
                <w:lang w:val="es-ES"/>
              </w:rPr>
              <w:t>1. Instancia Evaluadora</w:t>
            </w:r>
            <w:r>
              <w:rPr>
                <w:sz w:val="16"/>
                <w:lang w:val="es-ES"/>
              </w:rPr>
              <w:t>:</w:t>
            </w:r>
            <w:r w:rsidRPr="00FC7306">
              <w:rPr>
                <w:sz w:val="16"/>
                <w:lang w:val="es-ES"/>
              </w:rPr>
              <w:t xml:space="preserve"> </w:t>
            </w:r>
            <w:r w:rsidR="00C01027" w:rsidRPr="00613244">
              <w:rPr>
                <w:sz w:val="16"/>
                <w:lang w:val="es-ES"/>
              </w:rPr>
              <w:t>Estudios y estrategias para el Desarrollo y la Equidad, EPADEQ S.C.</w:t>
            </w:r>
          </w:p>
          <w:p w14:paraId="604157F2" w14:textId="77777777" w:rsidR="00F13410" w:rsidRPr="00FC7306" w:rsidRDefault="00F13410" w:rsidP="006B532E">
            <w:pPr>
              <w:spacing w:before="20" w:after="0"/>
              <w:ind w:left="113"/>
              <w:rPr>
                <w:sz w:val="16"/>
                <w:lang w:val="es-ES"/>
              </w:rPr>
            </w:pPr>
            <w:r w:rsidRPr="00FC7306">
              <w:rPr>
                <w:sz w:val="16"/>
                <w:lang w:val="es-ES"/>
              </w:rPr>
              <w:t xml:space="preserve">2. Coordinador de la Evaluación: </w:t>
            </w:r>
            <w:r w:rsidR="00C01027" w:rsidRPr="00613244">
              <w:rPr>
                <w:sz w:val="16"/>
                <w:lang w:val="es-ES"/>
              </w:rPr>
              <w:t>Moisés Domínguez Pérez</w:t>
            </w:r>
          </w:p>
          <w:p w14:paraId="45D7C86A" w14:textId="77777777" w:rsidR="00F13410" w:rsidRPr="00FC7306" w:rsidRDefault="00F13410" w:rsidP="00DE1828">
            <w:pPr>
              <w:spacing w:before="20" w:after="0"/>
              <w:ind w:left="113"/>
              <w:rPr>
                <w:sz w:val="16"/>
                <w:lang w:val="es-ES"/>
              </w:rPr>
            </w:pPr>
            <w:r w:rsidRPr="00FC7306">
              <w:rPr>
                <w:sz w:val="16"/>
                <w:lang w:val="es-ES"/>
              </w:rPr>
              <w:t xml:space="preserve">3. Forma de contratación: </w:t>
            </w:r>
            <w:r w:rsidR="00C01027" w:rsidRPr="007816BF">
              <w:rPr>
                <w:sz w:val="16"/>
                <w:lang w:val="es-ES"/>
              </w:rPr>
              <w:t xml:space="preserve">Invitación a cuando menos tres </w:t>
            </w:r>
            <w:r w:rsidR="00DE1828">
              <w:rPr>
                <w:sz w:val="16"/>
                <w:lang w:val="es-ES"/>
              </w:rPr>
              <w:t>personas</w:t>
            </w:r>
          </w:p>
        </w:tc>
      </w:tr>
      <w:tr w:rsidR="00993F6E" w:rsidRPr="00FC7306" w14:paraId="6AB7B663" w14:textId="77777777" w:rsidTr="00993F6E">
        <w:trPr>
          <w:trHeight w:val="80"/>
        </w:trPr>
        <w:tc>
          <w:tcPr>
            <w:tcW w:w="749" w:type="pct"/>
            <w:vAlign w:val="center"/>
          </w:tcPr>
          <w:p w14:paraId="14168C90" w14:textId="77777777" w:rsidR="00993F6E" w:rsidRPr="00FC7306" w:rsidRDefault="00993F6E" w:rsidP="006B532E">
            <w:pPr>
              <w:spacing w:before="20" w:after="0"/>
              <w:ind w:left="170"/>
              <w:rPr>
                <w:b/>
                <w:sz w:val="16"/>
                <w:lang w:val="es-ES"/>
              </w:rPr>
            </w:pPr>
          </w:p>
        </w:tc>
        <w:tc>
          <w:tcPr>
            <w:tcW w:w="4251" w:type="pct"/>
            <w:gridSpan w:val="3"/>
          </w:tcPr>
          <w:p w14:paraId="401B19C0" w14:textId="77777777" w:rsidR="00993F6E" w:rsidRPr="00FC7306" w:rsidRDefault="00993F6E" w:rsidP="006B532E">
            <w:pPr>
              <w:spacing w:before="20" w:after="0"/>
              <w:ind w:left="113"/>
              <w:rPr>
                <w:sz w:val="16"/>
                <w:lang w:val="es-ES"/>
              </w:rPr>
            </w:pPr>
          </w:p>
        </w:tc>
      </w:tr>
      <w:tr w:rsidR="00F13410" w:rsidRPr="00FC7306" w14:paraId="71454E8D" w14:textId="77777777" w:rsidTr="00461F58">
        <w:tc>
          <w:tcPr>
            <w:tcW w:w="749" w:type="pct"/>
            <w:vAlign w:val="center"/>
          </w:tcPr>
          <w:p w14:paraId="24DCD36D" w14:textId="77777777" w:rsidR="00F13410" w:rsidRPr="00FC7306" w:rsidRDefault="00F13410" w:rsidP="00461F58">
            <w:pPr>
              <w:spacing w:before="20" w:after="0"/>
              <w:ind w:left="170"/>
              <w:rPr>
                <w:b/>
                <w:sz w:val="16"/>
                <w:lang w:val="es-ES"/>
              </w:rPr>
            </w:pPr>
            <w:r w:rsidRPr="00FC7306">
              <w:rPr>
                <w:b/>
                <w:sz w:val="16"/>
                <w:lang w:val="es-ES"/>
              </w:rPr>
              <w:t>Costo:</w:t>
            </w:r>
          </w:p>
        </w:tc>
        <w:tc>
          <w:tcPr>
            <w:tcW w:w="1113" w:type="pct"/>
            <w:vAlign w:val="center"/>
          </w:tcPr>
          <w:p w14:paraId="46A7BFCF" w14:textId="77777777" w:rsidR="00F13410" w:rsidRPr="00FC7306" w:rsidRDefault="00F13410" w:rsidP="00C01027">
            <w:pPr>
              <w:spacing w:before="20" w:after="0"/>
              <w:ind w:left="113"/>
              <w:rPr>
                <w:sz w:val="16"/>
                <w:lang w:val="es-ES"/>
              </w:rPr>
            </w:pPr>
            <w:r w:rsidRPr="00FC7306">
              <w:rPr>
                <w:sz w:val="16"/>
                <w:lang w:val="es-ES"/>
              </w:rPr>
              <w:t>$</w:t>
            </w:r>
            <w:r w:rsidR="007816BF" w:rsidRPr="007816BF">
              <w:rPr>
                <w:sz w:val="16"/>
                <w:lang w:val="es-ES"/>
              </w:rPr>
              <w:t>8</w:t>
            </w:r>
            <w:r w:rsidR="00C01027">
              <w:rPr>
                <w:sz w:val="16"/>
                <w:lang w:val="es-ES"/>
              </w:rPr>
              <w:t>00</w:t>
            </w:r>
            <w:r w:rsidR="007816BF" w:rsidRPr="007816BF">
              <w:rPr>
                <w:sz w:val="16"/>
                <w:lang w:val="es-ES"/>
              </w:rPr>
              <w:t>,</w:t>
            </w:r>
            <w:r w:rsidR="00C01027">
              <w:rPr>
                <w:sz w:val="16"/>
                <w:lang w:val="es-ES"/>
              </w:rPr>
              <w:t>0</w:t>
            </w:r>
            <w:r w:rsidR="007816BF" w:rsidRPr="007816BF">
              <w:rPr>
                <w:sz w:val="16"/>
                <w:lang w:val="es-ES"/>
              </w:rPr>
              <w:t>00.00</w:t>
            </w:r>
            <w:r w:rsidRPr="00FC7306">
              <w:t xml:space="preserve"> </w:t>
            </w:r>
            <w:r w:rsidR="00896C6C">
              <w:rPr>
                <w:sz w:val="16"/>
                <w:lang w:val="es-ES"/>
              </w:rPr>
              <w:t>IVA incluido</w:t>
            </w:r>
          </w:p>
        </w:tc>
        <w:tc>
          <w:tcPr>
            <w:tcW w:w="904" w:type="pct"/>
            <w:vAlign w:val="center"/>
          </w:tcPr>
          <w:p w14:paraId="2C763F6B" w14:textId="77777777" w:rsidR="00F13410" w:rsidRPr="00FC7306" w:rsidRDefault="00870459" w:rsidP="00461F58">
            <w:pPr>
              <w:spacing w:before="20" w:after="0"/>
              <w:ind w:left="170"/>
              <w:rPr>
                <w:b/>
                <w:sz w:val="16"/>
                <w:lang w:val="es-ES"/>
              </w:rPr>
            </w:pPr>
            <w:r>
              <w:rPr>
                <w:b/>
                <w:sz w:val="16"/>
                <w:lang w:val="es-ES"/>
              </w:rPr>
              <w:t>Fuente de Financiamiento:</w:t>
            </w:r>
            <w:r w:rsidR="00F13410" w:rsidRPr="00FC7306">
              <w:rPr>
                <w:b/>
                <w:sz w:val="16"/>
                <w:lang w:val="es-ES"/>
              </w:rPr>
              <w:t xml:space="preserve"> </w:t>
            </w:r>
          </w:p>
        </w:tc>
        <w:tc>
          <w:tcPr>
            <w:tcW w:w="2234" w:type="pct"/>
            <w:vAlign w:val="center"/>
          </w:tcPr>
          <w:p w14:paraId="4F6BAFD5" w14:textId="77777777" w:rsidR="00F13410" w:rsidRPr="00FC7306" w:rsidRDefault="008A45C7" w:rsidP="00461F58">
            <w:pPr>
              <w:spacing w:before="20" w:after="0"/>
              <w:rPr>
                <w:sz w:val="16"/>
                <w:lang w:val="es-ES"/>
              </w:rPr>
            </w:pPr>
            <w:r w:rsidRPr="008A45C7">
              <w:rPr>
                <w:sz w:val="16"/>
                <w:lang w:val="es-ES"/>
              </w:rPr>
              <w:t xml:space="preserve">Recursos </w:t>
            </w:r>
            <w:r w:rsidR="00147D36">
              <w:rPr>
                <w:sz w:val="16"/>
                <w:lang w:val="es-ES"/>
              </w:rPr>
              <w:t>Fiscales</w:t>
            </w:r>
          </w:p>
        </w:tc>
      </w:tr>
      <w:tr w:rsidR="00F13410" w:rsidRPr="00FC7306" w14:paraId="098A2950" w14:textId="77777777" w:rsidTr="00461F58">
        <w:tc>
          <w:tcPr>
            <w:tcW w:w="749" w:type="pct"/>
            <w:tcBorders>
              <w:bottom w:val="single" w:sz="4" w:space="0" w:color="auto"/>
            </w:tcBorders>
            <w:vAlign w:val="bottom"/>
          </w:tcPr>
          <w:p w14:paraId="0AE35EB4" w14:textId="77777777" w:rsidR="00F13410" w:rsidRPr="00FC7306" w:rsidRDefault="00F13410" w:rsidP="006B532E">
            <w:pPr>
              <w:pStyle w:val="Textocuadroneg1"/>
              <w:rPr>
                <w:sz w:val="16"/>
                <w:szCs w:val="16"/>
              </w:rPr>
            </w:pPr>
            <w:r w:rsidRPr="00FC7306">
              <w:rPr>
                <w:sz w:val="16"/>
                <w:szCs w:val="16"/>
              </w:rPr>
              <w:t>Coordinación de la Evaluación</w:t>
            </w:r>
            <w:r w:rsidR="00503632">
              <w:rPr>
                <w:sz w:val="16"/>
                <w:szCs w:val="16"/>
              </w:rPr>
              <w:t>:</w:t>
            </w:r>
          </w:p>
        </w:tc>
        <w:tc>
          <w:tcPr>
            <w:tcW w:w="1113" w:type="pct"/>
            <w:tcBorders>
              <w:bottom w:val="single" w:sz="4" w:space="0" w:color="auto"/>
            </w:tcBorders>
            <w:vAlign w:val="center"/>
          </w:tcPr>
          <w:p w14:paraId="4FB4CD05" w14:textId="77777777" w:rsidR="00F13410" w:rsidRPr="00FC7306" w:rsidRDefault="007816BF" w:rsidP="006B532E">
            <w:pPr>
              <w:pStyle w:val="Cdetexto"/>
              <w:spacing w:after="0"/>
              <w:jc w:val="center"/>
              <w:rPr>
                <w:sz w:val="14"/>
                <w:szCs w:val="14"/>
              </w:rPr>
            </w:pPr>
            <w:r w:rsidRPr="007816BF">
              <w:rPr>
                <w:sz w:val="16"/>
                <w:szCs w:val="14"/>
              </w:rPr>
              <w:t>SHCP</w:t>
            </w:r>
          </w:p>
        </w:tc>
        <w:tc>
          <w:tcPr>
            <w:tcW w:w="904" w:type="pct"/>
            <w:tcBorders>
              <w:bottom w:val="single" w:sz="4" w:space="0" w:color="auto"/>
            </w:tcBorders>
            <w:vAlign w:val="center"/>
          </w:tcPr>
          <w:p w14:paraId="662A2A68" w14:textId="77777777" w:rsidR="00F13410" w:rsidRPr="00FC7306" w:rsidRDefault="00F13410" w:rsidP="00461F58">
            <w:pPr>
              <w:pStyle w:val="Textocuadroneg1"/>
              <w:rPr>
                <w:sz w:val="16"/>
                <w:szCs w:val="16"/>
              </w:rPr>
            </w:pPr>
            <w:r w:rsidRPr="00FC7306">
              <w:rPr>
                <w:sz w:val="16"/>
                <w:szCs w:val="16"/>
              </w:rPr>
              <w:t>Informe completo</w:t>
            </w:r>
            <w:r w:rsidR="00503632">
              <w:rPr>
                <w:sz w:val="16"/>
                <w:szCs w:val="16"/>
              </w:rPr>
              <w:t>:</w:t>
            </w:r>
          </w:p>
        </w:tc>
        <w:tc>
          <w:tcPr>
            <w:tcW w:w="2234" w:type="pct"/>
            <w:tcBorders>
              <w:bottom w:val="single" w:sz="4" w:space="0" w:color="auto"/>
            </w:tcBorders>
            <w:vAlign w:val="center"/>
          </w:tcPr>
          <w:p w14:paraId="7AA9BFB4" w14:textId="77777777" w:rsidR="00F13410" w:rsidRPr="00FC7306" w:rsidRDefault="00F13410" w:rsidP="00461F58">
            <w:pPr>
              <w:pStyle w:val="Textocuadro1"/>
              <w:rPr>
                <w:sz w:val="16"/>
                <w:szCs w:val="16"/>
              </w:rPr>
            </w:pPr>
            <w:r w:rsidRPr="00FC7306">
              <w:rPr>
                <w:sz w:val="16"/>
                <w:szCs w:val="16"/>
              </w:rPr>
              <w:t>Disponible en:</w:t>
            </w:r>
          </w:p>
          <w:p w14:paraId="5D2C5A1E" w14:textId="77777777" w:rsidR="00F13410" w:rsidRPr="00FC7306" w:rsidRDefault="00F13410" w:rsidP="00461F58">
            <w:pPr>
              <w:pStyle w:val="Textocuadro1"/>
              <w:rPr>
                <w:sz w:val="16"/>
                <w:szCs w:val="16"/>
              </w:rPr>
            </w:pPr>
            <w:r w:rsidRPr="00FC7306">
              <w:rPr>
                <w:sz w:val="16"/>
                <w:szCs w:val="16"/>
              </w:rPr>
              <w:t>http://www.transparenciapresupuestaria.gob.mx/</w:t>
            </w:r>
          </w:p>
        </w:tc>
      </w:tr>
    </w:tbl>
    <w:p w14:paraId="145F9192" w14:textId="77777777" w:rsidR="00E773F3" w:rsidRDefault="00E773F3" w:rsidP="00F13410">
      <w:pPr>
        <w:pStyle w:val="Cdetexto"/>
        <w:rPr>
          <w:szCs w:val="22"/>
        </w:rPr>
      </w:pPr>
    </w:p>
    <w:p w14:paraId="316047A9" w14:textId="77777777" w:rsidR="008E4BB2" w:rsidRDefault="008E4BB2">
      <w:pPr>
        <w:spacing w:after="0"/>
      </w:pPr>
      <w:r>
        <w:br w:type="page"/>
      </w:r>
    </w:p>
    <w:p w14:paraId="55A9EC05" w14:textId="77777777" w:rsidR="00C57697" w:rsidRPr="0043350C" w:rsidRDefault="00C57697" w:rsidP="00C57697">
      <w:pPr>
        <w:keepNext/>
        <w:keepLines/>
        <w:outlineLvl w:val="2"/>
        <w:rPr>
          <w:rFonts w:eastAsiaTheme="majorEastAsia" w:cstheme="majorBidi"/>
          <w:b/>
          <w:bCs/>
          <w:szCs w:val="22"/>
          <w:lang w:val="es-MX" w:eastAsia="en-US"/>
        </w:rPr>
      </w:pPr>
      <w:bookmarkStart w:id="16" w:name="_Toc512364670"/>
      <w:bookmarkStart w:id="17" w:name="_Toc480972644"/>
      <w:bookmarkStart w:id="18" w:name="_Toc488769246"/>
      <w:bookmarkStart w:id="19" w:name="_Toc449548676"/>
      <w:r w:rsidRPr="0043350C">
        <w:rPr>
          <w:rFonts w:eastAsiaTheme="majorEastAsia" w:cstheme="majorBidi"/>
          <w:b/>
          <w:bCs/>
          <w:szCs w:val="22"/>
          <w:lang w:val="es-MX" w:eastAsia="en-US"/>
        </w:rPr>
        <w:lastRenderedPageBreak/>
        <w:t xml:space="preserve">EVALUACIÓN ESPECÍFICA DE </w:t>
      </w:r>
      <w:r>
        <w:rPr>
          <w:rFonts w:eastAsiaTheme="majorEastAsia" w:cstheme="majorBidi"/>
          <w:b/>
          <w:bCs/>
          <w:szCs w:val="22"/>
          <w:lang w:val="es-MX" w:eastAsia="en-US"/>
        </w:rPr>
        <w:t xml:space="preserve">CONSISTENCIA Y RESULTADOS CON MÓDULO </w:t>
      </w:r>
      <w:r w:rsidR="00F521EC">
        <w:rPr>
          <w:rFonts w:eastAsiaTheme="majorEastAsia" w:cstheme="majorBidi"/>
          <w:b/>
          <w:bCs/>
          <w:szCs w:val="22"/>
          <w:lang w:val="es-MX" w:eastAsia="en-US"/>
        </w:rPr>
        <w:t xml:space="preserve">COMPLETO </w:t>
      </w:r>
      <w:r>
        <w:rPr>
          <w:rFonts w:eastAsiaTheme="majorEastAsia" w:cstheme="majorBidi"/>
          <w:b/>
          <w:bCs/>
          <w:szCs w:val="22"/>
          <w:lang w:val="es-MX" w:eastAsia="en-US"/>
        </w:rPr>
        <w:t>DE DISEÑO</w:t>
      </w:r>
      <w:bookmarkEnd w:id="16"/>
    </w:p>
    <w:p w14:paraId="72D05C8C" w14:textId="77777777" w:rsidR="00C57697" w:rsidRPr="0043350C" w:rsidRDefault="00C57697" w:rsidP="00C57697">
      <w:pPr>
        <w:jc w:val="both"/>
        <w:rPr>
          <w:rFonts w:eastAsia="Calibri" w:cs="Arial"/>
          <w:b/>
          <w:szCs w:val="20"/>
          <w:lang w:val="es-ES" w:eastAsia="en-US"/>
        </w:rPr>
      </w:pPr>
      <w:r w:rsidRPr="0043350C">
        <w:rPr>
          <w:rFonts w:eastAsia="Times New Roman" w:cs="Arial"/>
          <w:b/>
          <w:szCs w:val="20"/>
          <w:lang w:val="es-ES" w:eastAsia="en-US"/>
        </w:rPr>
        <w:t xml:space="preserve">Introducción </w:t>
      </w:r>
    </w:p>
    <w:p w14:paraId="3E7B53CE" w14:textId="77777777" w:rsidR="00C8512D" w:rsidRDefault="004316D2" w:rsidP="00C57697">
      <w:pPr>
        <w:pStyle w:val="Cdetexto"/>
      </w:pPr>
      <w:r w:rsidRPr="004316D2">
        <w:t xml:space="preserve">La SHCP diseñó la </w:t>
      </w:r>
      <w:r w:rsidRPr="00C8512D">
        <w:t xml:space="preserve">Evaluación Específica de Consistencia y Resultados con Módulo </w:t>
      </w:r>
      <w:r w:rsidR="00F521EC" w:rsidRPr="00C8512D">
        <w:t xml:space="preserve">Completo </w:t>
      </w:r>
      <w:r w:rsidRPr="00C8512D">
        <w:t xml:space="preserve">de Diseño (EECRMCD) </w:t>
      </w:r>
      <w:r w:rsidR="00C34A9E" w:rsidRPr="00C8512D">
        <w:t>c</w:t>
      </w:r>
      <w:r w:rsidR="00C57697" w:rsidRPr="00C8512D">
        <w:t xml:space="preserve">onsiderando que existen en la APF </w:t>
      </w:r>
      <w:proofErr w:type="spellStart"/>
      <w:r w:rsidR="00C57697" w:rsidRPr="00C8512D">
        <w:t>Pp</w:t>
      </w:r>
      <w:proofErr w:type="spellEnd"/>
      <w:r w:rsidR="00C57697" w:rsidRPr="00C8512D">
        <w:t xml:space="preserve"> </w:t>
      </w:r>
      <w:r w:rsidR="00C8512D" w:rsidRPr="00C8512D">
        <w:t xml:space="preserve">que, por el tiempo que llevan implementándose, requieren de una valoración respecto de su consistencia y orientación a resultados </w:t>
      </w:r>
      <w:r w:rsidR="00C34A9E" w:rsidRPr="00C8512D">
        <w:t xml:space="preserve">pero que por diversas circunstancias no cuentan con una evaluación en materia de diseño vigente y </w:t>
      </w:r>
      <w:proofErr w:type="gramStart"/>
      <w:r w:rsidR="00C34A9E" w:rsidRPr="00C8512D">
        <w:t>robusta</w:t>
      </w:r>
      <w:proofErr w:type="gramEnd"/>
      <w:r w:rsidR="00C8512D">
        <w:t>.</w:t>
      </w:r>
    </w:p>
    <w:p w14:paraId="1C4AE3E0" w14:textId="77777777" w:rsidR="00C57697" w:rsidRDefault="00C8512D" w:rsidP="00C57697">
      <w:pPr>
        <w:pStyle w:val="Cdetexto"/>
      </w:pPr>
      <w:r>
        <w:t>Para la EECRMCD</w:t>
      </w:r>
      <w:r w:rsidR="00C57697" w:rsidRPr="00C8512D">
        <w:t xml:space="preserve"> se emplearon como base los Modelos de Términos de Referencia para las Evaluaciones de </w:t>
      </w:r>
      <w:r w:rsidR="004316D2" w:rsidRPr="00C8512D">
        <w:t>Consistencia</w:t>
      </w:r>
      <w:r w:rsidR="004316D2">
        <w:t xml:space="preserve"> y Resultados </w:t>
      </w:r>
      <w:r w:rsidR="00C57697" w:rsidRPr="004316D2">
        <w:t xml:space="preserve">y para las Evaluaciones en materia de Diseño que están en </w:t>
      </w:r>
      <w:r>
        <w:t>el</w:t>
      </w:r>
      <w:r w:rsidR="00C57697" w:rsidRPr="004316D2">
        <w:t xml:space="preserve"> ámbito de coordinación</w:t>
      </w:r>
      <w:r>
        <w:t xml:space="preserve"> de la SHCP</w:t>
      </w:r>
      <w:r w:rsidR="00C57697" w:rsidRPr="004316D2">
        <w:t>. A partir de esto, se presentan las características de estas evaluaciones, mismas que se conjuntan en la Evaluación Específica en comento</w:t>
      </w:r>
      <w:r w:rsidR="00C57697">
        <w:t>.</w:t>
      </w:r>
    </w:p>
    <w:p w14:paraId="0014BA48" w14:textId="77777777" w:rsidR="00C57697" w:rsidRPr="0043350C" w:rsidRDefault="00C57697" w:rsidP="00C57697">
      <w:pPr>
        <w:jc w:val="both"/>
        <w:rPr>
          <w:rFonts w:eastAsia="Times New Roman" w:cs="Arial"/>
          <w:b/>
          <w:szCs w:val="22"/>
          <w:lang w:val="es-ES"/>
        </w:rPr>
      </w:pPr>
      <w:r w:rsidRPr="0043350C">
        <w:rPr>
          <w:rFonts w:eastAsia="Times New Roman" w:cs="Arial"/>
          <w:b/>
          <w:szCs w:val="22"/>
          <w:lang w:val="es-ES"/>
        </w:rPr>
        <w:t>Objetivo General</w:t>
      </w:r>
    </w:p>
    <w:p w14:paraId="363B0E95" w14:textId="77777777" w:rsidR="00C57697" w:rsidRPr="0043350C" w:rsidRDefault="007A4451" w:rsidP="00C57697">
      <w:pPr>
        <w:pStyle w:val="Cdetexto"/>
        <w:rPr>
          <w:szCs w:val="22"/>
        </w:rPr>
      </w:pPr>
      <w:r w:rsidRPr="007A4451">
        <w:t xml:space="preserve">Analizar y valorar integralmente el diseño y la orientación a resultados del </w:t>
      </w:r>
      <w:proofErr w:type="spellStart"/>
      <w:r w:rsidRPr="007A4451">
        <w:t>Pp</w:t>
      </w:r>
      <w:proofErr w:type="spellEnd"/>
      <w:r w:rsidRPr="007A4451">
        <w:t>, con la finalidad de identificar si contiene los elementos necesarios que permitan prever de manera razonable el logro de sus metas y objetivos, a efecto de instrumentar mejoras</w:t>
      </w:r>
      <w:r>
        <w:t>.</w:t>
      </w:r>
    </w:p>
    <w:p w14:paraId="12AB4D57" w14:textId="77777777" w:rsidR="00C57697" w:rsidRPr="0043350C" w:rsidRDefault="00C57697" w:rsidP="00C57697">
      <w:pPr>
        <w:jc w:val="both"/>
        <w:rPr>
          <w:rFonts w:eastAsia="Times New Roman" w:cs="Arial"/>
          <w:b/>
          <w:szCs w:val="20"/>
          <w:lang w:val="es-ES"/>
        </w:rPr>
      </w:pPr>
      <w:r w:rsidRPr="0043350C">
        <w:rPr>
          <w:rFonts w:eastAsia="Times New Roman" w:cs="Arial"/>
          <w:b/>
          <w:szCs w:val="20"/>
          <w:lang w:val="es-ES"/>
        </w:rPr>
        <w:t>Objetivos específicos</w:t>
      </w:r>
    </w:p>
    <w:p w14:paraId="50C2B03C" w14:textId="77777777" w:rsidR="007A4451" w:rsidRDefault="007A4451" w:rsidP="007A4451">
      <w:pPr>
        <w:pStyle w:val="Bala"/>
        <w:numPr>
          <w:ilvl w:val="0"/>
          <w:numId w:val="1"/>
        </w:numPr>
      </w:pPr>
      <w:r>
        <w:t>Analizar y valorar la justificación de la creación y diseño del Pp.</w:t>
      </w:r>
    </w:p>
    <w:p w14:paraId="57EFDF63" w14:textId="77777777" w:rsidR="007A4451" w:rsidRDefault="007A4451" w:rsidP="007A4451">
      <w:pPr>
        <w:pStyle w:val="Bala"/>
        <w:numPr>
          <w:ilvl w:val="0"/>
          <w:numId w:val="1"/>
        </w:numPr>
      </w:pPr>
      <w:r>
        <w:t xml:space="preserve">Analizar y valorar la contribución del </w:t>
      </w:r>
      <w:proofErr w:type="spellStart"/>
      <w:r>
        <w:t>Pp</w:t>
      </w:r>
      <w:proofErr w:type="spellEnd"/>
      <w:r>
        <w:t xml:space="preserve"> a la planeación nacional y sectorial.</w:t>
      </w:r>
    </w:p>
    <w:p w14:paraId="2859C0E4" w14:textId="77777777" w:rsidR="007A4451" w:rsidRDefault="007A4451" w:rsidP="007A4451">
      <w:pPr>
        <w:pStyle w:val="Bala"/>
        <w:numPr>
          <w:ilvl w:val="0"/>
          <w:numId w:val="1"/>
        </w:numPr>
      </w:pPr>
      <w:r>
        <w:t>Analizar y valorar los instrumentos de planeación y orientación a resultados con que cuenta el Pp.</w:t>
      </w:r>
    </w:p>
    <w:p w14:paraId="1649C233" w14:textId="77777777" w:rsidR="007A4451" w:rsidRDefault="007A4451" w:rsidP="007A4451">
      <w:pPr>
        <w:pStyle w:val="Bala"/>
        <w:numPr>
          <w:ilvl w:val="0"/>
          <w:numId w:val="1"/>
        </w:numPr>
      </w:pPr>
      <w:r>
        <w:t xml:space="preserve">Identificar posibles complementariedades o coincidencias con otros </w:t>
      </w:r>
      <w:proofErr w:type="spellStart"/>
      <w:r>
        <w:t>Pp</w:t>
      </w:r>
      <w:proofErr w:type="spellEnd"/>
      <w:r>
        <w:t xml:space="preserve"> de la APF.</w:t>
      </w:r>
    </w:p>
    <w:p w14:paraId="26ABCA10" w14:textId="77777777" w:rsidR="007A4451" w:rsidRDefault="007A4451" w:rsidP="007A4451">
      <w:pPr>
        <w:pStyle w:val="Bala"/>
        <w:numPr>
          <w:ilvl w:val="0"/>
          <w:numId w:val="1"/>
        </w:numPr>
      </w:pPr>
      <w:r>
        <w:t xml:space="preserve">Analizar y valorar los principales procesos establecidos para la operación del </w:t>
      </w:r>
      <w:proofErr w:type="spellStart"/>
      <w:r>
        <w:t>Pp</w:t>
      </w:r>
      <w:proofErr w:type="spellEnd"/>
      <w:r>
        <w:t>, los sistemas de información que lo soportan y sus mecanismos de transparencia y rendición de cuentas.</w:t>
      </w:r>
    </w:p>
    <w:p w14:paraId="27738FBF" w14:textId="77777777" w:rsidR="007A4451" w:rsidRDefault="007A4451" w:rsidP="007A4451">
      <w:pPr>
        <w:pStyle w:val="Bala"/>
        <w:numPr>
          <w:ilvl w:val="0"/>
          <w:numId w:val="1"/>
        </w:numPr>
      </w:pPr>
      <w:r>
        <w:t>Analizar y valorar los instrumentos que permitan medir el grado de satisfacción de los usuarios o destinatarios de los entregables o componentes del programa y sus resultados;</w:t>
      </w:r>
    </w:p>
    <w:p w14:paraId="175E5440" w14:textId="77777777" w:rsidR="007A4451" w:rsidRDefault="007A4451" w:rsidP="007A4451">
      <w:pPr>
        <w:pStyle w:val="Bala"/>
        <w:numPr>
          <w:ilvl w:val="0"/>
          <w:numId w:val="1"/>
        </w:numPr>
      </w:pPr>
      <w:r>
        <w:t xml:space="preserve">Valorar los resultados del </w:t>
      </w:r>
      <w:proofErr w:type="spellStart"/>
      <w:r>
        <w:t>Pp</w:t>
      </w:r>
      <w:proofErr w:type="spellEnd"/>
      <w:r>
        <w:t xml:space="preserve"> respecto a la atención del problema o necesidad para el que fue creado.</w:t>
      </w:r>
    </w:p>
    <w:p w14:paraId="18D2E821" w14:textId="77777777" w:rsidR="007A4451" w:rsidRPr="0043350C" w:rsidRDefault="007A4451" w:rsidP="007A4451">
      <w:pPr>
        <w:pStyle w:val="Bala"/>
        <w:numPr>
          <w:ilvl w:val="0"/>
          <w:numId w:val="1"/>
        </w:numPr>
      </w:pPr>
      <w:r>
        <w:t xml:space="preserve">Valorar la lógica y congruencia del diseño del </w:t>
      </w:r>
      <w:proofErr w:type="spellStart"/>
      <w:r>
        <w:t>Pp</w:t>
      </w:r>
      <w:proofErr w:type="spellEnd"/>
      <w:r>
        <w:t>, su vinculación con el Sistema Nacional de Planeación Democrática (</w:t>
      </w:r>
      <w:r w:rsidR="00980192">
        <w:t>P</w:t>
      </w:r>
      <w:r>
        <w:t>rograma sectorial, regional, institucional o especial), la consistencia entre el diseño y el problema o necesidad de política pública que se atiende, así como con la normativa que lo regula.</w:t>
      </w:r>
    </w:p>
    <w:p w14:paraId="6E1FFB66" w14:textId="77777777" w:rsidR="00C57697" w:rsidRPr="0043350C" w:rsidRDefault="00C57697" w:rsidP="00C57697">
      <w:pPr>
        <w:pStyle w:val="Cdetexto"/>
      </w:pPr>
      <w:r w:rsidRPr="003D317D">
        <w:t xml:space="preserve">En el </w:t>
      </w:r>
      <w:r>
        <w:t>primer</w:t>
      </w:r>
      <w:r w:rsidRPr="003D317D">
        <w:t xml:space="preserve"> trimestre de 201</w:t>
      </w:r>
      <w:r>
        <w:t>8</w:t>
      </w:r>
      <w:r w:rsidRPr="003D317D">
        <w:t xml:space="preserve">, se entregó a la SHCP </w:t>
      </w:r>
      <w:r w:rsidRPr="00C57697">
        <w:t xml:space="preserve">una </w:t>
      </w:r>
      <w:r w:rsidRPr="00F521EC">
        <w:t>EECRMCD r</w:t>
      </w:r>
      <w:r w:rsidRPr="00C57697">
        <w:t xml:space="preserve">ealizada al </w:t>
      </w:r>
      <w:proofErr w:type="spellStart"/>
      <w:r w:rsidRPr="00C57697">
        <w:t>Pp</w:t>
      </w:r>
      <w:proofErr w:type="spellEnd"/>
      <w:r w:rsidRPr="00C57697">
        <w:t xml:space="preserve"> E007 Conservación y mantenimiento a los </w:t>
      </w:r>
      <w:proofErr w:type="spellStart"/>
      <w:r w:rsidRPr="00C57697">
        <w:t>CIP's</w:t>
      </w:r>
      <w:proofErr w:type="spellEnd"/>
      <w:r w:rsidRPr="00C57697">
        <w:t xml:space="preserve"> del Ramo 21</w:t>
      </w:r>
      <w:r w:rsidR="00566CE2">
        <w:t xml:space="preserve"> </w:t>
      </w:r>
      <w:r w:rsidRPr="00C57697">
        <w:t>Turismo, la cual se resume a continuació</w:t>
      </w:r>
      <w:r w:rsidRPr="0043350C">
        <w:t>n.</w:t>
      </w:r>
    </w:p>
    <w:p w14:paraId="5BFC67D9" w14:textId="77777777" w:rsidR="00C57697" w:rsidRDefault="00C57697" w:rsidP="00C57697">
      <w:r w:rsidRPr="0043350C">
        <w:br w:type="page"/>
      </w:r>
    </w:p>
    <w:tbl>
      <w:tblPr>
        <w:tblStyle w:val="Tablaconcuadrcula321"/>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C57697" w:rsidRPr="0043350C" w14:paraId="20D91CA4" w14:textId="77777777" w:rsidTr="00162911">
        <w:trPr>
          <w:trHeight w:val="356"/>
          <w:jc w:val="center"/>
        </w:trPr>
        <w:tc>
          <w:tcPr>
            <w:tcW w:w="10065" w:type="dxa"/>
            <w:gridSpan w:val="5"/>
            <w:shd w:val="clear" w:color="auto" w:fill="D6E3BC" w:themeFill="accent3" w:themeFillTint="66"/>
            <w:vAlign w:val="center"/>
          </w:tcPr>
          <w:p w14:paraId="7D28C9F8" w14:textId="77777777" w:rsidR="00C57697" w:rsidRPr="00D30938" w:rsidRDefault="00C57697" w:rsidP="00F15A34">
            <w:pPr>
              <w:pStyle w:val="CABEZA"/>
              <w:rPr>
                <w:lang w:val="es-MX"/>
              </w:rPr>
            </w:pPr>
            <w:r w:rsidRPr="008873F7">
              <w:rPr>
                <w:lang w:val="es-MX"/>
              </w:rPr>
              <w:lastRenderedPageBreak/>
              <w:br w:type="page"/>
            </w:r>
            <w:r w:rsidR="00F15A34">
              <w:rPr>
                <w:lang w:val="es-MX"/>
              </w:rPr>
              <w:t>Ramo 21</w:t>
            </w:r>
            <w:r>
              <w:rPr>
                <w:lang w:val="es-MX"/>
              </w:rPr>
              <w:t>.</w:t>
            </w:r>
            <w:r w:rsidRPr="00D30938">
              <w:rPr>
                <w:lang w:val="es-MX"/>
              </w:rPr>
              <w:t xml:space="preserve"> </w:t>
            </w:r>
            <w:r w:rsidR="00F15A34">
              <w:rPr>
                <w:lang w:val="es-MX"/>
              </w:rPr>
              <w:t>Turismo</w:t>
            </w:r>
          </w:p>
        </w:tc>
      </w:tr>
      <w:tr w:rsidR="00C57697" w:rsidRPr="0043350C" w14:paraId="589E0945" w14:textId="77777777" w:rsidTr="00162911">
        <w:trPr>
          <w:jc w:val="center"/>
        </w:trPr>
        <w:tc>
          <w:tcPr>
            <w:tcW w:w="1359" w:type="dxa"/>
            <w:shd w:val="clear" w:color="auto" w:fill="D9D9D9" w:themeFill="background1" w:themeFillShade="D9"/>
          </w:tcPr>
          <w:p w14:paraId="442C88A2" w14:textId="77777777" w:rsidR="00C57697" w:rsidRPr="0043350C" w:rsidRDefault="00C57697" w:rsidP="00162911">
            <w:pPr>
              <w:spacing w:before="20"/>
              <w:rPr>
                <w:b/>
                <w:sz w:val="16"/>
                <w:lang w:val="es-ES"/>
              </w:rPr>
            </w:pPr>
            <w:r w:rsidRPr="0043350C">
              <w:rPr>
                <w:b/>
                <w:sz w:val="16"/>
                <w:lang w:val="es-ES"/>
              </w:rPr>
              <w:t xml:space="preserve">Clave del </w:t>
            </w:r>
            <w:proofErr w:type="spellStart"/>
            <w:r w:rsidRPr="0043350C">
              <w:rPr>
                <w:b/>
                <w:sz w:val="16"/>
                <w:lang w:val="es-ES"/>
              </w:rPr>
              <w:t>Pp</w:t>
            </w:r>
            <w:proofErr w:type="spellEnd"/>
            <w:r w:rsidRPr="0043350C">
              <w:rPr>
                <w:b/>
                <w:sz w:val="16"/>
                <w:lang w:val="es-ES"/>
              </w:rPr>
              <w:t>:</w:t>
            </w:r>
          </w:p>
        </w:tc>
        <w:tc>
          <w:tcPr>
            <w:tcW w:w="734" w:type="dxa"/>
            <w:shd w:val="clear" w:color="auto" w:fill="D9D9D9" w:themeFill="background1" w:themeFillShade="D9"/>
          </w:tcPr>
          <w:p w14:paraId="7B828C82" w14:textId="77777777" w:rsidR="00C57697" w:rsidRPr="0043350C" w:rsidRDefault="00F15A34" w:rsidP="00162911">
            <w:pPr>
              <w:contextualSpacing/>
              <w:rPr>
                <w:sz w:val="16"/>
                <w:szCs w:val="16"/>
                <w:lang w:val="es-ES" w:eastAsia="en-US"/>
              </w:rPr>
            </w:pPr>
            <w:r>
              <w:rPr>
                <w:sz w:val="16"/>
                <w:szCs w:val="16"/>
                <w:lang w:val="es-ES" w:eastAsia="en-US"/>
              </w:rPr>
              <w:t>E007</w:t>
            </w:r>
          </w:p>
        </w:tc>
        <w:tc>
          <w:tcPr>
            <w:tcW w:w="1701" w:type="dxa"/>
            <w:gridSpan w:val="2"/>
            <w:shd w:val="clear" w:color="auto" w:fill="D9D9D9" w:themeFill="background1" w:themeFillShade="D9"/>
          </w:tcPr>
          <w:p w14:paraId="5A555960" w14:textId="77777777" w:rsidR="00C57697" w:rsidRPr="0043350C" w:rsidRDefault="00C57697" w:rsidP="00162911">
            <w:pPr>
              <w:spacing w:before="20"/>
              <w:rPr>
                <w:b/>
                <w:sz w:val="16"/>
                <w:lang w:val="es-ES"/>
              </w:rPr>
            </w:pPr>
            <w:r w:rsidRPr="0043350C">
              <w:rPr>
                <w:b/>
                <w:sz w:val="16"/>
                <w:lang w:val="es-ES"/>
              </w:rPr>
              <w:t>Denominación:</w:t>
            </w:r>
          </w:p>
        </w:tc>
        <w:tc>
          <w:tcPr>
            <w:tcW w:w="6271" w:type="dxa"/>
            <w:shd w:val="clear" w:color="auto" w:fill="D9D9D9" w:themeFill="background1" w:themeFillShade="D9"/>
          </w:tcPr>
          <w:p w14:paraId="1752A559" w14:textId="77777777" w:rsidR="00C57697" w:rsidRPr="0043350C" w:rsidRDefault="00566CE2" w:rsidP="00162911">
            <w:pPr>
              <w:contextualSpacing/>
              <w:rPr>
                <w:sz w:val="16"/>
                <w:szCs w:val="16"/>
                <w:lang w:val="es-ES" w:eastAsia="en-US"/>
              </w:rPr>
            </w:pPr>
            <w:r w:rsidRPr="00566CE2">
              <w:rPr>
                <w:sz w:val="16"/>
                <w:szCs w:val="16"/>
                <w:lang w:val="es-ES" w:eastAsia="en-US"/>
              </w:rPr>
              <w:t xml:space="preserve">Conservación y mantenimiento a los </w:t>
            </w:r>
            <w:proofErr w:type="spellStart"/>
            <w:r w:rsidRPr="00566CE2">
              <w:rPr>
                <w:sz w:val="16"/>
                <w:szCs w:val="16"/>
                <w:lang w:val="es-ES" w:eastAsia="en-US"/>
              </w:rPr>
              <w:t>CIP's</w:t>
            </w:r>
            <w:proofErr w:type="spellEnd"/>
          </w:p>
        </w:tc>
      </w:tr>
      <w:tr w:rsidR="00C57697" w:rsidRPr="0043350C" w14:paraId="665A50C6" w14:textId="77777777" w:rsidTr="00162911">
        <w:trPr>
          <w:jc w:val="center"/>
        </w:trPr>
        <w:tc>
          <w:tcPr>
            <w:tcW w:w="2778" w:type="dxa"/>
            <w:gridSpan w:val="3"/>
          </w:tcPr>
          <w:p w14:paraId="41D66FE9" w14:textId="77777777" w:rsidR="00C57697" w:rsidRPr="0043350C" w:rsidRDefault="00C57697" w:rsidP="00162911">
            <w:pPr>
              <w:spacing w:before="20"/>
              <w:rPr>
                <w:b/>
                <w:sz w:val="16"/>
                <w:lang w:val="es-ES"/>
              </w:rPr>
            </w:pPr>
            <w:r w:rsidRPr="0043350C">
              <w:rPr>
                <w:b/>
                <w:sz w:val="16"/>
                <w:lang w:val="es-ES"/>
              </w:rPr>
              <w:t xml:space="preserve">Unidad Administrativa </w:t>
            </w:r>
          </w:p>
        </w:tc>
        <w:tc>
          <w:tcPr>
            <w:tcW w:w="7287" w:type="dxa"/>
            <w:gridSpan w:val="2"/>
          </w:tcPr>
          <w:p w14:paraId="5A90214C" w14:textId="77777777" w:rsidR="00C57697" w:rsidRPr="0043350C" w:rsidRDefault="00566CE2" w:rsidP="00162911">
            <w:pPr>
              <w:spacing w:before="20"/>
              <w:rPr>
                <w:rFonts w:eastAsia="Times New Roman"/>
                <w:sz w:val="16"/>
                <w:szCs w:val="16"/>
                <w:lang w:val="es-MX" w:eastAsia="en-US"/>
              </w:rPr>
            </w:pPr>
            <w:r w:rsidRPr="00566CE2">
              <w:rPr>
                <w:sz w:val="16"/>
                <w:lang w:val="es-ES"/>
              </w:rPr>
              <w:t>FONATUR Mantenimiento Turístico, S.A. de C.V.</w:t>
            </w:r>
          </w:p>
        </w:tc>
      </w:tr>
      <w:tr w:rsidR="00C57697" w:rsidRPr="0043350C" w14:paraId="3B389445" w14:textId="77777777" w:rsidTr="00162911">
        <w:trPr>
          <w:jc w:val="center"/>
        </w:trPr>
        <w:tc>
          <w:tcPr>
            <w:tcW w:w="2778" w:type="dxa"/>
            <w:gridSpan w:val="3"/>
          </w:tcPr>
          <w:p w14:paraId="31D9B8E9" w14:textId="77777777" w:rsidR="00C57697" w:rsidRPr="0043350C" w:rsidRDefault="00C57697" w:rsidP="00162911">
            <w:pPr>
              <w:spacing w:before="20"/>
              <w:rPr>
                <w:b/>
                <w:sz w:val="16"/>
                <w:lang w:val="es-ES"/>
              </w:rPr>
            </w:pPr>
            <w:r w:rsidRPr="0043350C">
              <w:rPr>
                <w:b/>
                <w:sz w:val="16"/>
                <w:lang w:val="es-ES"/>
              </w:rPr>
              <w:t xml:space="preserve">Responsable </w:t>
            </w:r>
          </w:p>
        </w:tc>
        <w:tc>
          <w:tcPr>
            <w:tcW w:w="7287" w:type="dxa"/>
            <w:gridSpan w:val="2"/>
          </w:tcPr>
          <w:p w14:paraId="08979B97" w14:textId="77777777" w:rsidR="00C57697" w:rsidRPr="0043350C" w:rsidRDefault="00566CE2" w:rsidP="00162911">
            <w:pPr>
              <w:spacing w:before="20"/>
              <w:rPr>
                <w:sz w:val="16"/>
                <w:lang w:val="es-ES"/>
              </w:rPr>
            </w:pPr>
            <w:r w:rsidRPr="00566CE2">
              <w:rPr>
                <w:sz w:val="16"/>
                <w:lang w:val="es-ES"/>
              </w:rPr>
              <w:t xml:space="preserve">Ezequiel </w:t>
            </w:r>
            <w:proofErr w:type="spellStart"/>
            <w:r w:rsidRPr="00566CE2">
              <w:rPr>
                <w:sz w:val="16"/>
                <w:lang w:val="es-ES"/>
              </w:rPr>
              <w:t>Coutiño</w:t>
            </w:r>
            <w:proofErr w:type="spellEnd"/>
            <w:r w:rsidRPr="00566CE2">
              <w:rPr>
                <w:sz w:val="16"/>
                <w:lang w:val="es-ES"/>
              </w:rPr>
              <w:t xml:space="preserve"> Peralta</w:t>
            </w:r>
          </w:p>
        </w:tc>
      </w:tr>
      <w:tr w:rsidR="00C57697" w:rsidRPr="0043350C" w14:paraId="4206DB81" w14:textId="77777777" w:rsidTr="00162911">
        <w:trPr>
          <w:jc w:val="center"/>
        </w:trPr>
        <w:tc>
          <w:tcPr>
            <w:tcW w:w="2778" w:type="dxa"/>
            <w:gridSpan w:val="3"/>
            <w:tcBorders>
              <w:bottom w:val="single" w:sz="4" w:space="0" w:color="auto"/>
            </w:tcBorders>
            <w:shd w:val="clear" w:color="auto" w:fill="D9D9D9" w:themeFill="background1" w:themeFillShade="D9"/>
          </w:tcPr>
          <w:p w14:paraId="049CFF8D" w14:textId="77777777" w:rsidR="00C57697" w:rsidRPr="0043350C" w:rsidRDefault="00C57697" w:rsidP="00162911">
            <w:pPr>
              <w:spacing w:before="20"/>
              <w:rPr>
                <w:b/>
                <w:sz w:val="16"/>
                <w:lang w:val="es-ES"/>
              </w:rPr>
            </w:pPr>
            <w:r w:rsidRPr="0043350C">
              <w:rPr>
                <w:b/>
                <w:sz w:val="16"/>
                <w:lang w:val="es-ES"/>
              </w:rPr>
              <w:t>Tipo de Evaluación</w:t>
            </w:r>
          </w:p>
        </w:tc>
        <w:tc>
          <w:tcPr>
            <w:tcW w:w="7287" w:type="dxa"/>
            <w:gridSpan w:val="2"/>
            <w:tcBorders>
              <w:bottom w:val="single" w:sz="4" w:space="0" w:color="auto"/>
            </w:tcBorders>
            <w:shd w:val="clear" w:color="auto" w:fill="D9D9D9" w:themeFill="background1" w:themeFillShade="D9"/>
          </w:tcPr>
          <w:p w14:paraId="16046797" w14:textId="77777777" w:rsidR="00C57697" w:rsidRPr="0043350C" w:rsidRDefault="00C57697" w:rsidP="00E87329">
            <w:pPr>
              <w:spacing w:before="20"/>
              <w:rPr>
                <w:sz w:val="16"/>
                <w:lang w:val="es-ES"/>
              </w:rPr>
            </w:pPr>
            <w:r w:rsidRPr="0043350C">
              <w:rPr>
                <w:sz w:val="16"/>
                <w:lang w:val="es-ES"/>
              </w:rPr>
              <w:t xml:space="preserve">Específica de </w:t>
            </w:r>
            <w:r w:rsidR="00F15A34">
              <w:rPr>
                <w:sz w:val="16"/>
                <w:lang w:val="es-ES"/>
              </w:rPr>
              <w:t xml:space="preserve">Consistencia y Resultados </w:t>
            </w:r>
            <w:r w:rsidR="00E87329">
              <w:rPr>
                <w:sz w:val="16"/>
                <w:lang w:val="es-ES"/>
              </w:rPr>
              <w:t>con m</w:t>
            </w:r>
            <w:r>
              <w:rPr>
                <w:sz w:val="16"/>
                <w:lang w:val="es-ES"/>
              </w:rPr>
              <w:t xml:space="preserve">ódulo </w:t>
            </w:r>
            <w:r w:rsidR="00E87329">
              <w:rPr>
                <w:sz w:val="16"/>
                <w:lang w:val="es-ES"/>
              </w:rPr>
              <w:t>c</w:t>
            </w:r>
            <w:r>
              <w:rPr>
                <w:sz w:val="16"/>
                <w:lang w:val="es-ES"/>
              </w:rPr>
              <w:t>ompleto de Diseño</w:t>
            </w:r>
            <w:r w:rsidRPr="0043350C">
              <w:rPr>
                <w:sz w:val="16"/>
                <w:lang w:val="es-ES"/>
              </w:rPr>
              <w:t>, PAE 201</w:t>
            </w:r>
            <w:r>
              <w:rPr>
                <w:sz w:val="16"/>
                <w:lang w:val="es-ES"/>
              </w:rPr>
              <w:t>7</w:t>
            </w:r>
          </w:p>
        </w:tc>
      </w:tr>
    </w:tbl>
    <w:p w14:paraId="1C1FC0ED" w14:textId="77777777" w:rsidR="00C57697" w:rsidRPr="0043350C" w:rsidRDefault="00C57697" w:rsidP="00C57697">
      <w:pPr>
        <w:rPr>
          <w:lang w:eastAsia="en-US"/>
        </w:rPr>
      </w:pPr>
    </w:p>
    <w:p w14:paraId="09390E81" w14:textId="77777777" w:rsidR="00C57697" w:rsidRPr="0043350C" w:rsidRDefault="00C57697" w:rsidP="00C57697">
      <w:pPr>
        <w:jc w:val="both"/>
        <w:rPr>
          <w:rFonts w:eastAsia="Times New Roman" w:cs="Arial"/>
          <w:b/>
          <w:szCs w:val="20"/>
          <w:lang w:val="es-ES"/>
        </w:rPr>
      </w:pPr>
      <w:r w:rsidRPr="0043350C">
        <w:rPr>
          <w:rFonts w:eastAsia="Times New Roman" w:cs="Arial"/>
          <w:b/>
          <w:szCs w:val="20"/>
          <w:lang w:val="es-ES"/>
        </w:rPr>
        <w:t xml:space="preserve">Descripción del </w:t>
      </w:r>
      <w:proofErr w:type="spellStart"/>
      <w:r w:rsidRPr="0043350C">
        <w:rPr>
          <w:rFonts w:eastAsia="Times New Roman" w:cs="Arial"/>
          <w:b/>
          <w:szCs w:val="20"/>
          <w:lang w:val="es-ES"/>
        </w:rPr>
        <w:t>Pp</w:t>
      </w:r>
      <w:proofErr w:type="spellEnd"/>
    </w:p>
    <w:p w14:paraId="6CEE2C80" w14:textId="77777777" w:rsidR="00C57697" w:rsidRDefault="00C57697" w:rsidP="00C57697">
      <w:pPr>
        <w:pStyle w:val="Cdetexto"/>
      </w:pPr>
      <w:r w:rsidRPr="004E7AF6">
        <w:t>El</w:t>
      </w:r>
      <w:r>
        <w:t xml:space="preserve"> </w:t>
      </w:r>
      <w:proofErr w:type="spellStart"/>
      <w:r>
        <w:t>Pp</w:t>
      </w:r>
      <w:proofErr w:type="spellEnd"/>
      <w:r>
        <w:t xml:space="preserve"> </w:t>
      </w:r>
      <w:r w:rsidR="00566CE2">
        <w:t>E</w:t>
      </w:r>
      <w:r w:rsidRPr="004E7AF6">
        <w:t>00</w:t>
      </w:r>
      <w:r w:rsidR="00566CE2">
        <w:t>7</w:t>
      </w:r>
      <w:r w:rsidRPr="004E7AF6">
        <w:t xml:space="preserve"> </w:t>
      </w:r>
      <w:r w:rsidR="00566CE2" w:rsidRPr="00566CE2">
        <w:t xml:space="preserve">es operado por </w:t>
      </w:r>
      <w:r w:rsidR="008846BA">
        <w:t xml:space="preserve">FONATUR </w:t>
      </w:r>
      <w:r w:rsidR="00566CE2" w:rsidRPr="00566CE2">
        <w:t>Mantenimiento Turístico S.A. de C.V.</w:t>
      </w:r>
      <w:r w:rsidR="008846BA">
        <w:t xml:space="preserve"> </w:t>
      </w:r>
      <w:r w:rsidR="00566CE2" w:rsidRPr="00566CE2">
        <w:t>y coordinado por la Secretaría de Turi</w:t>
      </w:r>
      <w:r w:rsidR="00BE3AB1">
        <w:t>smo</w:t>
      </w:r>
      <w:r w:rsidR="00566CE2" w:rsidRPr="00566CE2">
        <w:t xml:space="preserve">. El </w:t>
      </w:r>
      <w:proofErr w:type="spellStart"/>
      <w:r w:rsidR="00566CE2">
        <w:t>Pp</w:t>
      </w:r>
      <w:proofErr w:type="spellEnd"/>
      <w:r w:rsidR="00566CE2" w:rsidRPr="00566CE2">
        <w:t xml:space="preserve"> busca brindar servicios de conservación y mantenimiento a los </w:t>
      </w:r>
      <w:r w:rsidR="00566CE2">
        <w:t>Centros Integralmente Planeados</w:t>
      </w:r>
      <w:r w:rsidR="00980192">
        <w:t xml:space="preserve"> (</w:t>
      </w:r>
      <w:proofErr w:type="spellStart"/>
      <w:r w:rsidR="00980192">
        <w:t>CIPs</w:t>
      </w:r>
      <w:proofErr w:type="spellEnd"/>
      <w:r w:rsidR="00980192">
        <w:t>)</w:t>
      </w:r>
      <w:r w:rsidR="00566CE2" w:rsidRPr="00566CE2">
        <w:t xml:space="preserve"> para contribuir a facilitar el financiamiento y la inversión público-privada en proyectos con potencial turístico.</w:t>
      </w:r>
    </w:p>
    <w:p w14:paraId="082E08D7" w14:textId="77777777" w:rsidR="00C57697" w:rsidRDefault="00C57697" w:rsidP="00C57697">
      <w:pPr>
        <w:pStyle w:val="Cdetexto"/>
      </w:pPr>
      <w:r>
        <w:t xml:space="preserve">El </w:t>
      </w:r>
      <w:proofErr w:type="spellStart"/>
      <w:r>
        <w:t>Pp</w:t>
      </w:r>
      <w:proofErr w:type="spellEnd"/>
      <w:r>
        <w:t xml:space="preserve"> </w:t>
      </w:r>
      <w:r w:rsidR="00566CE2" w:rsidRPr="00566CE2">
        <w:t xml:space="preserve">define el problema </w:t>
      </w:r>
      <w:r w:rsidR="00566CE2">
        <w:t xml:space="preserve">público </w:t>
      </w:r>
      <w:r w:rsidR="00566CE2" w:rsidRPr="00566CE2">
        <w:t>que busca resolver como “Deterioro de los Centros Integralmente Planeados”</w:t>
      </w:r>
      <w:r w:rsidR="00BE3AB1">
        <w:t>, para lo que</w:t>
      </w:r>
      <w:r w:rsidR="00566CE2">
        <w:t xml:space="preserve"> </w:t>
      </w:r>
      <w:r w:rsidR="00BE3AB1">
        <w:t xml:space="preserve">interviene mediante </w:t>
      </w:r>
      <w:r w:rsidR="00566CE2" w:rsidRPr="00566CE2">
        <w:t xml:space="preserve">la provisión de servicios de mantenimiento para poda, riego, barrido de áreas verdes y espacios públicos, vialidades y playas, y tratamiento de agua residual, en los </w:t>
      </w:r>
      <w:proofErr w:type="spellStart"/>
      <w:r w:rsidR="00566CE2" w:rsidRPr="00566CE2">
        <w:t>CIP's</w:t>
      </w:r>
      <w:proofErr w:type="spellEnd"/>
      <w:r w:rsidR="00566CE2" w:rsidRPr="00566CE2">
        <w:t xml:space="preserve"> y </w:t>
      </w:r>
      <w:r w:rsidR="00566CE2">
        <w:t>Proyecto Turístico Integral</w:t>
      </w:r>
      <w:r w:rsidR="00980192">
        <w:t xml:space="preserve"> (PTI)</w:t>
      </w:r>
      <w:r w:rsidR="00566CE2" w:rsidRPr="00566CE2">
        <w:t>.</w:t>
      </w:r>
    </w:p>
    <w:p w14:paraId="6915C797" w14:textId="77777777" w:rsidR="00C57697" w:rsidRDefault="00C57697" w:rsidP="00C57697">
      <w:pPr>
        <w:pStyle w:val="Cdetexto"/>
      </w:pPr>
      <w:r w:rsidRPr="008B4331">
        <w:t xml:space="preserve">El objetivo a nivel de fin del </w:t>
      </w:r>
      <w:proofErr w:type="spellStart"/>
      <w:r w:rsidRPr="008B4331">
        <w:t>Pp</w:t>
      </w:r>
      <w:proofErr w:type="spellEnd"/>
      <w:r w:rsidRPr="008B4331">
        <w:t xml:space="preserve"> es “</w:t>
      </w:r>
      <w:r w:rsidR="00566CE2" w:rsidRPr="00566CE2">
        <w:t>Contribuir a facilitar el financiamiento y la inversión público</w:t>
      </w:r>
      <w:r w:rsidR="00980192">
        <w:t xml:space="preserve"> -</w:t>
      </w:r>
      <w:r w:rsidR="00566CE2" w:rsidRPr="00566CE2">
        <w:t xml:space="preserve"> privada en proyectos con potencial turístico mediante los servicios de conservación y mantenimiento de calidad en los Centro</w:t>
      </w:r>
      <w:r w:rsidR="00566CE2">
        <w:t>s Integralmente Planeados</w:t>
      </w:r>
      <w:r>
        <w:t>”.</w:t>
      </w:r>
    </w:p>
    <w:p w14:paraId="0396E17F" w14:textId="77777777" w:rsidR="00C57697" w:rsidRPr="0043350C" w:rsidRDefault="00C57697" w:rsidP="00C57697">
      <w:pPr>
        <w:pStyle w:val="Cdetexto"/>
      </w:pPr>
      <w:r w:rsidRPr="0043350C">
        <w:t xml:space="preserve">El objetivo a nivel propósito </w:t>
      </w:r>
      <w:r>
        <w:t xml:space="preserve">del </w:t>
      </w:r>
      <w:proofErr w:type="spellStart"/>
      <w:r>
        <w:t>Pp</w:t>
      </w:r>
      <w:proofErr w:type="spellEnd"/>
      <w:r>
        <w:t xml:space="preserve"> </w:t>
      </w:r>
      <w:r w:rsidRPr="0043350C">
        <w:t>es “</w:t>
      </w:r>
      <w:r w:rsidR="003E7ED2" w:rsidRPr="003E7ED2">
        <w:t>Los Centros Integralmente Planeados cuentan con servicios de conservación y mantenimiento</w:t>
      </w:r>
      <w:r w:rsidRPr="0043350C">
        <w:t>”.</w:t>
      </w:r>
    </w:p>
    <w:p w14:paraId="4E557F5B" w14:textId="77777777" w:rsidR="00C57697" w:rsidRPr="0043350C" w:rsidRDefault="00C57697" w:rsidP="00C57697">
      <w:pPr>
        <w:pStyle w:val="Cdetexto"/>
      </w:pPr>
      <w:r w:rsidRPr="0043350C">
        <w:t>L</w:t>
      </w:r>
      <w:r w:rsidR="003E7ED2">
        <w:t xml:space="preserve">a MIR del </w:t>
      </w:r>
      <w:proofErr w:type="spellStart"/>
      <w:r w:rsidR="003E7ED2">
        <w:t>Pp</w:t>
      </w:r>
      <w:proofErr w:type="spellEnd"/>
      <w:r w:rsidR="003E7ED2">
        <w:t xml:space="preserve"> incluye dos</w:t>
      </w:r>
      <w:r w:rsidRPr="0043350C">
        <w:t xml:space="preserve"> componentes</w:t>
      </w:r>
      <w:r w:rsidR="003E7ED2">
        <w:t>:</w:t>
      </w:r>
      <w:r w:rsidRPr="0043350C">
        <w:t xml:space="preserve"> 1) “</w:t>
      </w:r>
      <w:r w:rsidR="003E7ED2" w:rsidRPr="003E7ED2">
        <w:t>Los Centros Integralmente Planeados</w:t>
      </w:r>
      <w:r w:rsidR="006F4A52">
        <w:t xml:space="preserve"> </w:t>
      </w:r>
      <w:r w:rsidR="003E7ED2" w:rsidRPr="003E7ED2">
        <w:t>cuentan con servicios de mantenimiento</w:t>
      </w:r>
      <w:r w:rsidRPr="008B4331">
        <w:t>”</w:t>
      </w:r>
      <w:r w:rsidR="003E7ED2">
        <w:t xml:space="preserve"> y</w:t>
      </w:r>
      <w:r w:rsidRPr="008B4331">
        <w:t xml:space="preserve"> 2) “</w:t>
      </w:r>
      <w:r w:rsidR="003E7ED2" w:rsidRPr="003E7ED2">
        <w:t>Agua residual tratada en los Centros Integralmente Planeados, generada</w:t>
      </w:r>
      <w:r w:rsidRPr="008B4331">
        <w:t>”</w:t>
      </w:r>
      <w:r w:rsidRPr="0043350C">
        <w:t>.</w:t>
      </w:r>
    </w:p>
    <w:p w14:paraId="4103A511" w14:textId="77777777" w:rsidR="00C57697" w:rsidRPr="0043350C" w:rsidRDefault="003E7ED2" w:rsidP="00C57697">
      <w:pPr>
        <w:pStyle w:val="Cdetexto"/>
      </w:pPr>
      <w:r w:rsidRPr="003E7ED2">
        <w:t xml:space="preserve">El </w:t>
      </w:r>
      <w:proofErr w:type="spellStart"/>
      <w:r w:rsidRPr="003E7ED2">
        <w:t>Pp</w:t>
      </w:r>
      <w:proofErr w:type="spellEnd"/>
      <w:r w:rsidRPr="003E7ED2">
        <w:t xml:space="preserve"> no cuenta con un documento ofici</w:t>
      </w:r>
      <w:r>
        <w:t xml:space="preserve">al o diagnóstico que defina la </w:t>
      </w:r>
      <w:proofErr w:type="spellStart"/>
      <w:r>
        <w:t>PPo</w:t>
      </w:r>
      <w:proofErr w:type="spellEnd"/>
      <w:r>
        <w:t xml:space="preserve"> y PO, o al </w:t>
      </w:r>
      <w:proofErr w:type="spellStart"/>
      <w:r>
        <w:t>AEPo</w:t>
      </w:r>
      <w:proofErr w:type="spellEnd"/>
      <w:r>
        <w:t xml:space="preserve"> y AEO </w:t>
      </w:r>
      <w:r w:rsidRPr="003E7ED2">
        <w:t xml:space="preserve">y que cuente con unidad de medida, </w:t>
      </w:r>
      <w:r w:rsidR="00BE3AB1">
        <w:t xml:space="preserve">que </w:t>
      </w:r>
      <w:r w:rsidRPr="003E7ED2">
        <w:t xml:space="preserve">esté cuantificada, caracterizada y desagregada geográficamente; que incluya la metodología para su cuantificación y, en su caso, desagregación y sus fuentes de información; </w:t>
      </w:r>
      <w:r>
        <w:t xml:space="preserve">ni </w:t>
      </w:r>
      <w:r w:rsidRPr="003E7ED2">
        <w:t>que defina el plazo para su revisión y actualización.</w:t>
      </w:r>
    </w:p>
    <w:p w14:paraId="43E0634E" w14:textId="77777777" w:rsidR="00C57697" w:rsidRDefault="003E7ED2" w:rsidP="003E7ED2">
      <w:pPr>
        <w:pStyle w:val="Cdetexto"/>
      </w:pPr>
      <w:r>
        <w:t xml:space="preserve">El </w:t>
      </w:r>
      <w:proofErr w:type="spellStart"/>
      <w:r>
        <w:t>Pp</w:t>
      </w:r>
      <w:proofErr w:type="spellEnd"/>
      <w:r>
        <w:t xml:space="preserve"> está vinculado con el </w:t>
      </w:r>
      <w:r w:rsidR="003234BD">
        <w:t>PROSECTUR</w:t>
      </w:r>
      <w:r>
        <w:t xml:space="preserve"> a través del </w:t>
      </w:r>
      <w:r w:rsidR="003234BD">
        <w:t>O</w:t>
      </w:r>
      <w:r>
        <w:t>bjetivo 3. Facilitar el financiamiento y la inversión público-privada en proyectos con potencial turístico. Asimismo, se encuentr</w:t>
      </w:r>
      <w:r w:rsidR="003234BD">
        <w:t>a alineado al PND a través del O</w:t>
      </w:r>
      <w:r>
        <w:t>bjetivo 4.11</w:t>
      </w:r>
      <w:r w:rsidR="003234BD">
        <w:t>.</w:t>
      </w:r>
      <w:r>
        <w:t xml:space="preserve"> Aprovechar el potencial turístico de México para generar una mayor derrama económica en el país, de la Meta Nacional IV. México Próspero.</w:t>
      </w:r>
    </w:p>
    <w:p w14:paraId="124E70EB" w14:textId="77777777" w:rsidR="00C57697" w:rsidRPr="0043350C" w:rsidRDefault="00C57697" w:rsidP="00C57697">
      <w:pPr>
        <w:spacing w:before="120" w:line="250" w:lineRule="exact"/>
        <w:jc w:val="both"/>
        <w:rPr>
          <w:rFonts w:eastAsia="Times New Roman" w:cs="Arial"/>
          <w:b/>
          <w:szCs w:val="20"/>
          <w:lang w:val="es-ES"/>
        </w:rPr>
      </w:pPr>
      <w:r w:rsidRPr="0043350C">
        <w:rPr>
          <w:rFonts w:eastAsia="Times New Roman" w:cs="Arial"/>
          <w:b/>
          <w:szCs w:val="20"/>
          <w:lang w:val="es-ES"/>
        </w:rPr>
        <w:t>Principales Hallazgos</w:t>
      </w:r>
    </w:p>
    <w:p w14:paraId="664EA915" w14:textId="77777777" w:rsidR="00C57697" w:rsidRDefault="00C57697" w:rsidP="00C57697">
      <w:pPr>
        <w:pStyle w:val="Cdetexto"/>
      </w:pPr>
      <w:r w:rsidRPr="003669B8">
        <w:t xml:space="preserve">El </w:t>
      </w:r>
      <w:proofErr w:type="spellStart"/>
      <w:r>
        <w:t>Pp</w:t>
      </w:r>
      <w:proofErr w:type="spellEnd"/>
      <w:r>
        <w:t xml:space="preserve"> </w:t>
      </w:r>
      <w:r w:rsidR="001F57BA" w:rsidRPr="001F57BA">
        <w:t xml:space="preserve">no cuenta con un documento oficial o </w:t>
      </w:r>
      <w:r w:rsidR="004F720D">
        <w:t>d</w:t>
      </w:r>
      <w:r w:rsidR="001F57BA" w:rsidRPr="001F57BA">
        <w:t>iagnós</w:t>
      </w:r>
      <w:r w:rsidR="00B62A7E">
        <w:t xml:space="preserve">tico que defina y caracterice a </w:t>
      </w:r>
      <w:r w:rsidR="001F57BA" w:rsidRPr="001F57BA">
        <w:t>l</w:t>
      </w:r>
      <w:r w:rsidR="00B62A7E">
        <w:t>as</w:t>
      </w:r>
      <w:r w:rsidR="001F57BA" w:rsidRPr="001F57BA">
        <w:t xml:space="preserve"> </w:t>
      </w:r>
      <w:proofErr w:type="spellStart"/>
      <w:r w:rsidR="00B62A7E">
        <w:t>AEP</w:t>
      </w:r>
      <w:r w:rsidR="00BE3AB1">
        <w:t>o</w:t>
      </w:r>
      <w:proofErr w:type="spellEnd"/>
      <w:r w:rsidR="00B62A7E">
        <w:t xml:space="preserve"> y AEO</w:t>
      </w:r>
      <w:r w:rsidRPr="003669B8">
        <w:t>.</w:t>
      </w:r>
    </w:p>
    <w:p w14:paraId="72B96FEE" w14:textId="77777777" w:rsidR="00C57697" w:rsidRDefault="00B62A7E" w:rsidP="00C57697">
      <w:pPr>
        <w:pStyle w:val="Cdetexto"/>
      </w:pPr>
      <w:r w:rsidRPr="00B62A7E">
        <w:t>La principal debilidad que presenta la MIR es que no es posible diferenciar u</w:t>
      </w:r>
      <w:r>
        <w:t>no de los objetivos a nivel de c</w:t>
      </w:r>
      <w:r w:rsidRPr="00B62A7E">
        <w:t xml:space="preserve">omponente de aquel a nivel de </w:t>
      </w:r>
      <w:r>
        <w:t>p</w:t>
      </w:r>
      <w:r w:rsidRPr="00B62A7E">
        <w:t>ropósito, además de no considerar todos los servicios de conservación y mantenimiento que se ofrecen a través del Pp</w:t>
      </w:r>
      <w:r>
        <w:t>.</w:t>
      </w:r>
    </w:p>
    <w:p w14:paraId="4F07ED7A" w14:textId="77777777" w:rsidR="00C57697" w:rsidRDefault="008A4227" w:rsidP="008A4227">
      <w:pPr>
        <w:pStyle w:val="Cdetexto"/>
      </w:pPr>
      <w:r>
        <w:t xml:space="preserve">El </w:t>
      </w:r>
      <w:proofErr w:type="spellStart"/>
      <w:r>
        <w:t>Pp</w:t>
      </w:r>
      <w:proofErr w:type="spellEnd"/>
      <w:r>
        <w:t xml:space="preserve"> no cuenta con un sistema específico plenamente integrado que permita conocer la demanda total de cada entregable, componente, servicio o acción que otorga al AEO; tampoco se encuentra </w:t>
      </w:r>
      <w:r>
        <w:lastRenderedPageBreak/>
        <w:t>sistematizada la información de todos los entregables (alumbrado público, simulacros de fugas de gas y control de lodos activados).</w:t>
      </w:r>
    </w:p>
    <w:p w14:paraId="7E2E506F" w14:textId="77777777" w:rsidR="00341D1E" w:rsidRDefault="00F85EFC" w:rsidP="008A4227">
      <w:pPr>
        <w:pStyle w:val="Cdetexto"/>
      </w:pPr>
      <w:r>
        <w:t>L</w:t>
      </w:r>
      <w:r w:rsidR="00341D1E" w:rsidRPr="00341D1E">
        <w:t xml:space="preserve">a metodología para la medición de la percepción del </w:t>
      </w:r>
      <w:r w:rsidR="00341D1E">
        <w:t>AEO</w:t>
      </w:r>
      <w:r>
        <w:t xml:space="preserve"> presenta áreas de mejora</w:t>
      </w:r>
      <w:r w:rsidR="00341D1E" w:rsidRPr="00341D1E">
        <w:t xml:space="preserve">, </w:t>
      </w:r>
      <w:r>
        <w:t xml:space="preserve">de manera que se </w:t>
      </w:r>
      <w:r w:rsidR="00341D1E" w:rsidRPr="00341D1E">
        <w:t>asegur</w:t>
      </w:r>
      <w:r>
        <w:t>e</w:t>
      </w:r>
      <w:r w:rsidR="00341D1E" w:rsidRPr="00341D1E">
        <w:t xml:space="preserve"> que los resultados se utilicen para mejorar la gestión del </w:t>
      </w:r>
      <w:proofErr w:type="spellStart"/>
      <w:r w:rsidR="00341D1E" w:rsidRPr="00341D1E">
        <w:t>Pp</w:t>
      </w:r>
      <w:proofErr w:type="spellEnd"/>
      <w:r w:rsidR="00341D1E" w:rsidRPr="00341D1E">
        <w:t xml:space="preserve"> y que se considere una periodicidad de aplicación, que no se induzcan las respuestas y que se realice </w:t>
      </w:r>
      <w:r w:rsidR="00341D1E">
        <w:t>con una muestra representativa.</w:t>
      </w:r>
    </w:p>
    <w:p w14:paraId="51D0C0D6" w14:textId="77777777" w:rsidR="008A4227" w:rsidRPr="007E4FD9" w:rsidRDefault="008A4227" w:rsidP="008A4227">
      <w:pPr>
        <w:pStyle w:val="Cdetexto"/>
      </w:pPr>
      <w:r>
        <w:t xml:space="preserve">El </w:t>
      </w:r>
      <w:proofErr w:type="spellStart"/>
      <w:r>
        <w:t>Pp</w:t>
      </w:r>
      <w:proofErr w:type="spellEnd"/>
      <w:r>
        <w:t xml:space="preserve"> tampoco</w:t>
      </w:r>
      <w:r w:rsidRPr="008A4227">
        <w:t xml:space="preserve"> cuenta con elementos que permitan corroborar la medición del resultado de brindar servicios de mantenimiento de los CIP, ni de la eventual contribuc</w:t>
      </w:r>
      <w:r>
        <w:t>ión a los objetivos superiores, ú</w:t>
      </w:r>
      <w:r w:rsidRPr="008A4227">
        <w:t>nicamente registra y genera información para realizar</w:t>
      </w:r>
      <w:r>
        <w:t xml:space="preserve"> mediciones a nivel de gestión.</w:t>
      </w:r>
    </w:p>
    <w:p w14:paraId="5082BE2A" w14:textId="77777777" w:rsidR="00C57697" w:rsidRPr="0043350C" w:rsidRDefault="00C57697" w:rsidP="00C57697">
      <w:pPr>
        <w:spacing w:line="250" w:lineRule="exact"/>
        <w:jc w:val="both"/>
        <w:rPr>
          <w:rFonts w:eastAsia="Times New Roman" w:cs="Arial"/>
          <w:b/>
          <w:szCs w:val="20"/>
          <w:lang w:val="es-ES"/>
        </w:rPr>
      </w:pPr>
      <w:r w:rsidRPr="0043350C">
        <w:rPr>
          <w:rFonts w:eastAsia="Times New Roman" w:cs="Arial"/>
          <w:b/>
          <w:szCs w:val="20"/>
          <w:lang w:val="es-ES"/>
        </w:rPr>
        <w:t>Principales Recomendaciones</w:t>
      </w:r>
    </w:p>
    <w:p w14:paraId="42C624BA" w14:textId="77777777" w:rsidR="00C57697" w:rsidRDefault="00341D1E" w:rsidP="00341D1E">
      <w:pPr>
        <w:pStyle w:val="Bala"/>
        <w:numPr>
          <w:ilvl w:val="0"/>
          <w:numId w:val="1"/>
        </w:numPr>
        <w:ind w:left="357" w:hanging="357"/>
      </w:pPr>
      <w:r w:rsidRPr="00341D1E">
        <w:t>Definir el problema como “Baja calidad de la imagen urbana en los espacios de los Centros Integralmente Planeados y Proyecto Turístico Integral” y analizar las causas en el árbol del problema.</w:t>
      </w:r>
    </w:p>
    <w:p w14:paraId="467BDABF" w14:textId="77777777" w:rsidR="00C57697" w:rsidRPr="0043350C" w:rsidRDefault="00A764A1" w:rsidP="00341D1E">
      <w:pPr>
        <w:pStyle w:val="Bala"/>
        <w:numPr>
          <w:ilvl w:val="0"/>
          <w:numId w:val="1"/>
        </w:numPr>
        <w:ind w:left="357" w:hanging="357"/>
      </w:pPr>
      <w:r>
        <w:t>R</w:t>
      </w:r>
      <w:r w:rsidR="00341D1E" w:rsidRPr="00341D1E">
        <w:t xml:space="preserve">enombrar el </w:t>
      </w:r>
      <w:proofErr w:type="spellStart"/>
      <w:r w:rsidR="00341D1E" w:rsidRPr="00341D1E">
        <w:t>Pp</w:t>
      </w:r>
      <w:proofErr w:type="spellEnd"/>
      <w:r w:rsidR="00341D1E" w:rsidRPr="00341D1E">
        <w:t xml:space="preserve"> E007 como </w:t>
      </w:r>
      <w:r w:rsidR="00341D1E">
        <w:t>“</w:t>
      </w:r>
      <w:r w:rsidR="00341D1E" w:rsidRPr="00341D1E">
        <w:t xml:space="preserve">Programa de Servicios Básicos Complementarios para la Conservación y Mantenimiento menor de los </w:t>
      </w:r>
      <w:proofErr w:type="spellStart"/>
      <w:r w:rsidR="00341D1E" w:rsidRPr="00341D1E">
        <w:t>CIP’s</w:t>
      </w:r>
      <w:proofErr w:type="spellEnd"/>
      <w:r w:rsidR="00341D1E" w:rsidRPr="00341D1E">
        <w:t xml:space="preserve"> y PTI de FONATUR</w:t>
      </w:r>
      <w:r w:rsidR="00341D1E">
        <w:t>”</w:t>
      </w:r>
      <w:r w:rsidR="00341D1E" w:rsidRPr="00341D1E">
        <w:t xml:space="preserve"> para referir a las actividades que realmente hace.</w:t>
      </w:r>
    </w:p>
    <w:p w14:paraId="1883AFCD" w14:textId="77777777" w:rsidR="00C57697" w:rsidRDefault="00341D1E" w:rsidP="00341D1E">
      <w:pPr>
        <w:pStyle w:val="Bala"/>
        <w:numPr>
          <w:ilvl w:val="0"/>
          <w:numId w:val="1"/>
        </w:numPr>
        <w:ind w:left="357" w:hanging="357"/>
      </w:pPr>
      <w:r w:rsidRPr="00341D1E">
        <w:t xml:space="preserve">Integrar un documento oficial o diagnóstico que defina, caracterice y cuantifique al </w:t>
      </w:r>
      <w:proofErr w:type="spellStart"/>
      <w:r>
        <w:t>AEPo</w:t>
      </w:r>
      <w:proofErr w:type="spellEnd"/>
      <w:r>
        <w:t xml:space="preserve"> y AEO </w:t>
      </w:r>
      <w:r w:rsidRPr="00341D1E">
        <w:t xml:space="preserve">del </w:t>
      </w:r>
      <w:proofErr w:type="spellStart"/>
      <w:r w:rsidRPr="00341D1E">
        <w:t>Pp</w:t>
      </w:r>
      <w:proofErr w:type="spellEnd"/>
      <w:r>
        <w:t>,</w:t>
      </w:r>
      <w:r w:rsidRPr="00341D1E">
        <w:t xml:space="preserve"> con independencia de que la definición de los </w:t>
      </w:r>
      <w:proofErr w:type="spellStart"/>
      <w:r w:rsidRPr="00341D1E">
        <w:t>CIP's</w:t>
      </w:r>
      <w:proofErr w:type="spellEnd"/>
      <w:r w:rsidRPr="00341D1E">
        <w:t xml:space="preserve"> y el PTI sea un aspecto que depende principalmente de los servicios de contratación de FONATUR, es decir, que el </w:t>
      </w:r>
      <w:r>
        <w:t xml:space="preserve">AEO </w:t>
      </w:r>
      <w:r w:rsidRPr="00341D1E">
        <w:t>se encuentre determinada de manera externa para el Pp</w:t>
      </w:r>
      <w:r w:rsidR="00C57697">
        <w:t>.</w:t>
      </w:r>
    </w:p>
    <w:p w14:paraId="0EFBF9DB" w14:textId="77777777" w:rsidR="00341D1E" w:rsidRDefault="00341D1E" w:rsidP="00341D1E">
      <w:pPr>
        <w:pStyle w:val="Bala"/>
        <w:numPr>
          <w:ilvl w:val="0"/>
          <w:numId w:val="1"/>
        </w:numPr>
        <w:ind w:left="357" w:hanging="357"/>
      </w:pPr>
      <w:r w:rsidRPr="00341D1E">
        <w:t>Rep</w:t>
      </w:r>
      <w:r>
        <w:t>lantear el objetivo a nivel de p</w:t>
      </w:r>
      <w:r w:rsidRPr="00341D1E">
        <w:t>ropósito tomando como referencia los objetivos y elementos planteados que FONATUR Mantenimiento Turístico</w:t>
      </w:r>
      <w:r w:rsidR="00F85F59">
        <w:t>, S.A. de C.V.</w:t>
      </w:r>
      <w:r w:rsidRPr="00341D1E">
        <w:t xml:space="preserve"> establece en el Programa de Trabajo 2017</w:t>
      </w:r>
      <w:r>
        <w:t xml:space="preserve">. De esta manera, este objetivo no se limitaría sólo a brindar servicios de conservación y mantenimiento, sino que dichos servicios permitirían que se fortalezca la infraestructura y calidad de los </w:t>
      </w:r>
      <w:proofErr w:type="spellStart"/>
      <w:r>
        <w:t>CIP’s</w:t>
      </w:r>
      <w:proofErr w:type="spellEnd"/>
      <w:r>
        <w:t>.</w:t>
      </w:r>
    </w:p>
    <w:p w14:paraId="73AD0ABE" w14:textId="77777777" w:rsidR="00C57697" w:rsidRDefault="007419C6" w:rsidP="007419C6">
      <w:pPr>
        <w:pStyle w:val="Bala"/>
        <w:numPr>
          <w:ilvl w:val="0"/>
          <w:numId w:val="1"/>
        </w:numPr>
        <w:ind w:left="357" w:hanging="357"/>
      </w:pPr>
      <w:r>
        <w:t xml:space="preserve">Diseñar y desarrollar mecanismos para tener claridad sobre la demanda total de entregables, esto es, captar información sobre destinos turísticos que podrían ser atendidos por el </w:t>
      </w:r>
      <w:proofErr w:type="spellStart"/>
      <w:r>
        <w:t>Pp</w:t>
      </w:r>
      <w:proofErr w:type="spellEnd"/>
      <w:r>
        <w:t xml:space="preserve"> pero que actualmente no lo son.</w:t>
      </w:r>
    </w:p>
    <w:p w14:paraId="5082001A" w14:textId="77777777" w:rsidR="007419C6" w:rsidRDefault="007419C6" w:rsidP="007419C6">
      <w:pPr>
        <w:pStyle w:val="Bala"/>
        <w:numPr>
          <w:ilvl w:val="0"/>
          <w:numId w:val="1"/>
        </w:numPr>
        <w:ind w:left="357" w:hanging="357"/>
      </w:pPr>
      <w:r w:rsidRPr="007419C6">
        <w:t xml:space="preserve">Desarrollar procedimientos y mecanismos para conocer con más claridad y sin riesgo de opacidad, la aplicación de los recursos para la conservación y mantenimiento de los </w:t>
      </w:r>
      <w:proofErr w:type="spellStart"/>
      <w:r w:rsidRPr="007419C6">
        <w:t>CIP's</w:t>
      </w:r>
      <w:proofErr w:type="spellEnd"/>
      <w:r w:rsidRPr="007419C6">
        <w:t xml:space="preserve"> y el PTI.</w:t>
      </w:r>
    </w:p>
    <w:p w14:paraId="264AC0A3" w14:textId="77777777" w:rsidR="00C57697" w:rsidRPr="0043350C" w:rsidRDefault="00C57697" w:rsidP="00C57697">
      <w:pPr>
        <w:pStyle w:val="Bala"/>
        <w:ind w:left="357"/>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C57697" w:rsidRPr="0043350C" w14:paraId="58DD1BA5" w14:textId="77777777" w:rsidTr="00162911">
        <w:trPr>
          <w:trHeight w:val="675"/>
        </w:trPr>
        <w:tc>
          <w:tcPr>
            <w:tcW w:w="749" w:type="pct"/>
            <w:vAlign w:val="center"/>
          </w:tcPr>
          <w:p w14:paraId="1CCCE2DE" w14:textId="77777777" w:rsidR="00C57697" w:rsidRPr="0043350C" w:rsidRDefault="00C57697" w:rsidP="00162911">
            <w:pPr>
              <w:spacing w:before="20" w:after="0"/>
              <w:ind w:left="170"/>
              <w:rPr>
                <w:b/>
                <w:sz w:val="16"/>
                <w:lang w:val="es-ES"/>
              </w:rPr>
            </w:pPr>
            <w:r w:rsidRPr="0043350C">
              <w:rPr>
                <w:b/>
                <w:sz w:val="16"/>
                <w:lang w:val="es-ES"/>
              </w:rPr>
              <w:t>Evaluador Externo:</w:t>
            </w:r>
          </w:p>
        </w:tc>
        <w:tc>
          <w:tcPr>
            <w:tcW w:w="4251" w:type="pct"/>
            <w:gridSpan w:val="3"/>
            <w:vAlign w:val="center"/>
          </w:tcPr>
          <w:p w14:paraId="7B281438" w14:textId="77777777" w:rsidR="00C57697" w:rsidRPr="0043350C" w:rsidRDefault="00C57697" w:rsidP="00162911">
            <w:pPr>
              <w:spacing w:before="20" w:after="0"/>
              <w:ind w:left="113"/>
              <w:rPr>
                <w:rFonts w:eastAsia="Times New Roman"/>
                <w:sz w:val="16"/>
                <w:szCs w:val="16"/>
                <w:lang w:val="es-MX" w:eastAsia="en-US"/>
              </w:rPr>
            </w:pPr>
            <w:r w:rsidRPr="0043350C">
              <w:rPr>
                <w:sz w:val="16"/>
                <w:lang w:val="es-ES"/>
              </w:rPr>
              <w:t xml:space="preserve">1. Instancia Evaluadora: </w:t>
            </w:r>
            <w:r w:rsidR="00B6747B">
              <w:rPr>
                <w:sz w:val="16"/>
                <w:lang w:val="es-ES"/>
              </w:rPr>
              <w:t>Idea Consultores</w:t>
            </w:r>
          </w:p>
          <w:p w14:paraId="4B9CA3AD" w14:textId="77777777" w:rsidR="00C57697" w:rsidRPr="0043350C" w:rsidRDefault="00C57697" w:rsidP="00162911">
            <w:pPr>
              <w:spacing w:before="20" w:after="0"/>
              <w:ind w:left="113"/>
              <w:rPr>
                <w:sz w:val="16"/>
                <w:lang w:val="es-ES"/>
              </w:rPr>
            </w:pPr>
            <w:r w:rsidRPr="0043350C">
              <w:rPr>
                <w:sz w:val="16"/>
                <w:lang w:val="es-ES"/>
              </w:rPr>
              <w:t xml:space="preserve">2. Coordinador de la Evaluación: </w:t>
            </w:r>
            <w:r w:rsidR="00B6747B" w:rsidRPr="00B6747B">
              <w:rPr>
                <w:sz w:val="16"/>
                <w:lang w:val="es-ES"/>
              </w:rPr>
              <w:t>Hugo Javier Fuentes Castro</w:t>
            </w:r>
          </w:p>
          <w:p w14:paraId="533FFD16" w14:textId="77777777" w:rsidR="00C57697" w:rsidRPr="0043350C" w:rsidRDefault="00C57697" w:rsidP="00162911">
            <w:pPr>
              <w:spacing w:before="20" w:after="0"/>
              <w:ind w:left="113"/>
              <w:rPr>
                <w:sz w:val="16"/>
                <w:lang w:val="es-ES"/>
              </w:rPr>
            </w:pPr>
            <w:r w:rsidRPr="0043350C">
              <w:rPr>
                <w:sz w:val="16"/>
                <w:lang w:val="es-ES"/>
              </w:rPr>
              <w:t xml:space="preserve">3. Forma de contratación: </w:t>
            </w:r>
            <w:r w:rsidR="00B6747B" w:rsidRPr="00B6747B">
              <w:rPr>
                <w:sz w:val="16"/>
                <w:lang w:val="es-ES"/>
              </w:rPr>
              <w:t>Invitación a cuando menos tres personas de carácter nacional electrónica</w:t>
            </w:r>
          </w:p>
        </w:tc>
      </w:tr>
      <w:tr w:rsidR="00C57697" w:rsidRPr="0043350C" w14:paraId="2F9D806F" w14:textId="77777777" w:rsidTr="00162911">
        <w:trPr>
          <w:trHeight w:val="80"/>
        </w:trPr>
        <w:tc>
          <w:tcPr>
            <w:tcW w:w="749" w:type="pct"/>
            <w:vAlign w:val="center"/>
          </w:tcPr>
          <w:p w14:paraId="357A5CF0" w14:textId="77777777" w:rsidR="00C57697" w:rsidRPr="0043350C" w:rsidRDefault="00C57697" w:rsidP="00162911">
            <w:pPr>
              <w:spacing w:before="20" w:after="0"/>
              <w:ind w:left="170"/>
              <w:rPr>
                <w:b/>
                <w:sz w:val="16"/>
                <w:lang w:val="es-ES"/>
              </w:rPr>
            </w:pPr>
          </w:p>
        </w:tc>
        <w:tc>
          <w:tcPr>
            <w:tcW w:w="4251" w:type="pct"/>
            <w:gridSpan w:val="3"/>
            <w:vAlign w:val="center"/>
          </w:tcPr>
          <w:p w14:paraId="324C2E6B" w14:textId="77777777" w:rsidR="00C57697" w:rsidRPr="0043350C" w:rsidRDefault="00C57697" w:rsidP="00162911">
            <w:pPr>
              <w:spacing w:before="20" w:after="0"/>
              <w:ind w:left="113"/>
              <w:rPr>
                <w:sz w:val="16"/>
                <w:lang w:val="es-ES"/>
              </w:rPr>
            </w:pPr>
          </w:p>
        </w:tc>
      </w:tr>
      <w:tr w:rsidR="00C57697" w:rsidRPr="0043350C" w14:paraId="0EAF4FD0" w14:textId="77777777" w:rsidTr="00162911">
        <w:tc>
          <w:tcPr>
            <w:tcW w:w="749" w:type="pct"/>
            <w:vAlign w:val="center"/>
          </w:tcPr>
          <w:p w14:paraId="4854F9B1" w14:textId="77777777" w:rsidR="00C57697" w:rsidRPr="0043350C" w:rsidRDefault="00C57697" w:rsidP="00162911">
            <w:pPr>
              <w:spacing w:before="20" w:after="0"/>
              <w:ind w:left="170"/>
              <w:rPr>
                <w:b/>
                <w:sz w:val="16"/>
                <w:lang w:val="es-ES"/>
              </w:rPr>
            </w:pPr>
            <w:r w:rsidRPr="0043350C">
              <w:rPr>
                <w:b/>
                <w:sz w:val="16"/>
                <w:lang w:val="es-ES"/>
              </w:rPr>
              <w:t>Costo:</w:t>
            </w:r>
          </w:p>
        </w:tc>
        <w:tc>
          <w:tcPr>
            <w:tcW w:w="1113" w:type="pct"/>
            <w:vAlign w:val="center"/>
          </w:tcPr>
          <w:p w14:paraId="7EFBCD32" w14:textId="77777777" w:rsidR="00C57697" w:rsidRPr="00993F6E" w:rsidRDefault="00C57697" w:rsidP="00687B66">
            <w:pPr>
              <w:spacing w:before="20" w:after="0"/>
              <w:ind w:left="113"/>
              <w:rPr>
                <w:sz w:val="16"/>
                <w:lang w:val="es-ES"/>
              </w:rPr>
            </w:pPr>
            <w:r w:rsidRPr="00993F6E">
              <w:rPr>
                <w:sz w:val="16"/>
                <w:lang w:val="es-ES"/>
              </w:rPr>
              <w:t>$</w:t>
            </w:r>
            <w:r w:rsidR="00B6747B">
              <w:rPr>
                <w:sz w:val="16"/>
                <w:lang w:val="es-ES"/>
              </w:rPr>
              <w:t>58</w:t>
            </w:r>
            <w:r w:rsidRPr="00993F6E">
              <w:rPr>
                <w:sz w:val="16"/>
                <w:lang w:val="es-ES"/>
              </w:rPr>
              <w:t>0,000.</w:t>
            </w:r>
            <w:r w:rsidRPr="00687B66">
              <w:rPr>
                <w:sz w:val="16"/>
                <w:lang w:val="es-ES"/>
              </w:rPr>
              <w:t xml:space="preserve">00 </w:t>
            </w:r>
            <w:r w:rsidR="00BE3AB1" w:rsidRPr="00687B66">
              <w:rPr>
                <w:sz w:val="16"/>
                <w:lang w:val="es-ES"/>
              </w:rPr>
              <w:t>N</w:t>
            </w:r>
            <w:r w:rsidR="00687B66" w:rsidRPr="00687B66">
              <w:rPr>
                <w:sz w:val="16"/>
                <w:lang w:val="es-ES"/>
              </w:rPr>
              <w:t>o</w:t>
            </w:r>
            <w:r w:rsidR="00B6747B" w:rsidRPr="00687B66">
              <w:rPr>
                <w:sz w:val="16"/>
                <w:lang w:val="es-ES"/>
              </w:rPr>
              <w:t xml:space="preserve"> especifica si incluye IVA</w:t>
            </w:r>
          </w:p>
        </w:tc>
        <w:tc>
          <w:tcPr>
            <w:tcW w:w="904" w:type="pct"/>
            <w:vAlign w:val="center"/>
          </w:tcPr>
          <w:p w14:paraId="1CFBE576" w14:textId="77777777" w:rsidR="00C57697" w:rsidRPr="0043350C" w:rsidRDefault="00C57697" w:rsidP="00162911">
            <w:pPr>
              <w:spacing w:before="20" w:after="0"/>
              <w:ind w:left="170"/>
              <w:rPr>
                <w:b/>
                <w:sz w:val="16"/>
                <w:lang w:val="es-ES"/>
              </w:rPr>
            </w:pPr>
            <w:r w:rsidRPr="0043350C">
              <w:rPr>
                <w:b/>
                <w:sz w:val="16"/>
                <w:lang w:val="es-ES"/>
              </w:rPr>
              <w:t xml:space="preserve">Fuente de Financiamiento: </w:t>
            </w:r>
          </w:p>
        </w:tc>
        <w:tc>
          <w:tcPr>
            <w:tcW w:w="2234" w:type="pct"/>
            <w:vAlign w:val="center"/>
          </w:tcPr>
          <w:p w14:paraId="069EA1BC" w14:textId="77777777" w:rsidR="00C57697" w:rsidRPr="0043350C" w:rsidRDefault="00C57697" w:rsidP="00162911">
            <w:pPr>
              <w:spacing w:before="20" w:after="0"/>
              <w:rPr>
                <w:sz w:val="16"/>
                <w:highlight w:val="yellow"/>
                <w:lang w:val="es-ES"/>
              </w:rPr>
            </w:pPr>
            <w:r w:rsidRPr="0043350C">
              <w:rPr>
                <w:sz w:val="16"/>
                <w:lang w:val="es-ES"/>
              </w:rPr>
              <w:t>Recursos fiscales</w:t>
            </w:r>
          </w:p>
        </w:tc>
      </w:tr>
      <w:tr w:rsidR="00C57697" w:rsidRPr="0043350C" w14:paraId="642C1CDC" w14:textId="77777777" w:rsidTr="00162911">
        <w:tc>
          <w:tcPr>
            <w:tcW w:w="749" w:type="pct"/>
            <w:tcBorders>
              <w:bottom w:val="single" w:sz="4" w:space="0" w:color="auto"/>
            </w:tcBorders>
            <w:vAlign w:val="center"/>
          </w:tcPr>
          <w:p w14:paraId="76959FF9" w14:textId="77777777" w:rsidR="00C57697" w:rsidRPr="0043350C" w:rsidRDefault="00C57697" w:rsidP="00162911">
            <w:pPr>
              <w:spacing w:before="20" w:after="0"/>
              <w:ind w:left="170"/>
              <w:rPr>
                <w:b/>
                <w:sz w:val="16"/>
                <w:szCs w:val="16"/>
                <w:lang w:val="es-ES" w:eastAsia="en-US"/>
              </w:rPr>
            </w:pPr>
            <w:r w:rsidRPr="0043350C">
              <w:rPr>
                <w:b/>
                <w:sz w:val="16"/>
                <w:szCs w:val="16"/>
                <w:lang w:val="es-ES" w:eastAsia="en-US"/>
              </w:rPr>
              <w:t>Coordinación de la Evaluación:</w:t>
            </w:r>
          </w:p>
        </w:tc>
        <w:tc>
          <w:tcPr>
            <w:tcW w:w="1113" w:type="pct"/>
            <w:tcBorders>
              <w:bottom w:val="single" w:sz="4" w:space="0" w:color="auto"/>
            </w:tcBorders>
            <w:vAlign w:val="center"/>
          </w:tcPr>
          <w:p w14:paraId="65270340" w14:textId="77777777" w:rsidR="00C57697" w:rsidRPr="0043350C" w:rsidRDefault="00C57697" w:rsidP="00162911">
            <w:pPr>
              <w:spacing w:after="0"/>
              <w:jc w:val="center"/>
              <w:rPr>
                <w:rFonts w:eastAsia="Times New Roman" w:cs="Arial"/>
                <w:sz w:val="14"/>
                <w:szCs w:val="14"/>
                <w:lang w:val="es-ES"/>
              </w:rPr>
            </w:pPr>
            <w:r w:rsidRPr="0043350C">
              <w:rPr>
                <w:rFonts w:eastAsia="Times New Roman" w:cs="Arial"/>
                <w:sz w:val="16"/>
                <w:szCs w:val="14"/>
                <w:lang w:val="es-ES"/>
              </w:rPr>
              <w:t>SHCP</w:t>
            </w:r>
          </w:p>
        </w:tc>
        <w:tc>
          <w:tcPr>
            <w:tcW w:w="904" w:type="pct"/>
            <w:tcBorders>
              <w:bottom w:val="single" w:sz="4" w:space="0" w:color="auto"/>
            </w:tcBorders>
            <w:vAlign w:val="center"/>
          </w:tcPr>
          <w:p w14:paraId="24B48864" w14:textId="77777777" w:rsidR="00C57697" w:rsidRPr="0043350C" w:rsidRDefault="00C57697" w:rsidP="00162911">
            <w:pPr>
              <w:spacing w:before="20" w:after="0"/>
              <w:ind w:left="170"/>
              <w:rPr>
                <w:b/>
                <w:sz w:val="16"/>
                <w:szCs w:val="16"/>
                <w:lang w:val="es-ES" w:eastAsia="en-US"/>
              </w:rPr>
            </w:pPr>
            <w:r w:rsidRPr="0043350C">
              <w:rPr>
                <w:b/>
                <w:sz w:val="16"/>
                <w:szCs w:val="16"/>
                <w:lang w:val="es-ES" w:eastAsia="en-US"/>
              </w:rPr>
              <w:t>Informe completo:</w:t>
            </w:r>
          </w:p>
        </w:tc>
        <w:tc>
          <w:tcPr>
            <w:tcW w:w="2234" w:type="pct"/>
            <w:tcBorders>
              <w:bottom w:val="single" w:sz="4" w:space="0" w:color="auto"/>
            </w:tcBorders>
            <w:vAlign w:val="center"/>
          </w:tcPr>
          <w:p w14:paraId="3CE12B83" w14:textId="77777777" w:rsidR="00C57697" w:rsidRPr="0043350C" w:rsidRDefault="00C57697" w:rsidP="00162911">
            <w:pPr>
              <w:spacing w:before="20" w:after="0"/>
              <w:ind w:left="113"/>
              <w:rPr>
                <w:rFonts w:eastAsia="Times New Roman"/>
                <w:sz w:val="16"/>
                <w:szCs w:val="16"/>
                <w:lang w:val="es-ES" w:eastAsia="en-US"/>
              </w:rPr>
            </w:pPr>
            <w:r w:rsidRPr="0043350C">
              <w:rPr>
                <w:rFonts w:eastAsia="Times New Roman"/>
                <w:sz w:val="16"/>
                <w:szCs w:val="16"/>
                <w:lang w:val="es-ES" w:eastAsia="en-US"/>
              </w:rPr>
              <w:t>Disponible en:</w:t>
            </w:r>
          </w:p>
          <w:p w14:paraId="254F097F" w14:textId="77777777" w:rsidR="00C57697" w:rsidRPr="0043350C" w:rsidRDefault="00C57697" w:rsidP="00162911">
            <w:pPr>
              <w:spacing w:before="20" w:after="0"/>
              <w:ind w:left="113"/>
              <w:rPr>
                <w:rFonts w:eastAsia="Times New Roman"/>
                <w:sz w:val="16"/>
                <w:szCs w:val="16"/>
                <w:lang w:val="es-ES" w:eastAsia="en-US"/>
              </w:rPr>
            </w:pPr>
            <w:r w:rsidRPr="0043350C">
              <w:rPr>
                <w:rFonts w:eastAsia="Times New Roman"/>
                <w:sz w:val="16"/>
                <w:szCs w:val="16"/>
                <w:lang w:val="es-ES" w:eastAsia="en-US"/>
              </w:rPr>
              <w:t>http://www.transparenciapresupuestaria.gob.mx/</w:t>
            </w:r>
          </w:p>
        </w:tc>
      </w:tr>
    </w:tbl>
    <w:p w14:paraId="0B5C07F4" w14:textId="77777777" w:rsidR="00C57697" w:rsidRDefault="00C57697" w:rsidP="00C57697"/>
    <w:p w14:paraId="64A9E1EC" w14:textId="77777777" w:rsidR="00C57697" w:rsidRDefault="00C57697">
      <w:pPr>
        <w:spacing w:after="0"/>
      </w:pPr>
      <w:r>
        <w:br w:type="page"/>
      </w:r>
    </w:p>
    <w:p w14:paraId="644D031C" w14:textId="77777777" w:rsidR="00864466" w:rsidRPr="0043350C" w:rsidRDefault="00864466" w:rsidP="00864466">
      <w:pPr>
        <w:keepNext/>
        <w:keepLines/>
        <w:outlineLvl w:val="2"/>
        <w:rPr>
          <w:rFonts w:eastAsiaTheme="majorEastAsia" w:cstheme="majorBidi"/>
          <w:b/>
          <w:bCs/>
          <w:szCs w:val="22"/>
          <w:lang w:val="es-MX" w:eastAsia="en-US"/>
        </w:rPr>
      </w:pPr>
      <w:bookmarkStart w:id="20" w:name="_Toc512364671"/>
      <w:r w:rsidRPr="0043350C">
        <w:rPr>
          <w:rFonts w:eastAsiaTheme="majorEastAsia" w:cstheme="majorBidi"/>
          <w:b/>
          <w:bCs/>
          <w:szCs w:val="22"/>
          <w:lang w:val="es-MX" w:eastAsia="en-US"/>
        </w:rPr>
        <w:lastRenderedPageBreak/>
        <w:t xml:space="preserve">EVALUACIÓN ESPECÍFICA DE </w:t>
      </w:r>
      <w:bookmarkEnd w:id="17"/>
      <w:bookmarkEnd w:id="18"/>
      <w:r w:rsidR="003E2810">
        <w:rPr>
          <w:rFonts w:eastAsiaTheme="majorEastAsia" w:cstheme="majorBidi"/>
          <w:b/>
          <w:bCs/>
          <w:szCs w:val="22"/>
          <w:lang w:val="es-MX" w:eastAsia="en-US"/>
        </w:rPr>
        <w:t>PROCESOS CON MÓDULO COMPLETO DE DISEÑO</w:t>
      </w:r>
      <w:bookmarkEnd w:id="20"/>
    </w:p>
    <w:p w14:paraId="797D23FB" w14:textId="77777777" w:rsidR="00864466" w:rsidRPr="0043350C" w:rsidRDefault="00864466" w:rsidP="00864466">
      <w:pPr>
        <w:jc w:val="both"/>
        <w:rPr>
          <w:rFonts w:eastAsia="Calibri" w:cs="Arial"/>
          <w:b/>
          <w:szCs w:val="20"/>
          <w:lang w:val="es-ES" w:eastAsia="en-US"/>
        </w:rPr>
      </w:pPr>
      <w:r w:rsidRPr="0043350C">
        <w:rPr>
          <w:rFonts w:eastAsia="Times New Roman" w:cs="Arial"/>
          <w:b/>
          <w:szCs w:val="20"/>
          <w:lang w:val="es-ES" w:eastAsia="en-US"/>
        </w:rPr>
        <w:t xml:space="preserve">Introducción </w:t>
      </w:r>
    </w:p>
    <w:p w14:paraId="50DA5A14" w14:textId="77777777" w:rsidR="00864466" w:rsidRDefault="002D51C0" w:rsidP="00864466">
      <w:pPr>
        <w:pStyle w:val="Cdetexto"/>
      </w:pPr>
      <w:r>
        <w:t xml:space="preserve">Considerando que existen en la </w:t>
      </w:r>
      <w:r w:rsidR="00114D06">
        <w:t>APF</w:t>
      </w:r>
      <w:r w:rsidR="00FA686B">
        <w:t xml:space="preserve"> </w:t>
      </w:r>
      <w:proofErr w:type="spellStart"/>
      <w:r w:rsidR="00FA686B">
        <w:t>Pp</w:t>
      </w:r>
      <w:proofErr w:type="spellEnd"/>
      <w:r w:rsidR="00FA686B">
        <w:t xml:space="preserve"> que pueden considerarse con operación y procesos consolidados, </w:t>
      </w:r>
      <w:r w:rsidR="002A0797">
        <w:t>por el tiempo que llevan implementándose</w:t>
      </w:r>
      <w:r w:rsidR="00FA686B">
        <w:t xml:space="preserve">, y que por diversas circunstancias no cuentan con una evaluación en materia de diseño </w:t>
      </w:r>
      <w:r w:rsidR="00E0359B">
        <w:t xml:space="preserve">vigente </w:t>
      </w:r>
      <w:r w:rsidR="002A0797">
        <w:t>y robusta, la SHCP diseñó la Evaluación Específica de Procesos con Módulo Completo de Diseño</w:t>
      </w:r>
      <w:r w:rsidR="00475131">
        <w:t xml:space="preserve"> (EEPMCD)</w:t>
      </w:r>
      <w:r w:rsidR="00C9394E">
        <w:t xml:space="preserve">, en la que se emplearon </w:t>
      </w:r>
      <w:r w:rsidR="00860B3B">
        <w:t xml:space="preserve">como base </w:t>
      </w:r>
      <w:r w:rsidR="00C9394E">
        <w:t>los Modelos de Términos de Referencia</w:t>
      </w:r>
      <w:r w:rsidR="00860B3B">
        <w:t xml:space="preserve"> para las Ev</w:t>
      </w:r>
      <w:r w:rsidR="00B332BF">
        <w:t>al</w:t>
      </w:r>
      <w:r w:rsidR="00860B3B">
        <w:t>u</w:t>
      </w:r>
      <w:r w:rsidR="00B332BF">
        <w:t>a</w:t>
      </w:r>
      <w:r w:rsidR="00860B3B">
        <w:t xml:space="preserve">ciones de Procesos y </w:t>
      </w:r>
      <w:r w:rsidR="00F41A21">
        <w:t xml:space="preserve">para las Evaluaciones </w:t>
      </w:r>
      <w:r w:rsidR="00860B3B">
        <w:t>en materia de Diseño</w:t>
      </w:r>
      <w:r w:rsidR="00545B23">
        <w:t xml:space="preserve"> que están en su ámbito de coordinación</w:t>
      </w:r>
      <w:r w:rsidR="00F41A21">
        <w:t>. A partir de esto, se presentan las características de estas evaluaciones, mismas que se conjuntan en la Evaluación Específica en comento.</w:t>
      </w:r>
    </w:p>
    <w:p w14:paraId="63BEA1E2" w14:textId="77777777" w:rsidR="00864466" w:rsidRPr="0043350C" w:rsidRDefault="00864466" w:rsidP="00864466">
      <w:pPr>
        <w:jc w:val="both"/>
        <w:rPr>
          <w:rFonts w:eastAsia="Times New Roman" w:cs="Arial"/>
          <w:b/>
          <w:szCs w:val="22"/>
          <w:lang w:val="es-ES"/>
        </w:rPr>
      </w:pPr>
      <w:r w:rsidRPr="0043350C">
        <w:rPr>
          <w:rFonts w:eastAsia="Times New Roman" w:cs="Arial"/>
          <w:b/>
          <w:szCs w:val="22"/>
          <w:lang w:val="es-ES"/>
        </w:rPr>
        <w:t>Objetivo General</w:t>
      </w:r>
    </w:p>
    <w:p w14:paraId="2355352B" w14:textId="77777777" w:rsidR="00864466" w:rsidRPr="0043350C" w:rsidRDefault="007D05E1" w:rsidP="00864466">
      <w:pPr>
        <w:pStyle w:val="Cdetexto"/>
        <w:rPr>
          <w:szCs w:val="22"/>
        </w:rPr>
      </w:pPr>
      <w:r w:rsidRPr="007D05E1">
        <w:t xml:space="preserve">Contribuir a la mejora del funcionamiento, gestión y organización del </w:t>
      </w:r>
      <w:proofErr w:type="spellStart"/>
      <w:r w:rsidRPr="007D05E1">
        <w:t>Pp</w:t>
      </w:r>
      <w:proofErr w:type="spellEnd"/>
      <w:r w:rsidRPr="007D05E1">
        <w:t>, mediante la realización de un análisis y valoración de su operación, de modo que se permita orientar su gestión a la consecución de resultados de manera eficaz y eficiente, previo análisis y valoración del diseño conceptual del Pp.</w:t>
      </w:r>
    </w:p>
    <w:p w14:paraId="16E572D6" w14:textId="77777777" w:rsidR="00864466" w:rsidRPr="0043350C" w:rsidRDefault="00864466" w:rsidP="00864466">
      <w:pPr>
        <w:jc w:val="both"/>
        <w:rPr>
          <w:rFonts w:eastAsia="Times New Roman" w:cs="Arial"/>
          <w:b/>
          <w:szCs w:val="20"/>
          <w:lang w:val="es-ES"/>
        </w:rPr>
      </w:pPr>
      <w:r w:rsidRPr="0043350C">
        <w:rPr>
          <w:rFonts w:eastAsia="Times New Roman" w:cs="Arial"/>
          <w:b/>
          <w:szCs w:val="20"/>
          <w:lang w:val="es-ES"/>
        </w:rPr>
        <w:t>Objetivos específicos</w:t>
      </w:r>
    </w:p>
    <w:p w14:paraId="7B7348C4" w14:textId="77777777" w:rsidR="007D05E1" w:rsidRDefault="007D05E1" w:rsidP="007D05E1">
      <w:pPr>
        <w:pStyle w:val="Bala"/>
        <w:numPr>
          <w:ilvl w:val="0"/>
          <w:numId w:val="1"/>
        </w:numPr>
      </w:pPr>
      <w:r>
        <w:t>Analizar y valorar la justificación de la c</w:t>
      </w:r>
      <w:r w:rsidR="00EF7FDE">
        <w:t xml:space="preserve">reación y diseño del </w:t>
      </w:r>
      <w:proofErr w:type="spellStart"/>
      <w:r w:rsidR="00EF7FDE">
        <w:t>Pp</w:t>
      </w:r>
      <w:proofErr w:type="spellEnd"/>
      <w:r w:rsidR="00EF7FDE">
        <w:t>;</w:t>
      </w:r>
    </w:p>
    <w:p w14:paraId="10BB7CEB" w14:textId="77777777" w:rsidR="007D05E1" w:rsidRDefault="007D05E1" w:rsidP="007D05E1">
      <w:pPr>
        <w:pStyle w:val="Bala"/>
        <w:numPr>
          <w:ilvl w:val="0"/>
          <w:numId w:val="1"/>
        </w:numPr>
      </w:pPr>
      <w:r>
        <w:t xml:space="preserve">Analizar y valorar la contribución del </w:t>
      </w:r>
      <w:proofErr w:type="spellStart"/>
      <w:r>
        <w:t>Pp</w:t>
      </w:r>
      <w:proofErr w:type="spellEnd"/>
      <w:r>
        <w:t xml:space="preserve"> a la planeación nacional y sectorial</w:t>
      </w:r>
      <w:r w:rsidR="00EF7FDE">
        <w:t>;</w:t>
      </w:r>
    </w:p>
    <w:p w14:paraId="03B404A3" w14:textId="77777777" w:rsidR="007D05E1" w:rsidRDefault="007D05E1" w:rsidP="007D05E1">
      <w:pPr>
        <w:pStyle w:val="Bala"/>
        <w:numPr>
          <w:ilvl w:val="0"/>
          <w:numId w:val="1"/>
        </w:numPr>
      </w:pPr>
      <w:r>
        <w:t>Analizar y valorar la consistencia entre el diseño d</w:t>
      </w:r>
      <w:r w:rsidR="00EF7FDE">
        <w:t xml:space="preserve">el </w:t>
      </w:r>
      <w:proofErr w:type="spellStart"/>
      <w:r w:rsidR="00EF7FDE">
        <w:t>Pp</w:t>
      </w:r>
      <w:proofErr w:type="spellEnd"/>
      <w:r w:rsidR="00EF7FDE">
        <w:t xml:space="preserve"> y la normativa aplicable;</w:t>
      </w:r>
    </w:p>
    <w:p w14:paraId="2C229CB6" w14:textId="77777777" w:rsidR="007D05E1" w:rsidRDefault="007D05E1" w:rsidP="007D05E1">
      <w:pPr>
        <w:pStyle w:val="Bala"/>
        <w:numPr>
          <w:ilvl w:val="0"/>
          <w:numId w:val="1"/>
        </w:numPr>
      </w:pPr>
      <w:r>
        <w:t xml:space="preserve">Identificar posibles complementariedades o coincidencias con otros </w:t>
      </w:r>
      <w:proofErr w:type="spellStart"/>
      <w:r>
        <w:t>Pp</w:t>
      </w:r>
      <w:proofErr w:type="spellEnd"/>
      <w:r>
        <w:t xml:space="preserve"> de la APF</w:t>
      </w:r>
      <w:r w:rsidR="00EF7FDE">
        <w:t>;</w:t>
      </w:r>
    </w:p>
    <w:p w14:paraId="46E2AE22" w14:textId="77777777" w:rsidR="007D05E1" w:rsidRDefault="007D05E1" w:rsidP="007D05E1">
      <w:pPr>
        <w:pStyle w:val="Bala"/>
        <w:numPr>
          <w:ilvl w:val="0"/>
          <w:numId w:val="1"/>
        </w:numPr>
      </w:pPr>
      <w:r>
        <w:t xml:space="preserve">Valorar si la ejecución de los procesos y subprocesos, y en su caso </w:t>
      </w:r>
      <w:proofErr w:type="spellStart"/>
      <w:r>
        <w:t>macroprocesos</w:t>
      </w:r>
      <w:proofErr w:type="spellEnd"/>
      <w:r>
        <w:t xml:space="preserve">, que integran la gestión operativa del </w:t>
      </w:r>
      <w:proofErr w:type="spellStart"/>
      <w:r>
        <w:t>Pp</w:t>
      </w:r>
      <w:proofErr w:type="spellEnd"/>
      <w:r>
        <w:t xml:space="preserve"> en sus distintos niveles es adecuada para el logro de sus objetivos;</w:t>
      </w:r>
    </w:p>
    <w:p w14:paraId="013F3B27" w14:textId="77777777" w:rsidR="007D05E1" w:rsidRDefault="007D05E1" w:rsidP="007D05E1">
      <w:pPr>
        <w:pStyle w:val="Bala"/>
        <w:numPr>
          <w:ilvl w:val="0"/>
          <w:numId w:val="1"/>
        </w:numPr>
      </w:pPr>
      <w:r>
        <w:t xml:space="preserve">Valorar en qué medida los procesos y subprocesos, y en su caso </w:t>
      </w:r>
      <w:proofErr w:type="spellStart"/>
      <w:r>
        <w:t>macroprocesos</w:t>
      </w:r>
      <w:proofErr w:type="spellEnd"/>
      <w:r>
        <w:t xml:space="preserve">, operativos del </w:t>
      </w:r>
      <w:proofErr w:type="spellStart"/>
      <w:r>
        <w:t>Pp</w:t>
      </w:r>
      <w:proofErr w:type="spellEnd"/>
      <w:r>
        <w:t xml:space="preserve"> son eficaces, oportunos, suficientes y pertinentes para el logro de sus objetivos;</w:t>
      </w:r>
    </w:p>
    <w:p w14:paraId="71CCF0C0" w14:textId="77777777" w:rsidR="007D05E1" w:rsidRDefault="007D05E1" w:rsidP="007D05E1">
      <w:pPr>
        <w:pStyle w:val="Bala"/>
        <w:numPr>
          <w:ilvl w:val="0"/>
          <w:numId w:val="1"/>
        </w:numPr>
      </w:pPr>
      <w:r>
        <w:t>Identificar, analizar y valorar los problemas o limitantes, tanto normativos como operativos (“</w:t>
      </w:r>
      <w:r w:rsidR="008846BA">
        <w:t>C</w:t>
      </w:r>
      <w:r>
        <w:t xml:space="preserve">uellos de botella”) que hubiese en la operación del </w:t>
      </w:r>
      <w:proofErr w:type="spellStart"/>
      <w:r>
        <w:t>Pp</w:t>
      </w:r>
      <w:proofErr w:type="spellEnd"/>
      <w:r>
        <w:t>;</w:t>
      </w:r>
    </w:p>
    <w:p w14:paraId="5E3CEEAF" w14:textId="77777777" w:rsidR="007D05E1" w:rsidRDefault="007D05E1" w:rsidP="007D05E1">
      <w:pPr>
        <w:pStyle w:val="Bala"/>
        <w:numPr>
          <w:ilvl w:val="0"/>
          <w:numId w:val="1"/>
        </w:numPr>
      </w:pPr>
      <w:r>
        <w:t xml:space="preserve">Identificar, analizar y valorar las buenas prácticas o las fortalezas en la operación del </w:t>
      </w:r>
      <w:proofErr w:type="spellStart"/>
      <w:r>
        <w:t>Pp</w:t>
      </w:r>
      <w:proofErr w:type="spellEnd"/>
      <w:r>
        <w:t>;</w:t>
      </w:r>
    </w:p>
    <w:p w14:paraId="629D9B65" w14:textId="77777777" w:rsidR="007D05E1" w:rsidRDefault="007D05E1" w:rsidP="007D05E1">
      <w:pPr>
        <w:pStyle w:val="Bala"/>
        <w:numPr>
          <w:ilvl w:val="0"/>
          <w:numId w:val="1"/>
        </w:numPr>
      </w:pPr>
      <w:r>
        <w:t xml:space="preserve">Valorar si la estructura organizacional para la operación del </w:t>
      </w:r>
      <w:proofErr w:type="spellStart"/>
      <w:r>
        <w:t>Pp</w:t>
      </w:r>
      <w:proofErr w:type="spellEnd"/>
      <w:r>
        <w:t xml:space="preserve"> es la adecuada de acuerdo con sus objetivos;</w:t>
      </w:r>
    </w:p>
    <w:p w14:paraId="535F5A24" w14:textId="77777777" w:rsidR="00864466" w:rsidRPr="0043350C" w:rsidRDefault="007D05E1" w:rsidP="007D05E1">
      <w:pPr>
        <w:pStyle w:val="Bala"/>
        <w:numPr>
          <w:ilvl w:val="0"/>
          <w:numId w:val="1"/>
        </w:numPr>
      </w:pPr>
      <w:r>
        <w:t xml:space="preserve">Formular recomendaciones específicas, concretas y derivadas de las áreas de mejora identificadas, que permitan mejorar la gestión para resultados del </w:t>
      </w:r>
      <w:proofErr w:type="spellStart"/>
      <w:r>
        <w:t>Pp</w:t>
      </w:r>
      <w:proofErr w:type="spellEnd"/>
      <w:r>
        <w:t xml:space="preserve"> a través de la mejora en la ejecución de sus procesos y subprocesos, y en su caso </w:t>
      </w:r>
      <w:proofErr w:type="spellStart"/>
      <w:r>
        <w:t>macroprocesos</w:t>
      </w:r>
      <w:proofErr w:type="spellEnd"/>
      <w:r>
        <w:t>.</w:t>
      </w:r>
    </w:p>
    <w:p w14:paraId="0C11F8DD" w14:textId="77777777" w:rsidR="00864466" w:rsidRPr="0043350C" w:rsidRDefault="003E2810" w:rsidP="00864466">
      <w:pPr>
        <w:pStyle w:val="Cdetexto"/>
      </w:pPr>
      <w:r w:rsidRPr="003D317D">
        <w:t xml:space="preserve">En el </w:t>
      </w:r>
      <w:r w:rsidR="00A615D2">
        <w:t>primer</w:t>
      </w:r>
      <w:r w:rsidR="00864466" w:rsidRPr="003D317D">
        <w:t xml:space="preserve"> trimestre de 201</w:t>
      </w:r>
      <w:r w:rsidR="00A615D2">
        <w:t>8</w:t>
      </w:r>
      <w:r w:rsidR="00864466" w:rsidRPr="003D317D">
        <w:t xml:space="preserve">, se entregó a la SHCP </w:t>
      </w:r>
      <w:r w:rsidR="00864466" w:rsidRPr="00115E1E">
        <w:t xml:space="preserve">una </w:t>
      </w:r>
      <w:r w:rsidR="00864466" w:rsidRPr="00746007">
        <w:t>EE</w:t>
      </w:r>
      <w:r w:rsidRPr="00746007">
        <w:t>PMCD</w:t>
      </w:r>
      <w:r w:rsidR="00864466" w:rsidRPr="00746007">
        <w:t xml:space="preserve"> </w:t>
      </w:r>
      <w:r w:rsidRPr="00746007">
        <w:t>r</w:t>
      </w:r>
      <w:r w:rsidRPr="00115E1E">
        <w:t>ealizada</w:t>
      </w:r>
      <w:r w:rsidR="00864466" w:rsidRPr="00115E1E">
        <w:t xml:space="preserve"> al </w:t>
      </w:r>
      <w:proofErr w:type="spellStart"/>
      <w:r w:rsidR="00864466" w:rsidRPr="00115E1E">
        <w:t>Pp</w:t>
      </w:r>
      <w:proofErr w:type="spellEnd"/>
      <w:r w:rsidR="00864466" w:rsidRPr="00115E1E">
        <w:t xml:space="preserve"> </w:t>
      </w:r>
      <w:r w:rsidR="00E21BE8" w:rsidRPr="00115E1E">
        <w:t>P</w:t>
      </w:r>
      <w:r w:rsidRPr="00115E1E">
        <w:t>0</w:t>
      </w:r>
      <w:r w:rsidR="00E21BE8" w:rsidRPr="00115E1E">
        <w:t>14</w:t>
      </w:r>
      <w:r w:rsidR="00864466" w:rsidRPr="00115E1E">
        <w:t xml:space="preserve"> </w:t>
      </w:r>
      <w:r w:rsidR="00E21BE8" w:rsidRPr="00115E1E">
        <w:t>Coordinación con las instancias que integran el Sistema Nacional de Seguridad Pública</w:t>
      </w:r>
      <w:r w:rsidR="00115E1E" w:rsidRPr="00115E1E">
        <w:t xml:space="preserve"> del Ramo 04</w:t>
      </w:r>
      <w:r w:rsidRPr="00115E1E">
        <w:t xml:space="preserve"> </w:t>
      </w:r>
      <w:r w:rsidR="00115E1E" w:rsidRPr="00115E1E">
        <w:t>Gobernación</w:t>
      </w:r>
      <w:r w:rsidR="00864466" w:rsidRPr="00115E1E">
        <w:t>, la cual se resume a continuació</w:t>
      </w:r>
      <w:r w:rsidR="00864466" w:rsidRPr="0043350C">
        <w:t>n.</w:t>
      </w:r>
    </w:p>
    <w:p w14:paraId="2884EB56" w14:textId="77777777" w:rsidR="00864466" w:rsidRPr="0043350C" w:rsidRDefault="00864466" w:rsidP="00864466">
      <w:r w:rsidRPr="0043350C">
        <w:br w:type="page"/>
      </w:r>
    </w:p>
    <w:tbl>
      <w:tblPr>
        <w:tblStyle w:val="Tablaconcuadrcula321"/>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864466" w:rsidRPr="0043350C" w14:paraId="0A08BDB0" w14:textId="77777777" w:rsidTr="008A4C87">
        <w:trPr>
          <w:trHeight w:val="356"/>
          <w:jc w:val="center"/>
        </w:trPr>
        <w:tc>
          <w:tcPr>
            <w:tcW w:w="10065" w:type="dxa"/>
            <w:gridSpan w:val="5"/>
            <w:shd w:val="clear" w:color="auto" w:fill="D6E3BC" w:themeFill="accent3" w:themeFillTint="66"/>
            <w:vAlign w:val="center"/>
          </w:tcPr>
          <w:p w14:paraId="0E450CCD" w14:textId="77777777" w:rsidR="00864466" w:rsidRPr="00D30938" w:rsidRDefault="00864466" w:rsidP="008846BA">
            <w:pPr>
              <w:pStyle w:val="CABEZA"/>
              <w:ind w:left="0"/>
              <w:rPr>
                <w:lang w:val="es-MX"/>
              </w:rPr>
            </w:pPr>
            <w:r w:rsidRPr="008873F7">
              <w:rPr>
                <w:lang w:val="es-MX"/>
              </w:rPr>
              <w:lastRenderedPageBreak/>
              <w:br w:type="page"/>
            </w:r>
            <w:r w:rsidR="00D30938" w:rsidRPr="00D30938">
              <w:rPr>
                <w:lang w:val="es-MX"/>
              </w:rPr>
              <w:t>Ramo 0</w:t>
            </w:r>
            <w:r w:rsidR="00746007">
              <w:rPr>
                <w:lang w:val="es-MX"/>
              </w:rPr>
              <w:t>4</w:t>
            </w:r>
            <w:r w:rsidR="00D30938">
              <w:rPr>
                <w:lang w:val="es-MX"/>
              </w:rPr>
              <w:t>.</w:t>
            </w:r>
            <w:r w:rsidR="00D30938" w:rsidRPr="00D30938">
              <w:rPr>
                <w:lang w:val="es-MX"/>
              </w:rPr>
              <w:t xml:space="preserve"> </w:t>
            </w:r>
            <w:r w:rsidR="00746007">
              <w:rPr>
                <w:lang w:val="es-MX"/>
              </w:rPr>
              <w:t>Gobernación</w:t>
            </w:r>
          </w:p>
        </w:tc>
      </w:tr>
      <w:tr w:rsidR="00864466" w:rsidRPr="0043350C" w14:paraId="75C3B6C9" w14:textId="77777777" w:rsidTr="008A4C87">
        <w:trPr>
          <w:jc w:val="center"/>
        </w:trPr>
        <w:tc>
          <w:tcPr>
            <w:tcW w:w="1359" w:type="dxa"/>
            <w:shd w:val="clear" w:color="auto" w:fill="D9D9D9" w:themeFill="background1" w:themeFillShade="D9"/>
          </w:tcPr>
          <w:p w14:paraId="0C61B8AC" w14:textId="77777777" w:rsidR="00864466" w:rsidRPr="0043350C" w:rsidRDefault="00864466" w:rsidP="008A4C87">
            <w:pPr>
              <w:spacing w:before="20"/>
              <w:rPr>
                <w:b/>
                <w:sz w:val="16"/>
                <w:lang w:val="es-ES"/>
              </w:rPr>
            </w:pPr>
            <w:r w:rsidRPr="0043350C">
              <w:rPr>
                <w:b/>
                <w:sz w:val="16"/>
                <w:lang w:val="es-ES"/>
              </w:rPr>
              <w:t xml:space="preserve">Clave del </w:t>
            </w:r>
            <w:proofErr w:type="spellStart"/>
            <w:r w:rsidRPr="0043350C">
              <w:rPr>
                <w:b/>
                <w:sz w:val="16"/>
                <w:lang w:val="es-ES"/>
              </w:rPr>
              <w:t>Pp</w:t>
            </w:r>
            <w:proofErr w:type="spellEnd"/>
            <w:r w:rsidRPr="0043350C">
              <w:rPr>
                <w:b/>
                <w:sz w:val="16"/>
                <w:lang w:val="es-ES"/>
              </w:rPr>
              <w:t>:</w:t>
            </w:r>
          </w:p>
        </w:tc>
        <w:tc>
          <w:tcPr>
            <w:tcW w:w="734" w:type="dxa"/>
            <w:shd w:val="clear" w:color="auto" w:fill="D9D9D9" w:themeFill="background1" w:themeFillShade="D9"/>
          </w:tcPr>
          <w:p w14:paraId="1BF646A6" w14:textId="77777777" w:rsidR="00864466" w:rsidRPr="0043350C" w:rsidRDefault="00F521EC" w:rsidP="00F521EC">
            <w:pPr>
              <w:contextualSpacing/>
              <w:rPr>
                <w:sz w:val="16"/>
                <w:szCs w:val="16"/>
                <w:lang w:val="es-ES" w:eastAsia="en-US"/>
              </w:rPr>
            </w:pPr>
            <w:r>
              <w:rPr>
                <w:sz w:val="16"/>
                <w:szCs w:val="16"/>
                <w:lang w:val="es-ES" w:eastAsia="en-US"/>
              </w:rPr>
              <w:t>P</w:t>
            </w:r>
            <w:r w:rsidR="00D30938">
              <w:rPr>
                <w:sz w:val="16"/>
                <w:szCs w:val="16"/>
                <w:lang w:val="es-ES" w:eastAsia="en-US"/>
              </w:rPr>
              <w:t>0</w:t>
            </w:r>
            <w:r>
              <w:rPr>
                <w:sz w:val="16"/>
                <w:szCs w:val="16"/>
                <w:lang w:val="es-ES" w:eastAsia="en-US"/>
              </w:rPr>
              <w:t>14</w:t>
            </w:r>
          </w:p>
        </w:tc>
        <w:tc>
          <w:tcPr>
            <w:tcW w:w="1701" w:type="dxa"/>
            <w:gridSpan w:val="2"/>
            <w:shd w:val="clear" w:color="auto" w:fill="D9D9D9" w:themeFill="background1" w:themeFillShade="D9"/>
          </w:tcPr>
          <w:p w14:paraId="52010F91" w14:textId="77777777" w:rsidR="00864466" w:rsidRPr="0043350C" w:rsidRDefault="00864466" w:rsidP="008A4C87">
            <w:pPr>
              <w:spacing w:before="20"/>
              <w:rPr>
                <w:b/>
                <w:sz w:val="16"/>
                <w:lang w:val="es-ES"/>
              </w:rPr>
            </w:pPr>
            <w:r w:rsidRPr="0043350C">
              <w:rPr>
                <w:b/>
                <w:sz w:val="16"/>
                <w:lang w:val="es-ES"/>
              </w:rPr>
              <w:t>Denominación:</w:t>
            </w:r>
          </w:p>
        </w:tc>
        <w:tc>
          <w:tcPr>
            <w:tcW w:w="6271" w:type="dxa"/>
            <w:shd w:val="clear" w:color="auto" w:fill="D9D9D9" w:themeFill="background1" w:themeFillShade="D9"/>
          </w:tcPr>
          <w:p w14:paraId="0DBF0F89" w14:textId="77777777" w:rsidR="00864466" w:rsidRPr="0043350C" w:rsidRDefault="00746007" w:rsidP="003D317D">
            <w:pPr>
              <w:contextualSpacing/>
              <w:rPr>
                <w:sz w:val="16"/>
                <w:szCs w:val="16"/>
                <w:lang w:val="es-ES" w:eastAsia="en-US"/>
              </w:rPr>
            </w:pPr>
            <w:r w:rsidRPr="00746007">
              <w:rPr>
                <w:sz w:val="16"/>
                <w:szCs w:val="16"/>
                <w:lang w:val="es-ES" w:eastAsia="en-US"/>
              </w:rPr>
              <w:t>Coordinación con las instancias que integran el Sistema Nacional de Seguridad Pública</w:t>
            </w:r>
          </w:p>
        </w:tc>
      </w:tr>
      <w:tr w:rsidR="00864466" w:rsidRPr="0043350C" w14:paraId="0D099206" w14:textId="77777777" w:rsidTr="008A4C87">
        <w:trPr>
          <w:jc w:val="center"/>
        </w:trPr>
        <w:tc>
          <w:tcPr>
            <w:tcW w:w="2778" w:type="dxa"/>
            <w:gridSpan w:val="3"/>
          </w:tcPr>
          <w:p w14:paraId="704829D0" w14:textId="77777777" w:rsidR="00864466" w:rsidRPr="0043350C" w:rsidRDefault="00864466" w:rsidP="008A4C87">
            <w:pPr>
              <w:spacing w:before="20"/>
              <w:rPr>
                <w:b/>
                <w:sz w:val="16"/>
                <w:lang w:val="es-ES"/>
              </w:rPr>
            </w:pPr>
            <w:r w:rsidRPr="0043350C">
              <w:rPr>
                <w:b/>
                <w:sz w:val="16"/>
                <w:lang w:val="es-ES"/>
              </w:rPr>
              <w:t xml:space="preserve">Unidad Administrativa </w:t>
            </w:r>
          </w:p>
        </w:tc>
        <w:tc>
          <w:tcPr>
            <w:tcW w:w="7287" w:type="dxa"/>
            <w:gridSpan w:val="2"/>
          </w:tcPr>
          <w:p w14:paraId="1B7906E0" w14:textId="77777777" w:rsidR="00864466" w:rsidRPr="0043350C" w:rsidRDefault="00746007" w:rsidP="008A4C87">
            <w:pPr>
              <w:spacing w:before="20"/>
              <w:rPr>
                <w:rFonts w:eastAsia="Times New Roman"/>
                <w:sz w:val="16"/>
                <w:szCs w:val="16"/>
                <w:lang w:val="es-MX" w:eastAsia="en-US"/>
              </w:rPr>
            </w:pPr>
            <w:r w:rsidRPr="00746007">
              <w:rPr>
                <w:sz w:val="16"/>
                <w:lang w:val="es-ES"/>
              </w:rPr>
              <w:t>Secretariado Ejecutivo del Sistema Nacional de Seguridad Pública</w:t>
            </w:r>
          </w:p>
        </w:tc>
      </w:tr>
      <w:tr w:rsidR="00864466" w:rsidRPr="0043350C" w14:paraId="36C71E36" w14:textId="77777777" w:rsidTr="008A4C87">
        <w:trPr>
          <w:jc w:val="center"/>
        </w:trPr>
        <w:tc>
          <w:tcPr>
            <w:tcW w:w="2778" w:type="dxa"/>
            <w:gridSpan w:val="3"/>
          </w:tcPr>
          <w:p w14:paraId="4333B111" w14:textId="77777777" w:rsidR="00864466" w:rsidRPr="0043350C" w:rsidRDefault="00864466" w:rsidP="008A4C87">
            <w:pPr>
              <w:spacing w:before="20"/>
              <w:rPr>
                <w:b/>
                <w:sz w:val="16"/>
                <w:lang w:val="es-ES"/>
              </w:rPr>
            </w:pPr>
            <w:r w:rsidRPr="0043350C">
              <w:rPr>
                <w:b/>
                <w:sz w:val="16"/>
                <w:lang w:val="es-ES"/>
              </w:rPr>
              <w:t xml:space="preserve">Responsable </w:t>
            </w:r>
          </w:p>
        </w:tc>
        <w:tc>
          <w:tcPr>
            <w:tcW w:w="7287" w:type="dxa"/>
            <w:gridSpan w:val="2"/>
          </w:tcPr>
          <w:p w14:paraId="311CBE8E" w14:textId="77777777" w:rsidR="00864466" w:rsidRPr="0043350C" w:rsidRDefault="00746007" w:rsidP="00D30938">
            <w:pPr>
              <w:spacing w:before="20"/>
              <w:rPr>
                <w:sz w:val="16"/>
                <w:lang w:val="es-ES"/>
              </w:rPr>
            </w:pPr>
            <w:r>
              <w:rPr>
                <w:sz w:val="16"/>
                <w:lang w:val="es-ES"/>
              </w:rPr>
              <w:t>Álvaro Vizcaíno Zamora</w:t>
            </w:r>
          </w:p>
        </w:tc>
      </w:tr>
      <w:tr w:rsidR="00864466" w:rsidRPr="00E87329" w14:paraId="040A9FCB" w14:textId="77777777" w:rsidTr="008A4C87">
        <w:trPr>
          <w:jc w:val="center"/>
        </w:trPr>
        <w:tc>
          <w:tcPr>
            <w:tcW w:w="2778" w:type="dxa"/>
            <w:gridSpan w:val="3"/>
            <w:tcBorders>
              <w:bottom w:val="single" w:sz="4" w:space="0" w:color="auto"/>
            </w:tcBorders>
            <w:shd w:val="clear" w:color="auto" w:fill="D9D9D9" w:themeFill="background1" w:themeFillShade="D9"/>
          </w:tcPr>
          <w:p w14:paraId="0FDEC22E" w14:textId="77777777" w:rsidR="00864466" w:rsidRPr="0043350C" w:rsidRDefault="00864466" w:rsidP="008A4C87">
            <w:pPr>
              <w:spacing w:before="20"/>
              <w:rPr>
                <w:b/>
                <w:sz w:val="16"/>
                <w:lang w:val="es-ES"/>
              </w:rPr>
            </w:pPr>
            <w:r w:rsidRPr="0043350C">
              <w:rPr>
                <w:b/>
                <w:sz w:val="16"/>
                <w:lang w:val="es-ES"/>
              </w:rPr>
              <w:t>Tipo de Evaluación</w:t>
            </w:r>
          </w:p>
        </w:tc>
        <w:tc>
          <w:tcPr>
            <w:tcW w:w="7287" w:type="dxa"/>
            <w:gridSpan w:val="2"/>
            <w:tcBorders>
              <w:bottom w:val="single" w:sz="4" w:space="0" w:color="auto"/>
            </w:tcBorders>
            <w:shd w:val="clear" w:color="auto" w:fill="D9D9D9" w:themeFill="background1" w:themeFillShade="D9"/>
          </w:tcPr>
          <w:p w14:paraId="6FCC19E7" w14:textId="77777777" w:rsidR="00864466" w:rsidRPr="0043350C" w:rsidRDefault="00864466" w:rsidP="00E87329">
            <w:pPr>
              <w:spacing w:before="20"/>
              <w:rPr>
                <w:sz w:val="16"/>
                <w:lang w:val="es-ES"/>
              </w:rPr>
            </w:pPr>
            <w:r w:rsidRPr="0043350C">
              <w:rPr>
                <w:sz w:val="16"/>
                <w:lang w:val="es-ES"/>
              </w:rPr>
              <w:t xml:space="preserve">Específica de </w:t>
            </w:r>
            <w:r w:rsidR="007E0CA7">
              <w:rPr>
                <w:sz w:val="16"/>
                <w:lang w:val="es-ES"/>
              </w:rPr>
              <w:t xml:space="preserve">Procesos con </w:t>
            </w:r>
            <w:r w:rsidR="00E87329">
              <w:rPr>
                <w:sz w:val="16"/>
                <w:lang w:val="es-ES"/>
              </w:rPr>
              <w:t>módulo c</w:t>
            </w:r>
            <w:r w:rsidR="007E0CA7">
              <w:rPr>
                <w:sz w:val="16"/>
                <w:lang w:val="es-ES"/>
              </w:rPr>
              <w:t>ompleto de Diseño</w:t>
            </w:r>
            <w:r w:rsidRPr="0043350C">
              <w:rPr>
                <w:sz w:val="16"/>
                <w:lang w:val="es-ES"/>
              </w:rPr>
              <w:t>, PAE 201</w:t>
            </w:r>
            <w:r w:rsidR="007E0CA7">
              <w:rPr>
                <w:sz w:val="16"/>
                <w:lang w:val="es-ES"/>
              </w:rPr>
              <w:t>7</w:t>
            </w:r>
          </w:p>
        </w:tc>
      </w:tr>
    </w:tbl>
    <w:p w14:paraId="26A0DF60" w14:textId="77777777" w:rsidR="00864466" w:rsidRPr="0043350C" w:rsidRDefault="00864466" w:rsidP="00864466">
      <w:pPr>
        <w:rPr>
          <w:lang w:eastAsia="en-US"/>
        </w:rPr>
      </w:pPr>
    </w:p>
    <w:p w14:paraId="04A63B4C" w14:textId="77777777" w:rsidR="00864466" w:rsidRPr="0043350C" w:rsidRDefault="00864466" w:rsidP="00864466">
      <w:pPr>
        <w:jc w:val="both"/>
        <w:rPr>
          <w:rFonts w:eastAsia="Times New Roman" w:cs="Arial"/>
          <w:b/>
          <w:szCs w:val="20"/>
          <w:lang w:val="es-ES"/>
        </w:rPr>
      </w:pPr>
      <w:r w:rsidRPr="0043350C">
        <w:rPr>
          <w:rFonts w:eastAsia="Times New Roman" w:cs="Arial"/>
          <w:b/>
          <w:szCs w:val="20"/>
          <w:lang w:val="es-ES"/>
        </w:rPr>
        <w:t xml:space="preserve">Descripción del </w:t>
      </w:r>
      <w:proofErr w:type="spellStart"/>
      <w:r w:rsidRPr="0043350C">
        <w:rPr>
          <w:rFonts w:eastAsia="Times New Roman" w:cs="Arial"/>
          <w:b/>
          <w:szCs w:val="20"/>
          <w:lang w:val="es-ES"/>
        </w:rPr>
        <w:t>Pp</w:t>
      </w:r>
      <w:proofErr w:type="spellEnd"/>
    </w:p>
    <w:p w14:paraId="783D88C8" w14:textId="77777777" w:rsidR="00F521EC" w:rsidRDefault="00F521EC" w:rsidP="00864466">
      <w:pPr>
        <w:pStyle w:val="Cdetexto"/>
      </w:pPr>
      <w:r>
        <w:t xml:space="preserve">El </w:t>
      </w:r>
      <w:proofErr w:type="spellStart"/>
      <w:r>
        <w:t>Pp</w:t>
      </w:r>
      <w:proofErr w:type="spellEnd"/>
      <w:r>
        <w:t xml:space="preserve"> P014 </w:t>
      </w:r>
      <w:r w:rsidRPr="00F521EC">
        <w:t xml:space="preserve">entró en vigor en </w:t>
      </w:r>
      <w:r w:rsidR="00BB3FD6">
        <w:t xml:space="preserve">el ejercicio fiscal </w:t>
      </w:r>
      <w:r w:rsidRPr="00F521EC">
        <w:t>2014</w:t>
      </w:r>
      <w:r>
        <w:t xml:space="preserve">, aunque </w:t>
      </w:r>
      <w:r w:rsidRPr="00F521EC">
        <w:t>estuvo en operación anteriormente con otras denominaciones</w:t>
      </w:r>
      <w:r>
        <w:t>;</w:t>
      </w:r>
      <w:r w:rsidRPr="00F521EC">
        <w:t xml:space="preserve"> </w:t>
      </w:r>
      <w:r>
        <w:t>e</w:t>
      </w:r>
      <w:r w:rsidRPr="00F521EC">
        <w:t>n 2011 tenía la denominación “Ejecución y seguimiento de acuerdos y resoluciones del Consejo Nacional de Seguridad Pública”. El actual</w:t>
      </w:r>
      <w:r>
        <w:t xml:space="preserve"> </w:t>
      </w:r>
      <w:proofErr w:type="spellStart"/>
      <w:r>
        <w:t>Pp</w:t>
      </w:r>
      <w:proofErr w:type="spellEnd"/>
      <w:r w:rsidRPr="00F521EC">
        <w:t xml:space="preserve"> fue resultado de un proceso iniciado en 2013 para la compactación presupuestal</w:t>
      </w:r>
      <w:r>
        <w:t>,</w:t>
      </w:r>
      <w:r w:rsidRPr="00F521EC">
        <w:t xml:space="preserve"> buscando evitar que los recursos fueran administrados por diferentes </w:t>
      </w:r>
      <w:proofErr w:type="spellStart"/>
      <w:r>
        <w:t>Pp</w:t>
      </w:r>
      <w:proofErr w:type="spellEnd"/>
      <w:r w:rsidRPr="00F521EC">
        <w:t xml:space="preserve"> que atendían el mismo objetivo</w:t>
      </w:r>
      <w:r w:rsidR="008E14ED">
        <w:t>.</w:t>
      </w:r>
    </w:p>
    <w:p w14:paraId="6BB54702" w14:textId="77777777" w:rsidR="004E774F" w:rsidRPr="00C161FE" w:rsidRDefault="003669B8" w:rsidP="00864466">
      <w:pPr>
        <w:pStyle w:val="Cdetexto"/>
      </w:pPr>
      <w:r>
        <w:t>El</w:t>
      </w:r>
      <w:r w:rsidR="006F67D3">
        <w:t xml:space="preserve"> </w:t>
      </w:r>
      <w:r w:rsidRPr="00C161FE">
        <w:t xml:space="preserve">problema público </w:t>
      </w:r>
      <w:r w:rsidR="004E774F" w:rsidRPr="00C161FE">
        <w:t xml:space="preserve">que busca </w:t>
      </w:r>
      <w:r w:rsidRPr="00C161FE">
        <w:t xml:space="preserve">solucionar </w:t>
      </w:r>
      <w:r w:rsidR="004E774F" w:rsidRPr="00C161FE">
        <w:t xml:space="preserve">el </w:t>
      </w:r>
      <w:proofErr w:type="spellStart"/>
      <w:r w:rsidR="004E774F" w:rsidRPr="00C161FE">
        <w:t>Pp</w:t>
      </w:r>
      <w:proofErr w:type="spellEnd"/>
      <w:r w:rsidR="004E774F" w:rsidRPr="00C161FE">
        <w:t xml:space="preserve"> se identifica como “</w:t>
      </w:r>
      <w:r w:rsidR="008E14ED" w:rsidRPr="00C161FE">
        <w:t>El estado de fuerza de las instituciones de seguridad pública con deficiencias en materia de desarrollo, profesionalización y certificación policial</w:t>
      </w:r>
      <w:r w:rsidR="004E774F" w:rsidRPr="00C161FE">
        <w:t>”.</w:t>
      </w:r>
    </w:p>
    <w:p w14:paraId="2471F65D" w14:textId="77777777" w:rsidR="004E7AF6" w:rsidRDefault="00864466" w:rsidP="00864466">
      <w:pPr>
        <w:pStyle w:val="Cdetexto"/>
      </w:pPr>
      <w:r w:rsidRPr="00C161FE">
        <w:t xml:space="preserve">El objetivo a nivel de fin del </w:t>
      </w:r>
      <w:proofErr w:type="spellStart"/>
      <w:r w:rsidRPr="00C161FE">
        <w:t>Pp</w:t>
      </w:r>
      <w:proofErr w:type="spellEnd"/>
      <w:r w:rsidRPr="00C161FE">
        <w:t xml:space="preserve"> es “</w:t>
      </w:r>
      <w:r w:rsidR="00345171" w:rsidRPr="00C161FE">
        <w:t>Contribuir a mejorar las condiciones de seguridad y justicia</w:t>
      </w:r>
      <w:r w:rsidR="004A3318">
        <w:t>,</w:t>
      </w:r>
      <w:r w:rsidR="00345171" w:rsidRPr="00C161FE">
        <w:t xml:space="preserve"> mediante el fortalecimiento de las instituciones</w:t>
      </w:r>
      <w:r w:rsidR="00345171" w:rsidRPr="00345171">
        <w:t xml:space="preserve"> de seguridad pública y la implementación de Programas con Prioridad Nacional, aprobados por el Consejo Nacional de Seguridad Pública</w:t>
      </w:r>
      <w:r w:rsidR="008B4331">
        <w:t>”.</w:t>
      </w:r>
    </w:p>
    <w:p w14:paraId="43051125" w14:textId="77777777" w:rsidR="00864466" w:rsidRPr="0043350C" w:rsidRDefault="00864466" w:rsidP="00864466">
      <w:pPr>
        <w:pStyle w:val="Cdetexto"/>
      </w:pPr>
      <w:r w:rsidRPr="0043350C">
        <w:t xml:space="preserve">El objetivo a nivel propósito </w:t>
      </w:r>
      <w:r w:rsidR="004E7AF6">
        <w:t xml:space="preserve">del </w:t>
      </w:r>
      <w:proofErr w:type="spellStart"/>
      <w:r w:rsidR="004E7AF6">
        <w:t>Pp</w:t>
      </w:r>
      <w:proofErr w:type="spellEnd"/>
      <w:r w:rsidR="004E7AF6">
        <w:t xml:space="preserve"> </w:t>
      </w:r>
      <w:r w:rsidRPr="0043350C">
        <w:t>es “</w:t>
      </w:r>
      <w:r w:rsidR="005112F0" w:rsidRPr="005112F0">
        <w:t>Las instituciones de seguridad pública estatales se fortalecen al contar con elementos con características para ser certificados (aprobación en control de confianza, en desempeño y en competencias básicas)</w:t>
      </w:r>
      <w:r w:rsidRPr="0043350C">
        <w:t>”.</w:t>
      </w:r>
    </w:p>
    <w:p w14:paraId="346F9D98" w14:textId="77777777" w:rsidR="00864466" w:rsidRPr="0043350C" w:rsidRDefault="005112F0" w:rsidP="00864466">
      <w:pPr>
        <w:pStyle w:val="Cdetexto"/>
      </w:pPr>
      <w:r>
        <w:t xml:space="preserve">El componente del </w:t>
      </w:r>
      <w:proofErr w:type="spellStart"/>
      <w:r w:rsidR="00864466" w:rsidRPr="0043350C">
        <w:t>Pp</w:t>
      </w:r>
      <w:proofErr w:type="spellEnd"/>
      <w:r w:rsidR="00864466" w:rsidRPr="0043350C">
        <w:t xml:space="preserve"> </w:t>
      </w:r>
      <w:r w:rsidR="00A35932">
        <w:t xml:space="preserve">es el siguiente: </w:t>
      </w:r>
      <w:r w:rsidR="008846BA">
        <w:t>“</w:t>
      </w:r>
      <w:r w:rsidRPr="005112F0">
        <w:t>Los elementos de las instituciones de seguridad pública estatales reciben capacitación y son evaluados en Control de Confianza, en desempeño y en competencias profesionales básicas, por medio de la implementación del Programa con Prioridad Nacional</w:t>
      </w:r>
      <w:r w:rsidR="008846BA">
        <w:t>;</w:t>
      </w:r>
      <w:r w:rsidRPr="005112F0">
        <w:t xml:space="preserve"> Desarrollo, profesionalización y certificación policial</w:t>
      </w:r>
      <w:r w:rsidR="008846BA">
        <w:t>”</w:t>
      </w:r>
      <w:r w:rsidR="00864466" w:rsidRPr="0043350C">
        <w:t>.</w:t>
      </w:r>
    </w:p>
    <w:p w14:paraId="38FDB24D" w14:textId="77777777" w:rsidR="00864466" w:rsidRPr="0043350C" w:rsidRDefault="00A14B32" w:rsidP="00864466">
      <w:pPr>
        <w:pStyle w:val="Cdetexto"/>
      </w:pPr>
      <w:r>
        <w:t xml:space="preserve">El </w:t>
      </w:r>
      <w:proofErr w:type="spellStart"/>
      <w:r w:rsidR="00A35932">
        <w:t>Pp</w:t>
      </w:r>
      <w:proofErr w:type="spellEnd"/>
      <w:r w:rsidR="00A35932">
        <w:t xml:space="preserve"> define al </w:t>
      </w:r>
      <w:r>
        <w:t xml:space="preserve">AEA </w:t>
      </w:r>
      <w:r w:rsidR="00A35932">
        <w:t>como e</w:t>
      </w:r>
      <w:r w:rsidRPr="00A14B32">
        <w:t>l “</w:t>
      </w:r>
      <w:r w:rsidR="008846BA">
        <w:t>E</w:t>
      </w:r>
      <w:r w:rsidRPr="00A14B32">
        <w:t>stado de fuerza de las instituciones de seguridad pública de las 32 entidades federativas”</w:t>
      </w:r>
      <w:r>
        <w:t xml:space="preserve">. Asimismo, el </w:t>
      </w:r>
      <w:proofErr w:type="spellStart"/>
      <w:r>
        <w:t>AEPo</w:t>
      </w:r>
      <w:proofErr w:type="spellEnd"/>
      <w:r>
        <w:t xml:space="preserve"> </w:t>
      </w:r>
      <w:r w:rsidRPr="00A14B32">
        <w:t>son “</w:t>
      </w:r>
      <w:r w:rsidR="008846BA">
        <w:t>T</w:t>
      </w:r>
      <w:r w:rsidRPr="00A14B32">
        <w:t>odas aquellas instituciones que participan en las diferentes etapas de la función de seguridad pública, además de los diferentes actores que conforman el marco normativo de esa función”</w:t>
      </w:r>
      <w:r w:rsidR="00E87329">
        <w:t>,</w:t>
      </w:r>
      <w:r>
        <w:t xml:space="preserve"> y el AEO son </w:t>
      </w:r>
      <w:r w:rsidRPr="00A14B32">
        <w:t>“</w:t>
      </w:r>
      <w:r w:rsidR="008846BA">
        <w:t>A</w:t>
      </w:r>
      <w:r w:rsidRPr="00A14B32">
        <w:t xml:space="preserve">quellas instituciones que se ven involucradas en la ejecución de las acciones derivadas de la implementación Ejes Estratégicos del </w:t>
      </w:r>
      <w:r w:rsidR="00F0030E">
        <w:t>SNSP [</w:t>
      </w:r>
      <w:r w:rsidRPr="00A14B32">
        <w:t>S</w:t>
      </w:r>
      <w:r w:rsidR="00F0030E">
        <w:t xml:space="preserve">istema </w:t>
      </w:r>
      <w:r w:rsidRPr="00A14B32">
        <w:t>N</w:t>
      </w:r>
      <w:r w:rsidR="00F0030E">
        <w:t xml:space="preserve">acional de </w:t>
      </w:r>
      <w:r w:rsidRPr="00A14B32">
        <w:t>S</w:t>
      </w:r>
      <w:r w:rsidR="00F0030E">
        <w:t xml:space="preserve">eguridad </w:t>
      </w:r>
      <w:r w:rsidRPr="00A14B32">
        <w:t>P</w:t>
      </w:r>
      <w:r w:rsidR="00F0030E">
        <w:t>ública]</w:t>
      </w:r>
      <w:r w:rsidRPr="00A14B32">
        <w:t xml:space="preserve"> y los Programas con Prioridad Nacional para implementarlos”</w:t>
      </w:r>
      <w:r w:rsidR="00864466" w:rsidRPr="0043350C">
        <w:t>.</w:t>
      </w:r>
    </w:p>
    <w:p w14:paraId="77AE04E4" w14:textId="77777777" w:rsidR="00864466" w:rsidRDefault="004E774F" w:rsidP="00864466">
      <w:pPr>
        <w:pStyle w:val="Cdetexto"/>
      </w:pPr>
      <w:r w:rsidRPr="004E774F">
        <w:t xml:space="preserve">El </w:t>
      </w:r>
      <w:proofErr w:type="spellStart"/>
      <w:r>
        <w:t>Pp</w:t>
      </w:r>
      <w:proofErr w:type="spellEnd"/>
      <w:r>
        <w:t xml:space="preserve"> </w:t>
      </w:r>
      <w:r w:rsidRPr="004E774F">
        <w:t xml:space="preserve">se encuentra vinculado al </w:t>
      </w:r>
      <w:r>
        <w:t xml:space="preserve">PND a través del </w:t>
      </w:r>
      <w:r w:rsidR="00044CB7">
        <w:t>Objetivo 1.3</w:t>
      </w:r>
      <w:r w:rsidRPr="004E774F">
        <w:t xml:space="preserve">. </w:t>
      </w:r>
      <w:r w:rsidR="00044CB7">
        <w:t>M</w:t>
      </w:r>
      <w:r w:rsidR="00044CB7" w:rsidRPr="00044CB7">
        <w:t>ejorar las condiciones de seguridad pública</w:t>
      </w:r>
      <w:r w:rsidRPr="004E774F">
        <w:t>,</w:t>
      </w:r>
      <w:r>
        <w:t xml:space="preserve"> de la Meta Nacional </w:t>
      </w:r>
      <w:r w:rsidR="006F67D3">
        <w:t>I</w:t>
      </w:r>
      <w:r w:rsidRPr="004E774F">
        <w:t xml:space="preserve">. México </w:t>
      </w:r>
      <w:r w:rsidR="00044CB7">
        <w:t>en Paz</w:t>
      </w:r>
      <w:r w:rsidRPr="004E774F">
        <w:t>.</w:t>
      </w:r>
    </w:p>
    <w:p w14:paraId="69FEA59F" w14:textId="77777777" w:rsidR="00864466" w:rsidRPr="0043350C" w:rsidRDefault="00864466" w:rsidP="00864466">
      <w:pPr>
        <w:spacing w:before="120" w:line="250" w:lineRule="exact"/>
        <w:jc w:val="both"/>
        <w:rPr>
          <w:rFonts w:eastAsia="Times New Roman" w:cs="Arial"/>
          <w:b/>
          <w:szCs w:val="20"/>
          <w:lang w:val="es-ES"/>
        </w:rPr>
      </w:pPr>
      <w:r w:rsidRPr="0043350C">
        <w:rPr>
          <w:rFonts w:eastAsia="Times New Roman" w:cs="Arial"/>
          <w:b/>
          <w:szCs w:val="20"/>
          <w:lang w:val="es-ES"/>
        </w:rPr>
        <w:t>Principales Hallazgos</w:t>
      </w:r>
    </w:p>
    <w:p w14:paraId="6924BC45" w14:textId="77777777" w:rsidR="004E7AF6" w:rsidRDefault="00044CB7" w:rsidP="00864466">
      <w:pPr>
        <w:pStyle w:val="Cdetexto"/>
      </w:pPr>
      <w:r>
        <w:t xml:space="preserve">El </w:t>
      </w:r>
      <w:proofErr w:type="spellStart"/>
      <w:r>
        <w:t>Pp</w:t>
      </w:r>
      <w:proofErr w:type="spellEnd"/>
      <w:r>
        <w:t xml:space="preserve"> </w:t>
      </w:r>
      <w:r w:rsidRPr="00044CB7">
        <w:t>no cuenta con documentos actualizados</w:t>
      </w:r>
      <w:r>
        <w:t xml:space="preserve"> ni vigentes que</w:t>
      </w:r>
      <w:r w:rsidRPr="00044CB7">
        <w:t xml:space="preserve"> definan</w:t>
      </w:r>
      <w:r w:rsidR="00DE07AC">
        <w:t>, cuantifiquen y caractericen al AEO y AEA</w:t>
      </w:r>
      <w:r>
        <w:t>; p</w:t>
      </w:r>
      <w:r w:rsidRPr="00044CB7">
        <w:t>or tanto, tampoco se cuent</w:t>
      </w:r>
      <w:r w:rsidR="00E87329">
        <w:t>a con su ubicación territorial.</w:t>
      </w:r>
    </w:p>
    <w:p w14:paraId="41579868" w14:textId="77777777" w:rsidR="007E1D45" w:rsidRDefault="00E87329" w:rsidP="00864466">
      <w:pPr>
        <w:pStyle w:val="Cdetexto"/>
      </w:pPr>
      <w:r>
        <w:t xml:space="preserve">Asimismo, el </w:t>
      </w:r>
      <w:proofErr w:type="spellStart"/>
      <w:r>
        <w:t>Pp</w:t>
      </w:r>
      <w:proofErr w:type="spellEnd"/>
      <w:r>
        <w:t xml:space="preserve"> no cuenta con una</w:t>
      </w:r>
      <w:r w:rsidR="007E1D45" w:rsidRPr="007E1D45">
        <w:t xml:space="preserve"> identificación lógica de las causas y efectos </w:t>
      </w:r>
      <w:r w:rsidR="007E1D45">
        <w:t xml:space="preserve">del problema público que busca solucionar </w:t>
      </w:r>
      <w:r w:rsidR="007E1D45" w:rsidRPr="007E1D45">
        <w:t xml:space="preserve">que concuerden con </w:t>
      </w:r>
      <w:r>
        <w:t>su</w:t>
      </w:r>
      <w:r w:rsidR="007E1D45" w:rsidRPr="007E1D45">
        <w:t xml:space="preserve"> naturaleza, que es la coordinación entre las instancias que integran el </w:t>
      </w:r>
      <w:r w:rsidR="00F0030E">
        <w:t>Sistema Nacional de Seguridad Pública</w:t>
      </w:r>
      <w:r w:rsidR="007E1D45">
        <w:t>.</w:t>
      </w:r>
      <w:r w:rsidR="00C161FE">
        <w:t xml:space="preserve"> </w:t>
      </w:r>
      <w:r>
        <w:t>Tampoc</w:t>
      </w:r>
      <w:r w:rsidR="007E1D45" w:rsidRPr="007E1D45">
        <w:t xml:space="preserve">o existe información </w:t>
      </w:r>
      <w:r w:rsidR="007E1D45" w:rsidRPr="007E1D45">
        <w:lastRenderedPageBreak/>
        <w:t xml:space="preserve">relacionada con los componentes que se generan a través del </w:t>
      </w:r>
      <w:proofErr w:type="spellStart"/>
      <w:r w:rsidR="00C161FE">
        <w:t>Pp</w:t>
      </w:r>
      <w:proofErr w:type="spellEnd"/>
      <w:r w:rsidR="007E1D45" w:rsidRPr="007E1D45">
        <w:t>, por lo que estos no son plenamente identificables</w:t>
      </w:r>
      <w:r w:rsidR="00C161FE">
        <w:t>.</w:t>
      </w:r>
    </w:p>
    <w:p w14:paraId="587E927D" w14:textId="77777777" w:rsidR="007E1D45" w:rsidRDefault="00C161FE" w:rsidP="00864466">
      <w:pPr>
        <w:pStyle w:val="Cdetexto"/>
      </w:pPr>
      <w:r>
        <w:t xml:space="preserve">Respecto del módulo de Diseño de la evaluación, las valoraciones de </w:t>
      </w:r>
      <w:r w:rsidR="007E1D45" w:rsidRPr="007E1D45">
        <w:t xml:space="preserve">la mayoría de los apartados </w:t>
      </w:r>
      <w:r>
        <w:t xml:space="preserve">son </w:t>
      </w:r>
      <w:r w:rsidR="007E1D45" w:rsidRPr="007E1D45">
        <w:t>mínimas</w:t>
      </w:r>
      <w:r w:rsidR="007E1D45">
        <w:t xml:space="preserve">; </w:t>
      </w:r>
      <w:r>
        <w:t>l</w:t>
      </w:r>
      <w:r w:rsidR="007E1D45" w:rsidRPr="007E1D45">
        <w:t xml:space="preserve">a baja puntuación es reflejo del planteamiento erróneo de elementos esenciales para la operación del </w:t>
      </w:r>
      <w:proofErr w:type="spellStart"/>
      <w:r w:rsidR="00A35932">
        <w:t>Pp</w:t>
      </w:r>
      <w:proofErr w:type="spellEnd"/>
      <w:r w:rsidR="007E1D45" w:rsidRPr="007E1D45">
        <w:t xml:space="preserve">, como </w:t>
      </w:r>
      <w:r>
        <w:t>el planteamiento del problema,</w:t>
      </w:r>
      <w:r w:rsidR="007E1D45" w:rsidRPr="007E1D45">
        <w:t xml:space="preserve"> el objetivo del </w:t>
      </w:r>
      <w:proofErr w:type="spellStart"/>
      <w:r w:rsidR="00A35932">
        <w:t>Pp</w:t>
      </w:r>
      <w:proofErr w:type="spellEnd"/>
      <w:r>
        <w:t>,</w:t>
      </w:r>
      <w:r w:rsidR="007E1D45" w:rsidRPr="007E1D45">
        <w:t xml:space="preserve"> la</w:t>
      </w:r>
      <w:r>
        <w:t>s</w:t>
      </w:r>
      <w:r w:rsidR="007E1D45" w:rsidRPr="007E1D45">
        <w:t xml:space="preserve"> relaci</w:t>
      </w:r>
      <w:r>
        <w:t>o</w:t>
      </w:r>
      <w:r w:rsidR="007E1D45" w:rsidRPr="007E1D45">
        <w:t>n</w:t>
      </w:r>
      <w:r>
        <w:t>es</w:t>
      </w:r>
      <w:r w:rsidR="007E1D45" w:rsidRPr="007E1D45">
        <w:t xml:space="preserve"> causa – efecto</w:t>
      </w:r>
      <w:r>
        <w:t>,</w:t>
      </w:r>
      <w:r w:rsidR="007E1D45" w:rsidRPr="007E1D45">
        <w:t xml:space="preserve"> la justificación inadecuada de la intervención del </w:t>
      </w:r>
      <w:proofErr w:type="spellStart"/>
      <w:r w:rsidR="00A35932">
        <w:t>Pp</w:t>
      </w:r>
      <w:proofErr w:type="spellEnd"/>
      <w:r w:rsidR="007E1D45" w:rsidRPr="007E1D45">
        <w:t xml:space="preserve"> y la </w:t>
      </w:r>
      <w:r w:rsidR="00A35932">
        <w:t xml:space="preserve">incorrecta </w:t>
      </w:r>
      <w:r w:rsidR="00B24C6D">
        <w:t>identificación de</w:t>
      </w:r>
      <w:r w:rsidR="007E1D45" w:rsidRPr="007E1D45">
        <w:t xml:space="preserve">l </w:t>
      </w:r>
      <w:proofErr w:type="spellStart"/>
      <w:r w:rsidR="00B24C6D">
        <w:t>AEPo</w:t>
      </w:r>
      <w:proofErr w:type="spellEnd"/>
      <w:r w:rsidR="00B24C6D">
        <w:t xml:space="preserve"> y AEO</w:t>
      </w:r>
      <w:r w:rsidR="007E1D45" w:rsidRPr="007E1D45">
        <w:t>.</w:t>
      </w:r>
    </w:p>
    <w:p w14:paraId="0AC6B4E8" w14:textId="77777777" w:rsidR="00A06037" w:rsidRDefault="002605B7" w:rsidP="00864466">
      <w:pPr>
        <w:pStyle w:val="Cdetexto"/>
      </w:pPr>
      <w:r>
        <w:t xml:space="preserve">Respecto de los procesos del </w:t>
      </w:r>
      <w:proofErr w:type="spellStart"/>
      <w:r>
        <w:t>Pp</w:t>
      </w:r>
      <w:proofErr w:type="spellEnd"/>
      <w:r>
        <w:t xml:space="preserve">, </w:t>
      </w:r>
      <w:r w:rsidR="00B1189A">
        <w:t>l</w:t>
      </w:r>
      <w:r w:rsidR="00B1189A" w:rsidRPr="00B1189A">
        <w:t>a planeación no se desarrolla de manera clara ya que no se encuentran actualizados</w:t>
      </w:r>
      <w:r w:rsidR="006357B0">
        <w:t>,</w:t>
      </w:r>
      <w:r w:rsidR="00B1189A" w:rsidRPr="00B1189A">
        <w:t xml:space="preserve"> en el documento </w:t>
      </w:r>
      <w:r w:rsidR="006357B0">
        <w:t xml:space="preserve">de </w:t>
      </w:r>
      <w:r w:rsidR="00B1189A" w:rsidRPr="00B1189A">
        <w:t>diagnóstico</w:t>
      </w:r>
      <w:r w:rsidR="006357B0">
        <w:t>,</w:t>
      </w:r>
      <w:r w:rsidR="00B1189A" w:rsidRPr="00B1189A">
        <w:t xml:space="preserve"> el árbol de</w:t>
      </w:r>
      <w:r w:rsidR="006357B0">
        <w:t>l</w:t>
      </w:r>
      <w:r w:rsidR="00B1189A" w:rsidRPr="00B1189A">
        <w:t xml:space="preserve"> problema</w:t>
      </w:r>
      <w:r w:rsidR="006357B0">
        <w:t xml:space="preserve"> </w:t>
      </w:r>
      <w:r w:rsidR="006357B0" w:rsidRPr="00B1189A">
        <w:t>y el árbol</w:t>
      </w:r>
      <w:r w:rsidR="006357B0">
        <w:t xml:space="preserve"> </w:t>
      </w:r>
      <w:r w:rsidR="006357B0" w:rsidRPr="00B1189A">
        <w:t>de objetivos</w:t>
      </w:r>
      <w:r w:rsidR="00B1189A" w:rsidRPr="00B1189A">
        <w:t xml:space="preserve">. De igual manera, la MIR del </w:t>
      </w:r>
      <w:proofErr w:type="spellStart"/>
      <w:r w:rsidR="00B1189A">
        <w:t>Pp</w:t>
      </w:r>
      <w:proofErr w:type="spellEnd"/>
      <w:r w:rsidR="00B1189A" w:rsidRPr="00B1189A">
        <w:t xml:space="preserve"> no muestra la esencia ni la operación completa del </w:t>
      </w:r>
      <w:proofErr w:type="spellStart"/>
      <w:r w:rsidR="00B1189A" w:rsidRPr="00B1189A">
        <w:t>Pp</w:t>
      </w:r>
      <w:proofErr w:type="spellEnd"/>
      <w:r w:rsidR="00970611">
        <w:t>,</w:t>
      </w:r>
      <w:r w:rsidR="00B1189A" w:rsidRPr="00B1189A">
        <w:t xml:space="preserve"> puesto que no contempla la operación del subsidio </w:t>
      </w:r>
      <w:r w:rsidR="00B1189A">
        <w:t xml:space="preserve">del </w:t>
      </w:r>
      <w:r w:rsidR="00B1189A" w:rsidRPr="00B1189A">
        <w:t>FORTASEG, úni</w:t>
      </w:r>
      <w:r w:rsidR="00B1189A">
        <w:t xml:space="preserve">camente </w:t>
      </w:r>
      <w:r w:rsidR="00970611">
        <w:t>la d</w:t>
      </w:r>
      <w:r w:rsidR="00B1189A">
        <w:t xml:space="preserve">el </w:t>
      </w:r>
      <w:r w:rsidR="00B1189A" w:rsidRPr="00B02DB5">
        <w:t>F</w:t>
      </w:r>
      <w:r w:rsidR="00B1189A">
        <w:t xml:space="preserve">ondo de </w:t>
      </w:r>
      <w:r w:rsidR="00B1189A" w:rsidRPr="00B02DB5">
        <w:t>A</w:t>
      </w:r>
      <w:r w:rsidR="00B1189A">
        <w:t xml:space="preserve">portaciones para la </w:t>
      </w:r>
      <w:r w:rsidR="00B1189A" w:rsidRPr="00B02DB5">
        <w:t>S</w:t>
      </w:r>
      <w:r w:rsidR="00B1189A">
        <w:t xml:space="preserve">eguridad </w:t>
      </w:r>
      <w:r w:rsidR="00B1189A" w:rsidRPr="00B02DB5">
        <w:t>P</w:t>
      </w:r>
      <w:r w:rsidR="00B1189A">
        <w:t>ública (FASP)</w:t>
      </w:r>
      <w:r w:rsidR="00A06037" w:rsidRPr="00A06037">
        <w:t>.</w:t>
      </w:r>
    </w:p>
    <w:p w14:paraId="0416E68D" w14:textId="77777777" w:rsidR="00B1189A" w:rsidRDefault="00B1189A" w:rsidP="002605B7">
      <w:pPr>
        <w:jc w:val="both"/>
      </w:pPr>
      <w:r w:rsidRPr="00B1189A">
        <w:t xml:space="preserve">Los Criterios de Administración del FASP y </w:t>
      </w:r>
      <w:r>
        <w:t xml:space="preserve">los </w:t>
      </w:r>
      <w:r w:rsidRPr="00B1189A">
        <w:t xml:space="preserve">Lineamientos </w:t>
      </w:r>
      <w:r w:rsidR="0069446F">
        <w:t xml:space="preserve">para el otorgamiento de los subsidios del </w:t>
      </w:r>
      <w:r w:rsidRPr="00B1189A">
        <w:t>FORTASEG se publican en tiempo y forma para dar inicio</w:t>
      </w:r>
      <w:r w:rsidR="004B1395">
        <w:t xml:space="preserve"> a la implementación del Pp</w:t>
      </w:r>
      <w:r w:rsidRPr="00B1189A">
        <w:t>. Tanto los Criterios como los Lineamientos son claros, lo que permite realizar una correcta iniciación al Pp</w:t>
      </w:r>
      <w:r w:rsidR="004B1395">
        <w:t>.</w:t>
      </w:r>
    </w:p>
    <w:p w14:paraId="7D976086" w14:textId="77777777" w:rsidR="00864466" w:rsidRDefault="004B1395" w:rsidP="004B1395">
      <w:pPr>
        <w:jc w:val="both"/>
      </w:pPr>
      <w:r>
        <w:t>Sobre el proceso de seguimiento a destinatarios, e</w:t>
      </w:r>
      <w:r w:rsidRPr="004B1395">
        <w:t>l Sistema de Seguimiento y el Sistema de Registro de Información pa</w:t>
      </w:r>
      <w:r>
        <w:t>ra el Seguimiento del Subsidio</w:t>
      </w:r>
      <w:r w:rsidRPr="004B1395">
        <w:t xml:space="preserve"> cumplen adecuadamente la función de dar un seguimiento personalizado a los destinatarios y beneficiarios. Sin embargo, en cuanto al seguimiento del FASP, se observa como área de oportunidad la creación de un sistema de información y comunicación automatizado para </w:t>
      </w:r>
      <w:r w:rsidR="0069446F">
        <w:t>hacer más</w:t>
      </w:r>
      <w:r w:rsidRPr="004B1395">
        <w:t xml:space="preserve"> </w:t>
      </w:r>
      <w:r w:rsidR="0069446F" w:rsidRPr="004B1395">
        <w:t>eficiente</w:t>
      </w:r>
      <w:r w:rsidRPr="004B1395">
        <w:t xml:space="preserve"> la i</w:t>
      </w:r>
      <w:r w:rsidR="006A257E">
        <w:t>mplement</w:t>
      </w:r>
      <w:r w:rsidRPr="004B1395">
        <w:t xml:space="preserve">ación de ambos </w:t>
      </w:r>
      <w:proofErr w:type="spellStart"/>
      <w:r w:rsidRPr="004B1395">
        <w:t>macroprocesos</w:t>
      </w:r>
      <w:proofErr w:type="spellEnd"/>
      <w:r w:rsidR="002605B7" w:rsidRPr="00490F90">
        <w:t>.</w:t>
      </w:r>
    </w:p>
    <w:p w14:paraId="335EE273" w14:textId="77777777" w:rsidR="00864466" w:rsidRPr="0043350C" w:rsidRDefault="00864466" w:rsidP="00864466">
      <w:pPr>
        <w:spacing w:line="250" w:lineRule="exact"/>
        <w:jc w:val="both"/>
        <w:rPr>
          <w:rFonts w:eastAsia="Times New Roman" w:cs="Arial"/>
          <w:b/>
          <w:szCs w:val="20"/>
          <w:lang w:val="es-ES"/>
        </w:rPr>
      </w:pPr>
      <w:r w:rsidRPr="0043350C">
        <w:rPr>
          <w:rFonts w:eastAsia="Times New Roman" w:cs="Arial"/>
          <w:b/>
          <w:szCs w:val="20"/>
          <w:lang w:val="es-ES"/>
        </w:rPr>
        <w:t>Principales Recomendaciones</w:t>
      </w:r>
    </w:p>
    <w:p w14:paraId="5A2233A9" w14:textId="77777777" w:rsidR="00864466" w:rsidRDefault="007E1D45" w:rsidP="007E1D45">
      <w:pPr>
        <w:pStyle w:val="Bala"/>
        <w:numPr>
          <w:ilvl w:val="0"/>
          <w:numId w:val="1"/>
        </w:numPr>
        <w:ind w:left="357" w:hanging="357"/>
      </w:pPr>
      <w:r w:rsidRPr="007E1D45">
        <w:t xml:space="preserve">Redefinir el problema </w:t>
      </w:r>
      <w:r>
        <w:t xml:space="preserve">público que busca solucionar el </w:t>
      </w:r>
      <w:proofErr w:type="spellStart"/>
      <w:r>
        <w:t>Pp</w:t>
      </w:r>
      <w:proofErr w:type="spellEnd"/>
      <w:r>
        <w:t xml:space="preserve"> </w:t>
      </w:r>
      <w:r w:rsidRPr="007E1D45">
        <w:t>de manera que integre los tres elementos mínimos que señala la “Guía para la elaboración de la M</w:t>
      </w:r>
      <w:r w:rsidR="00C161FE">
        <w:t xml:space="preserve">atriz de </w:t>
      </w:r>
      <w:r w:rsidRPr="007E1D45">
        <w:t>I</w:t>
      </w:r>
      <w:r w:rsidR="00C161FE">
        <w:t xml:space="preserve">ndicadores para </w:t>
      </w:r>
      <w:r w:rsidRPr="007E1D45">
        <w:t>R</w:t>
      </w:r>
      <w:r w:rsidR="00C161FE">
        <w:t>esultados</w:t>
      </w:r>
      <w:r w:rsidRPr="007E1D45">
        <w:t>”</w:t>
      </w:r>
      <w:r>
        <w:t>.</w:t>
      </w:r>
    </w:p>
    <w:p w14:paraId="6D24CB16" w14:textId="77777777" w:rsidR="00A06037" w:rsidRPr="0043350C" w:rsidRDefault="00643661" w:rsidP="00C161FE">
      <w:pPr>
        <w:pStyle w:val="Bala"/>
        <w:numPr>
          <w:ilvl w:val="0"/>
          <w:numId w:val="1"/>
        </w:numPr>
        <w:ind w:left="357" w:hanging="357"/>
      </w:pPr>
      <w:r w:rsidRPr="00643661">
        <w:t xml:space="preserve">Definir de forma correcta </w:t>
      </w:r>
      <w:r>
        <w:t>el</w:t>
      </w:r>
      <w:r w:rsidRPr="00643661">
        <w:t xml:space="preserve"> </w:t>
      </w:r>
      <w:proofErr w:type="spellStart"/>
      <w:r>
        <w:t>AEPo</w:t>
      </w:r>
      <w:proofErr w:type="spellEnd"/>
      <w:r>
        <w:t xml:space="preserve"> </w:t>
      </w:r>
      <w:r w:rsidRPr="00643661">
        <w:t xml:space="preserve">conforme a </w:t>
      </w:r>
      <w:r w:rsidR="00970611">
        <w:t xml:space="preserve">lo establecido en </w:t>
      </w:r>
      <w:r w:rsidRPr="00643661">
        <w:t xml:space="preserve">la “Guía para la </w:t>
      </w:r>
      <w:r>
        <w:t xml:space="preserve">elaboración de la </w:t>
      </w:r>
      <w:r w:rsidRPr="00643661">
        <w:t>M</w:t>
      </w:r>
      <w:r>
        <w:t xml:space="preserve">atriz de </w:t>
      </w:r>
      <w:r w:rsidRPr="00643661">
        <w:t>I</w:t>
      </w:r>
      <w:r>
        <w:t xml:space="preserve">ndicadores para </w:t>
      </w:r>
      <w:r w:rsidRPr="00643661">
        <w:t>R</w:t>
      </w:r>
      <w:r>
        <w:t>esultados</w:t>
      </w:r>
      <w:r w:rsidRPr="00643661">
        <w:t xml:space="preserve">”. Para ello se debe tomar en consideración que la coordinación se </w:t>
      </w:r>
      <w:r w:rsidR="00C161FE">
        <w:t>da</w:t>
      </w:r>
      <w:r w:rsidRPr="00643661">
        <w:t xml:space="preserve"> entre las instituciones que integran el </w:t>
      </w:r>
      <w:r w:rsidR="0069446F">
        <w:t>Sistema Nacional de Seguridad Pública</w:t>
      </w:r>
      <w:r w:rsidRPr="00643661">
        <w:t>.</w:t>
      </w:r>
    </w:p>
    <w:p w14:paraId="378FEC06" w14:textId="77777777" w:rsidR="002605B7" w:rsidRDefault="00643661" w:rsidP="00643661">
      <w:pPr>
        <w:pStyle w:val="Bala"/>
        <w:numPr>
          <w:ilvl w:val="0"/>
          <w:numId w:val="1"/>
        </w:numPr>
        <w:ind w:left="357" w:hanging="357"/>
      </w:pPr>
      <w:r w:rsidRPr="00643661">
        <w:t xml:space="preserve">Promover un mayor y constante intercambio de información entre las diferentes instancias del </w:t>
      </w:r>
      <w:r w:rsidR="0069446F">
        <w:t>Sistema Nacional de Seguridad Pública</w:t>
      </w:r>
      <w:r w:rsidRPr="00643661">
        <w:t>.</w:t>
      </w:r>
    </w:p>
    <w:p w14:paraId="275E84B6" w14:textId="77777777" w:rsidR="005D2618" w:rsidRDefault="00B02DB5" w:rsidP="00B02DB5">
      <w:pPr>
        <w:pStyle w:val="Bala"/>
        <w:numPr>
          <w:ilvl w:val="0"/>
          <w:numId w:val="1"/>
        </w:numPr>
        <w:ind w:left="357" w:hanging="357"/>
      </w:pPr>
      <w:r w:rsidRPr="00B02DB5">
        <w:t xml:space="preserve">Mantener actualizada la normativa básica que rige la operación del </w:t>
      </w:r>
      <w:proofErr w:type="spellStart"/>
      <w:r w:rsidRPr="00B02DB5">
        <w:t>Pp</w:t>
      </w:r>
      <w:proofErr w:type="spellEnd"/>
      <w:r w:rsidR="0069446F">
        <w:t>,</w:t>
      </w:r>
      <w:r w:rsidRPr="00B02DB5">
        <w:t xml:space="preserve"> con el objetivo de dar certidumbre a la correcta implementación de sus dos </w:t>
      </w:r>
      <w:proofErr w:type="spellStart"/>
      <w:r w:rsidRPr="00B02DB5">
        <w:t>macroprocesos</w:t>
      </w:r>
      <w:proofErr w:type="spellEnd"/>
      <w:r w:rsidRPr="00B02DB5">
        <w:t xml:space="preserve">: </w:t>
      </w:r>
      <w:r w:rsidR="00B1189A">
        <w:t xml:space="preserve">FASP </w:t>
      </w:r>
      <w:r w:rsidR="00C161FE">
        <w:t>y F</w:t>
      </w:r>
      <w:r w:rsidRPr="00B02DB5">
        <w:t>ORTASEG</w:t>
      </w:r>
      <w:r w:rsidR="00157994">
        <w:t>.</w:t>
      </w:r>
    </w:p>
    <w:p w14:paraId="70160E7C" w14:textId="77777777" w:rsidR="002605B7" w:rsidRDefault="00157994" w:rsidP="00157994">
      <w:pPr>
        <w:pStyle w:val="Bala"/>
        <w:numPr>
          <w:ilvl w:val="0"/>
          <w:numId w:val="1"/>
        </w:numPr>
        <w:ind w:left="357" w:hanging="357"/>
      </w:pPr>
      <w:r w:rsidRPr="00157994">
        <w:t>Realizar una estructuración de las operaciones basada en la gestión de procesos por roles y funciones bien definidas</w:t>
      </w:r>
      <w:r>
        <w:t>.</w:t>
      </w:r>
    </w:p>
    <w:p w14:paraId="1936991F" w14:textId="77777777" w:rsidR="002605B7" w:rsidRDefault="00157994" w:rsidP="00157994">
      <w:pPr>
        <w:pStyle w:val="Bala"/>
        <w:numPr>
          <w:ilvl w:val="0"/>
          <w:numId w:val="1"/>
        </w:numPr>
        <w:ind w:left="357" w:hanging="357"/>
      </w:pPr>
      <w:r w:rsidRPr="00157994">
        <w:t>Sistematizar la información y generar repositorios de la misma que permitan hacer más eficiente la operación del Pp</w:t>
      </w:r>
      <w:r w:rsidR="002605B7">
        <w:t>.</w:t>
      </w:r>
    </w:p>
    <w:p w14:paraId="5E9CE74B" w14:textId="77777777" w:rsidR="00157994" w:rsidRDefault="00157994" w:rsidP="00157994">
      <w:pPr>
        <w:pStyle w:val="Bala"/>
        <w:numPr>
          <w:ilvl w:val="0"/>
          <w:numId w:val="1"/>
        </w:numPr>
        <w:ind w:left="357" w:hanging="357"/>
      </w:pPr>
      <w:r w:rsidRPr="00157994">
        <w:t>Implementar un sistema de registro y clasificación de las preguntas más frecuentes y formar un conjunto de respuestas para cada una de ellas.</w:t>
      </w:r>
    </w:p>
    <w:p w14:paraId="44620874" w14:textId="77777777" w:rsidR="00864466" w:rsidRPr="0043350C" w:rsidRDefault="00864466" w:rsidP="00864466">
      <w:pPr>
        <w:pStyle w:val="Bala"/>
        <w:ind w:left="357"/>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864466" w:rsidRPr="0043350C" w14:paraId="0D17F613" w14:textId="77777777" w:rsidTr="008A4C87">
        <w:trPr>
          <w:trHeight w:val="675"/>
        </w:trPr>
        <w:tc>
          <w:tcPr>
            <w:tcW w:w="749" w:type="pct"/>
            <w:vAlign w:val="center"/>
          </w:tcPr>
          <w:p w14:paraId="7FEB2CAB" w14:textId="77777777" w:rsidR="00864466" w:rsidRPr="0043350C" w:rsidRDefault="00864466" w:rsidP="008A4C87">
            <w:pPr>
              <w:spacing w:before="20" w:after="0"/>
              <w:ind w:left="170"/>
              <w:rPr>
                <w:b/>
                <w:sz w:val="16"/>
                <w:lang w:val="es-ES"/>
              </w:rPr>
            </w:pPr>
            <w:r w:rsidRPr="0043350C">
              <w:rPr>
                <w:b/>
                <w:sz w:val="16"/>
                <w:lang w:val="es-ES"/>
              </w:rPr>
              <w:lastRenderedPageBreak/>
              <w:t>Evaluador Externo:</w:t>
            </w:r>
          </w:p>
        </w:tc>
        <w:tc>
          <w:tcPr>
            <w:tcW w:w="4251" w:type="pct"/>
            <w:gridSpan w:val="3"/>
            <w:vAlign w:val="center"/>
          </w:tcPr>
          <w:p w14:paraId="7C1D96DA" w14:textId="77777777" w:rsidR="00864466" w:rsidRPr="0043350C" w:rsidRDefault="00864466" w:rsidP="008A4C87">
            <w:pPr>
              <w:spacing w:before="20" w:after="0"/>
              <w:ind w:left="113"/>
              <w:rPr>
                <w:rFonts w:eastAsia="Times New Roman"/>
                <w:sz w:val="16"/>
                <w:szCs w:val="16"/>
                <w:lang w:val="es-MX" w:eastAsia="en-US"/>
              </w:rPr>
            </w:pPr>
            <w:r w:rsidRPr="0043350C">
              <w:rPr>
                <w:sz w:val="16"/>
                <w:lang w:val="es-ES"/>
              </w:rPr>
              <w:t xml:space="preserve">1. Instancia Evaluadora: </w:t>
            </w:r>
            <w:r w:rsidR="00643661" w:rsidRPr="00643661">
              <w:rPr>
                <w:sz w:val="16"/>
                <w:lang w:val="es-ES"/>
              </w:rPr>
              <w:t xml:space="preserve">Centro de Estudios de Opinión Pública de la Facultad de Ciencias Políticas y Sociales de la </w:t>
            </w:r>
            <w:r w:rsidR="00687B66">
              <w:rPr>
                <w:sz w:val="16"/>
                <w:lang w:val="es-ES"/>
              </w:rPr>
              <w:t>UNAM</w:t>
            </w:r>
          </w:p>
          <w:p w14:paraId="1631176B" w14:textId="77777777" w:rsidR="00864466" w:rsidRPr="0043350C" w:rsidRDefault="00864466" w:rsidP="008A4C87">
            <w:pPr>
              <w:spacing w:before="20" w:after="0"/>
              <w:ind w:left="113"/>
              <w:rPr>
                <w:sz w:val="16"/>
                <w:lang w:val="es-ES"/>
              </w:rPr>
            </w:pPr>
            <w:r w:rsidRPr="0043350C">
              <w:rPr>
                <w:sz w:val="16"/>
                <w:lang w:val="es-ES"/>
              </w:rPr>
              <w:t xml:space="preserve">2. Coordinador de la Evaluación: </w:t>
            </w:r>
            <w:r w:rsidR="00643661" w:rsidRPr="00643661">
              <w:rPr>
                <w:sz w:val="16"/>
                <w:lang w:val="es-ES"/>
              </w:rPr>
              <w:t>Armando Chacón Villar</w:t>
            </w:r>
          </w:p>
          <w:p w14:paraId="745C1ED6" w14:textId="77777777" w:rsidR="00864466" w:rsidRPr="0043350C" w:rsidRDefault="00864466" w:rsidP="007E0CA7">
            <w:pPr>
              <w:spacing w:before="20" w:after="0"/>
              <w:ind w:left="113"/>
              <w:rPr>
                <w:sz w:val="16"/>
                <w:lang w:val="es-ES"/>
              </w:rPr>
            </w:pPr>
            <w:r w:rsidRPr="0043350C">
              <w:rPr>
                <w:sz w:val="16"/>
                <w:lang w:val="es-ES"/>
              </w:rPr>
              <w:t xml:space="preserve">3. Forma de contratación: </w:t>
            </w:r>
            <w:r w:rsidR="007E0CA7">
              <w:rPr>
                <w:sz w:val="16"/>
                <w:lang w:val="es-ES"/>
              </w:rPr>
              <w:t>Adjudicación Directa</w:t>
            </w:r>
          </w:p>
        </w:tc>
      </w:tr>
      <w:tr w:rsidR="00993F6E" w:rsidRPr="0043350C" w14:paraId="0FE92231" w14:textId="77777777" w:rsidTr="00993F6E">
        <w:trPr>
          <w:trHeight w:val="80"/>
        </w:trPr>
        <w:tc>
          <w:tcPr>
            <w:tcW w:w="749" w:type="pct"/>
            <w:vAlign w:val="center"/>
          </w:tcPr>
          <w:p w14:paraId="6B47F3F7" w14:textId="77777777" w:rsidR="00993F6E" w:rsidRPr="0043350C" w:rsidRDefault="00993F6E" w:rsidP="008A4C87">
            <w:pPr>
              <w:spacing w:before="20" w:after="0"/>
              <w:ind w:left="170"/>
              <w:rPr>
                <w:b/>
                <w:sz w:val="16"/>
                <w:lang w:val="es-ES"/>
              </w:rPr>
            </w:pPr>
          </w:p>
        </w:tc>
        <w:tc>
          <w:tcPr>
            <w:tcW w:w="4251" w:type="pct"/>
            <w:gridSpan w:val="3"/>
            <w:vAlign w:val="center"/>
          </w:tcPr>
          <w:p w14:paraId="42674C5B" w14:textId="77777777" w:rsidR="00993F6E" w:rsidRPr="0043350C" w:rsidRDefault="00993F6E" w:rsidP="008A4C87">
            <w:pPr>
              <w:spacing w:before="20" w:after="0"/>
              <w:ind w:left="113"/>
              <w:rPr>
                <w:sz w:val="16"/>
                <w:lang w:val="es-ES"/>
              </w:rPr>
            </w:pPr>
          </w:p>
        </w:tc>
      </w:tr>
      <w:tr w:rsidR="00864466" w:rsidRPr="0043350C" w14:paraId="1893BC3A" w14:textId="77777777" w:rsidTr="008A4C87">
        <w:tc>
          <w:tcPr>
            <w:tcW w:w="749" w:type="pct"/>
            <w:vAlign w:val="center"/>
          </w:tcPr>
          <w:p w14:paraId="7DD17130" w14:textId="77777777" w:rsidR="00864466" w:rsidRPr="0043350C" w:rsidRDefault="00864466" w:rsidP="008A4C87">
            <w:pPr>
              <w:spacing w:before="20" w:after="0"/>
              <w:ind w:left="170"/>
              <w:rPr>
                <w:b/>
                <w:sz w:val="16"/>
                <w:lang w:val="es-ES"/>
              </w:rPr>
            </w:pPr>
            <w:r w:rsidRPr="0043350C">
              <w:rPr>
                <w:b/>
                <w:sz w:val="16"/>
                <w:lang w:val="es-ES"/>
              </w:rPr>
              <w:t>Costo:</w:t>
            </w:r>
          </w:p>
        </w:tc>
        <w:tc>
          <w:tcPr>
            <w:tcW w:w="1113" w:type="pct"/>
            <w:vAlign w:val="center"/>
          </w:tcPr>
          <w:p w14:paraId="66F031E6" w14:textId="77777777" w:rsidR="00864466" w:rsidRPr="00993F6E" w:rsidRDefault="00864466" w:rsidP="00643661">
            <w:pPr>
              <w:spacing w:before="20" w:after="0"/>
              <w:ind w:left="113"/>
              <w:rPr>
                <w:sz w:val="16"/>
                <w:lang w:val="es-ES"/>
              </w:rPr>
            </w:pPr>
            <w:r w:rsidRPr="00993F6E">
              <w:rPr>
                <w:sz w:val="16"/>
                <w:lang w:val="es-ES"/>
              </w:rPr>
              <w:t>$</w:t>
            </w:r>
            <w:r w:rsidR="00993F6E">
              <w:rPr>
                <w:sz w:val="16"/>
                <w:lang w:val="es-ES"/>
              </w:rPr>
              <w:t>1,</w:t>
            </w:r>
            <w:r w:rsidR="00643661">
              <w:rPr>
                <w:sz w:val="16"/>
                <w:lang w:val="es-ES"/>
              </w:rPr>
              <w:t>044</w:t>
            </w:r>
            <w:r w:rsidR="007E0CA7" w:rsidRPr="00993F6E">
              <w:rPr>
                <w:sz w:val="16"/>
                <w:lang w:val="es-ES"/>
              </w:rPr>
              <w:t xml:space="preserve">,000.00 </w:t>
            </w:r>
            <w:r w:rsidRPr="00993F6E">
              <w:rPr>
                <w:sz w:val="16"/>
                <w:lang w:val="es-ES"/>
              </w:rPr>
              <w:t>IVA incluido</w:t>
            </w:r>
          </w:p>
        </w:tc>
        <w:tc>
          <w:tcPr>
            <w:tcW w:w="904" w:type="pct"/>
            <w:vAlign w:val="center"/>
          </w:tcPr>
          <w:p w14:paraId="27B74150" w14:textId="77777777" w:rsidR="00864466" w:rsidRPr="0043350C" w:rsidRDefault="00864466" w:rsidP="008A4C87">
            <w:pPr>
              <w:spacing w:before="20" w:after="0"/>
              <w:ind w:left="170"/>
              <w:rPr>
                <w:b/>
                <w:sz w:val="16"/>
                <w:lang w:val="es-ES"/>
              </w:rPr>
            </w:pPr>
            <w:r w:rsidRPr="0043350C">
              <w:rPr>
                <w:b/>
                <w:sz w:val="16"/>
                <w:lang w:val="es-ES"/>
              </w:rPr>
              <w:t xml:space="preserve">Fuente de Financiamiento: </w:t>
            </w:r>
          </w:p>
        </w:tc>
        <w:tc>
          <w:tcPr>
            <w:tcW w:w="2234" w:type="pct"/>
            <w:vAlign w:val="center"/>
          </w:tcPr>
          <w:p w14:paraId="3C515E19" w14:textId="77777777" w:rsidR="00864466" w:rsidRPr="0043350C" w:rsidRDefault="00864466" w:rsidP="008A4C87">
            <w:pPr>
              <w:spacing w:before="20" w:after="0"/>
              <w:rPr>
                <w:sz w:val="16"/>
                <w:highlight w:val="yellow"/>
                <w:lang w:val="es-ES"/>
              </w:rPr>
            </w:pPr>
            <w:r w:rsidRPr="0043350C">
              <w:rPr>
                <w:sz w:val="16"/>
                <w:lang w:val="es-ES"/>
              </w:rPr>
              <w:t>Recursos fiscales</w:t>
            </w:r>
          </w:p>
        </w:tc>
      </w:tr>
      <w:tr w:rsidR="00864466" w:rsidRPr="0043350C" w14:paraId="125DB7F0" w14:textId="77777777" w:rsidTr="008A4C87">
        <w:tc>
          <w:tcPr>
            <w:tcW w:w="749" w:type="pct"/>
            <w:tcBorders>
              <w:bottom w:val="single" w:sz="4" w:space="0" w:color="auto"/>
            </w:tcBorders>
            <w:vAlign w:val="center"/>
          </w:tcPr>
          <w:p w14:paraId="76A8BA0F" w14:textId="77777777" w:rsidR="00864466" w:rsidRPr="0043350C" w:rsidRDefault="00864466" w:rsidP="008A4C87">
            <w:pPr>
              <w:spacing w:before="20" w:after="0"/>
              <w:ind w:left="170"/>
              <w:rPr>
                <w:b/>
                <w:sz w:val="16"/>
                <w:szCs w:val="16"/>
                <w:lang w:val="es-ES" w:eastAsia="en-US"/>
              </w:rPr>
            </w:pPr>
            <w:r w:rsidRPr="0043350C">
              <w:rPr>
                <w:b/>
                <w:sz w:val="16"/>
                <w:szCs w:val="16"/>
                <w:lang w:val="es-ES" w:eastAsia="en-US"/>
              </w:rPr>
              <w:t>Coordinación de la Evaluación:</w:t>
            </w:r>
          </w:p>
        </w:tc>
        <w:tc>
          <w:tcPr>
            <w:tcW w:w="1113" w:type="pct"/>
            <w:tcBorders>
              <w:bottom w:val="single" w:sz="4" w:space="0" w:color="auto"/>
            </w:tcBorders>
            <w:vAlign w:val="center"/>
          </w:tcPr>
          <w:p w14:paraId="41F6CC1B" w14:textId="77777777" w:rsidR="00864466" w:rsidRPr="0043350C" w:rsidRDefault="00864466" w:rsidP="008A4C87">
            <w:pPr>
              <w:spacing w:after="0"/>
              <w:jc w:val="center"/>
              <w:rPr>
                <w:rFonts w:eastAsia="Times New Roman" w:cs="Arial"/>
                <w:sz w:val="14"/>
                <w:szCs w:val="14"/>
                <w:lang w:val="es-ES"/>
              </w:rPr>
            </w:pPr>
            <w:r w:rsidRPr="0043350C">
              <w:rPr>
                <w:rFonts w:eastAsia="Times New Roman" w:cs="Arial"/>
                <w:sz w:val="16"/>
                <w:szCs w:val="14"/>
                <w:lang w:val="es-ES"/>
              </w:rPr>
              <w:t>SHCP</w:t>
            </w:r>
          </w:p>
        </w:tc>
        <w:tc>
          <w:tcPr>
            <w:tcW w:w="904" w:type="pct"/>
            <w:tcBorders>
              <w:bottom w:val="single" w:sz="4" w:space="0" w:color="auto"/>
            </w:tcBorders>
            <w:vAlign w:val="center"/>
          </w:tcPr>
          <w:p w14:paraId="34010EFC" w14:textId="77777777" w:rsidR="00864466" w:rsidRPr="0043350C" w:rsidRDefault="00864466" w:rsidP="008A4C87">
            <w:pPr>
              <w:spacing w:before="20" w:after="0"/>
              <w:ind w:left="170"/>
              <w:rPr>
                <w:b/>
                <w:sz w:val="16"/>
                <w:szCs w:val="16"/>
                <w:lang w:val="es-ES" w:eastAsia="en-US"/>
              </w:rPr>
            </w:pPr>
            <w:r w:rsidRPr="0043350C">
              <w:rPr>
                <w:b/>
                <w:sz w:val="16"/>
                <w:szCs w:val="16"/>
                <w:lang w:val="es-ES" w:eastAsia="en-US"/>
              </w:rPr>
              <w:t>Informe completo:</w:t>
            </w:r>
          </w:p>
        </w:tc>
        <w:tc>
          <w:tcPr>
            <w:tcW w:w="2234" w:type="pct"/>
            <w:tcBorders>
              <w:bottom w:val="single" w:sz="4" w:space="0" w:color="auto"/>
            </w:tcBorders>
            <w:vAlign w:val="center"/>
          </w:tcPr>
          <w:p w14:paraId="27A8B7F5" w14:textId="77777777" w:rsidR="00864466" w:rsidRPr="0043350C" w:rsidRDefault="00864466" w:rsidP="008A4C87">
            <w:pPr>
              <w:spacing w:before="20" w:after="0"/>
              <w:ind w:left="113"/>
              <w:rPr>
                <w:rFonts w:eastAsia="Times New Roman"/>
                <w:sz w:val="16"/>
                <w:szCs w:val="16"/>
                <w:lang w:val="es-ES" w:eastAsia="en-US"/>
              </w:rPr>
            </w:pPr>
            <w:r w:rsidRPr="0043350C">
              <w:rPr>
                <w:rFonts w:eastAsia="Times New Roman"/>
                <w:sz w:val="16"/>
                <w:szCs w:val="16"/>
                <w:lang w:val="es-ES" w:eastAsia="en-US"/>
              </w:rPr>
              <w:t>Disponible en:</w:t>
            </w:r>
          </w:p>
          <w:p w14:paraId="0EA606C0" w14:textId="77777777" w:rsidR="00864466" w:rsidRPr="0043350C" w:rsidRDefault="00864466" w:rsidP="008A4C87">
            <w:pPr>
              <w:spacing w:before="20" w:after="0"/>
              <w:ind w:left="113"/>
              <w:rPr>
                <w:rFonts w:eastAsia="Times New Roman"/>
                <w:sz w:val="16"/>
                <w:szCs w:val="16"/>
                <w:lang w:val="es-ES" w:eastAsia="en-US"/>
              </w:rPr>
            </w:pPr>
            <w:r w:rsidRPr="0043350C">
              <w:rPr>
                <w:rFonts w:eastAsia="Times New Roman"/>
                <w:sz w:val="16"/>
                <w:szCs w:val="16"/>
                <w:lang w:val="es-ES" w:eastAsia="en-US"/>
              </w:rPr>
              <w:t>http://www.transparenciapresupuestaria.gob.mx/</w:t>
            </w:r>
          </w:p>
        </w:tc>
      </w:tr>
      <w:bookmarkEnd w:id="19"/>
    </w:tbl>
    <w:p w14:paraId="306630E7" w14:textId="77777777" w:rsidR="00086F73" w:rsidRDefault="00086F73" w:rsidP="00957E85">
      <w:pPr>
        <w:keepNext/>
        <w:keepLines/>
        <w:spacing w:before="200" w:after="200"/>
        <w:jc w:val="both"/>
        <w:outlineLvl w:val="1"/>
        <w:rPr>
          <w:rFonts w:ascii="Soberana Titular" w:eastAsia="MS Gothic" w:hAnsi="Soberana Titular"/>
          <w:b/>
          <w:bCs/>
          <w:sz w:val="24"/>
          <w:szCs w:val="26"/>
        </w:rPr>
      </w:pPr>
    </w:p>
    <w:p w14:paraId="5B6EE908" w14:textId="77777777" w:rsidR="00F77FE5" w:rsidRDefault="00F77FE5" w:rsidP="00957E85">
      <w:pPr>
        <w:keepNext/>
        <w:keepLines/>
        <w:spacing w:before="200" w:after="200"/>
        <w:jc w:val="both"/>
        <w:outlineLvl w:val="1"/>
        <w:rPr>
          <w:rFonts w:ascii="Soberana Titular" w:eastAsia="MS Gothic" w:hAnsi="Soberana Titular"/>
          <w:b/>
          <w:bCs/>
          <w:sz w:val="24"/>
          <w:szCs w:val="26"/>
        </w:rPr>
      </w:pPr>
    </w:p>
    <w:p w14:paraId="48EEACF3" w14:textId="77777777" w:rsidR="00F77FE5" w:rsidRDefault="00F77FE5" w:rsidP="00957E85">
      <w:pPr>
        <w:keepNext/>
        <w:keepLines/>
        <w:spacing w:before="200" w:after="200"/>
        <w:jc w:val="both"/>
        <w:outlineLvl w:val="1"/>
        <w:rPr>
          <w:rFonts w:ascii="Soberana Titular" w:eastAsia="MS Gothic" w:hAnsi="Soberana Titular"/>
          <w:b/>
          <w:bCs/>
          <w:sz w:val="24"/>
          <w:szCs w:val="26"/>
        </w:rPr>
      </w:pPr>
    </w:p>
    <w:p w14:paraId="076DC657" w14:textId="77777777" w:rsidR="00F77FE5" w:rsidRDefault="00F77FE5" w:rsidP="00957E85">
      <w:pPr>
        <w:keepNext/>
        <w:keepLines/>
        <w:spacing w:before="200" w:after="200"/>
        <w:jc w:val="both"/>
        <w:outlineLvl w:val="1"/>
        <w:rPr>
          <w:rFonts w:ascii="Soberana Titular" w:eastAsia="MS Gothic" w:hAnsi="Soberana Titular"/>
          <w:b/>
          <w:bCs/>
          <w:sz w:val="24"/>
          <w:szCs w:val="26"/>
        </w:rPr>
      </w:pPr>
    </w:p>
    <w:p w14:paraId="195EA5D7" w14:textId="77777777" w:rsidR="00F77FE5" w:rsidRDefault="00F77FE5" w:rsidP="00957E85">
      <w:pPr>
        <w:keepNext/>
        <w:keepLines/>
        <w:spacing w:before="200" w:after="200"/>
        <w:jc w:val="both"/>
        <w:outlineLvl w:val="1"/>
        <w:rPr>
          <w:rFonts w:ascii="Soberana Titular" w:eastAsia="MS Gothic" w:hAnsi="Soberana Titular"/>
          <w:b/>
          <w:bCs/>
          <w:sz w:val="24"/>
          <w:szCs w:val="26"/>
        </w:rPr>
      </w:pPr>
    </w:p>
    <w:p w14:paraId="5F0CDF5A" w14:textId="77777777" w:rsidR="00086F73" w:rsidRDefault="00086F73">
      <w:pPr>
        <w:spacing w:after="0"/>
        <w:rPr>
          <w:rFonts w:ascii="Soberana Titular" w:eastAsia="MS Gothic" w:hAnsi="Soberana Titular"/>
          <w:b/>
          <w:bCs/>
          <w:sz w:val="24"/>
          <w:szCs w:val="26"/>
        </w:rPr>
      </w:pPr>
    </w:p>
    <w:p w14:paraId="0BE16D05" w14:textId="77777777" w:rsidR="00F77FE5" w:rsidRDefault="00F77FE5">
      <w:pPr>
        <w:spacing w:after="0"/>
        <w:rPr>
          <w:rFonts w:ascii="Soberana Titular" w:eastAsia="MS Gothic" w:hAnsi="Soberana Titular"/>
          <w:b/>
          <w:bCs/>
          <w:sz w:val="24"/>
          <w:szCs w:val="26"/>
        </w:rPr>
      </w:pPr>
    </w:p>
    <w:p w14:paraId="62200CD1" w14:textId="77777777" w:rsidR="00F77FE5" w:rsidRDefault="00F77FE5">
      <w:pPr>
        <w:spacing w:after="0"/>
        <w:rPr>
          <w:rFonts w:ascii="Soberana Titular" w:eastAsia="MS Gothic" w:hAnsi="Soberana Titular"/>
          <w:b/>
          <w:bCs/>
          <w:sz w:val="24"/>
          <w:szCs w:val="26"/>
        </w:rPr>
      </w:pPr>
    </w:p>
    <w:p w14:paraId="02988A04" w14:textId="77777777" w:rsidR="00F77FE5" w:rsidRDefault="00F77FE5">
      <w:pPr>
        <w:spacing w:after="0"/>
        <w:rPr>
          <w:rFonts w:ascii="Soberana Titular" w:eastAsia="MS Gothic" w:hAnsi="Soberana Titular"/>
          <w:b/>
          <w:bCs/>
          <w:sz w:val="24"/>
          <w:szCs w:val="26"/>
        </w:rPr>
      </w:pPr>
    </w:p>
    <w:p w14:paraId="30F377FF" w14:textId="77777777" w:rsidR="00F77FE5" w:rsidRDefault="00F77FE5">
      <w:pPr>
        <w:spacing w:after="0"/>
        <w:rPr>
          <w:rFonts w:ascii="Soberana Titular" w:eastAsia="MS Gothic" w:hAnsi="Soberana Titular"/>
          <w:b/>
          <w:bCs/>
          <w:sz w:val="24"/>
          <w:szCs w:val="26"/>
        </w:rPr>
      </w:pPr>
    </w:p>
    <w:p w14:paraId="074F427E" w14:textId="77777777" w:rsidR="00F77FE5" w:rsidRDefault="00F77FE5">
      <w:pPr>
        <w:spacing w:after="0"/>
        <w:rPr>
          <w:rFonts w:ascii="Soberana Titular" w:eastAsia="MS Gothic" w:hAnsi="Soberana Titular"/>
          <w:b/>
          <w:bCs/>
          <w:sz w:val="24"/>
          <w:szCs w:val="26"/>
        </w:rPr>
      </w:pPr>
    </w:p>
    <w:p w14:paraId="06B67F85" w14:textId="77777777" w:rsidR="00F77FE5" w:rsidRDefault="00F77FE5">
      <w:pPr>
        <w:spacing w:after="0"/>
        <w:rPr>
          <w:rFonts w:ascii="Soberana Titular" w:eastAsia="MS Gothic" w:hAnsi="Soberana Titular"/>
          <w:b/>
          <w:bCs/>
          <w:sz w:val="24"/>
          <w:szCs w:val="26"/>
        </w:rPr>
      </w:pPr>
    </w:p>
    <w:p w14:paraId="2246B715" w14:textId="77777777" w:rsidR="00F77FE5" w:rsidRDefault="00F77FE5">
      <w:pPr>
        <w:spacing w:after="0"/>
        <w:rPr>
          <w:rFonts w:ascii="Soberana Titular" w:eastAsia="MS Gothic" w:hAnsi="Soberana Titular"/>
          <w:b/>
          <w:bCs/>
          <w:sz w:val="24"/>
          <w:szCs w:val="26"/>
        </w:rPr>
      </w:pPr>
    </w:p>
    <w:p w14:paraId="0DEA6917" w14:textId="77777777" w:rsidR="00F77FE5" w:rsidRDefault="00F77FE5">
      <w:pPr>
        <w:spacing w:after="0"/>
        <w:rPr>
          <w:rFonts w:ascii="Soberana Titular" w:eastAsia="MS Gothic" w:hAnsi="Soberana Titular"/>
          <w:b/>
          <w:bCs/>
          <w:sz w:val="24"/>
          <w:szCs w:val="26"/>
        </w:rPr>
      </w:pPr>
    </w:p>
    <w:p w14:paraId="74CE3D44" w14:textId="77777777" w:rsidR="00F77FE5" w:rsidRDefault="00F77FE5">
      <w:pPr>
        <w:spacing w:after="0"/>
        <w:rPr>
          <w:rFonts w:ascii="Soberana Titular" w:eastAsia="MS Gothic" w:hAnsi="Soberana Titular"/>
          <w:b/>
          <w:bCs/>
          <w:sz w:val="24"/>
          <w:szCs w:val="26"/>
        </w:rPr>
      </w:pPr>
    </w:p>
    <w:p w14:paraId="27115676" w14:textId="77777777" w:rsidR="00F77FE5" w:rsidRDefault="00F77FE5">
      <w:pPr>
        <w:spacing w:after="0"/>
        <w:rPr>
          <w:rFonts w:ascii="Soberana Titular" w:eastAsia="MS Gothic" w:hAnsi="Soberana Titular"/>
          <w:b/>
          <w:bCs/>
          <w:sz w:val="24"/>
          <w:szCs w:val="26"/>
        </w:rPr>
      </w:pPr>
    </w:p>
    <w:p w14:paraId="5F2EB0FA" w14:textId="77777777" w:rsidR="00F77FE5" w:rsidRDefault="00F77FE5">
      <w:pPr>
        <w:spacing w:after="0"/>
        <w:rPr>
          <w:rFonts w:ascii="Soberana Titular" w:eastAsia="MS Gothic" w:hAnsi="Soberana Titular"/>
          <w:b/>
          <w:bCs/>
          <w:sz w:val="24"/>
          <w:szCs w:val="26"/>
        </w:rPr>
      </w:pPr>
    </w:p>
    <w:p w14:paraId="1D4844EF" w14:textId="77777777" w:rsidR="00F77FE5" w:rsidRDefault="00F77FE5">
      <w:pPr>
        <w:spacing w:after="0"/>
        <w:rPr>
          <w:rFonts w:ascii="Soberana Titular" w:eastAsia="MS Gothic" w:hAnsi="Soberana Titular"/>
          <w:b/>
          <w:bCs/>
          <w:sz w:val="24"/>
          <w:szCs w:val="26"/>
        </w:rPr>
      </w:pPr>
    </w:p>
    <w:p w14:paraId="78893DB1" w14:textId="77777777" w:rsidR="00F77FE5" w:rsidRDefault="00F77FE5">
      <w:pPr>
        <w:spacing w:after="0"/>
        <w:rPr>
          <w:rFonts w:ascii="Soberana Titular" w:eastAsia="MS Gothic" w:hAnsi="Soberana Titular"/>
          <w:b/>
          <w:bCs/>
          <w:sz w:val="24"/>
          <w:szCs w:val="26"/>
        </w:rPr>
      </w:pPr>
    </w:p>
    <w:p w14:paraId="4410AA55" w14:textId="77777777" w:rsidR="00F77FE5" w:rsidRDefault="00F77FE5">
      <w:pPr>
        <w:spacing w:after="0"/>
        <w:rPr>
          <w:rFonts w:ascii="Soberana Titular" w:eastAsia="MS Gothic" w:hAnsi="Soberana Titular"/>
          <w:b/>
          <w:bCs/>
          <w:sz w:val="24"/>
          <w:szCs w:val="26"/>
        </w:rPr>
      </w:pPr>
    </w:p>
    <w:p w14:paraId="4E63629C" w14:textId="77777777" w:rsidR="00F77FE5" w:rsidRDefault="00F77FE5">
      <w:pPr>
        <w:spacing w:after="0"/>
        <w:rPr>
          <w:rFonts w:ascii="Soberana Titular" w:eastAsia="MS Gothic" w:hAnsi="Soberana Titular"/>
          <w:b/>
          <w:bCs/>
          <w:sz w:val="24"/>
          <w:szCs w:val="26"/>
        </w:rPr>
      </w:pPr>
    </w:p>
    <w:p w14:paraId="55CACB72" w14:textId="77777777" w:rsidR="00F77FE5" w:rsidRDefault="00F77FE5">
      <w:pPr>
        <w:spacing w:after="0"/>
        <w:rPr>
          <w:rFonts w:ascii="Soberana Titular" w:eastAsia="MS Gothic" w:hAnsi="Soberana Titular"/>
          <w:b/>
          <w:bCs/>
          <w:sz w:val="24"/>
          <w:szCs w:val="26"/>
        </w:rPr>
      </w:pPr>
    </w:p>
    <w:p w14:paraId="5FEBA6E9" w14:textId="77777777" w:rsidR="00F77FE5" w:rsidRDefault="00F77FE5">
      <w:pPr>
        <w:spacing w:after="0"/>
        <w:rPr>
          <w:rFonts w:ascii="Soberana Titular" w:eastAsia="MS Gothic" w:hAnsi="Soberana Titular"/>
          <w:b/>
          <w:bCs/>
          <w:sz w:val="24"/>
          <w:szCs w:val="26"/>
        </w:rPr>
      </w:pPr>
    </w:p>
    <w:p w14:paraId="6E6F11F5" w14:textId="77777777" w:rsidR="00F77FE5" w:rsidRDefault="00F77FE5">
      <w:pPr>
        <w:spacing w:after="0"/>
        <w:rPr>
          <w:rFonts w:ascii="Soberana Titular" w:eastAsia="MS Gothic" w:hAnsi="Soberana Titular"/>
          <w:b/>
          <w:bCs/>
          <w:sz w:val="24"/>
          <w:szCs w:val="26"/>
        </w:rPr>
      </w:pPr>
    </w:p>
    <w:p w14:paraId="3610D1A0" w14:textId="77777777" w:rsidR="00F77FE5" w:rsidRDefault="00F77FE5">
      <w:pPr>
        <w:spacing w:after="0"/>
        <w:rPr>
          <w:rFonts w:ascii="Soberana Titular" w:eastAsia="MS Gothic" w:hAnsi="Soberana Titular"/>
          <w:b/>
          <w:bCs/>
          <w:sz w:val="24"/>
          <w:szCs w:val="26"/>
        </w:rPr>
      </w:pPr>
    </w:p>
    <w:p w14:paraId="3E46B713" w14:textId="77777777" w:rsidR="00F77FE5" w:rsidRDefault="00F77FE5">
      <w:pPr>
        <w:spacing w:after="0"/>
        <w:rPr>
          <w:rFonts w:ascii="Soberana Titular" w:eastAsia="MS Gothic" w:hAnsi="Soberana Titular"/>
          <w:b/>
          <w:bCs/>
          <w:sz w:val="24"/>
          <w:szCs w:val="26"/>
        </w:rPr>
      </w:pPr>
    </w:p>
    <w:p w14:paraId="39EA2679" w14:textId="77777777" w:rsidR="00F77FE5" w:rsidRDefault="00F77FE5">
      <w:pPr>
        <w:spacing w:after="0"/>
        <w:rPr>
          <w:rFonts w:ascii="Soberana Titular" w:eastAsia="MS Gothic" w:hAnsi="Soberana Titular"/>
          <w:b/>
          <w:bCs/>
          <w:sz w:val="24"/>
          <w:szCs w:val="26"/>
        </w:rPr>
      </w:pPr>
    </w:p>
    <w:p w14:paraId="66D2D03D" w14:textId="77777777" w:rsidR="00F77FE5" w:rsidRDefault="00F77FE5">
      <w:pPr>
        <w:spacing w:after="0"/>
        <w:rPr>
          <w:rFonts w:ascii="Soberana Titular" w:eastAsia="MS Gothic" w:hAnsi="Soberana Titular"/>
          <w:b/>
          <w:bCs/>
          <w:sz w:val="24"/>
          <w:szCs w:val="26"/>
        </w:rPr>
      </w:pPr>
    </w:p>
    <w:p w14:paraId="408B9DA9" w14:textId="77777777" w:rsidR="00F77FE5" w:rsidRDefault="00F77FE5">
      <w:pPr>
        <w:spacing w:after="0"/>
        <w:rPr>
          <w:rFonts w:ascii="Soberana Titular" w:eastAsia="MS Gothic" w:hAnsi="Soberana Titular"/>
          <w:b/>
          <w:bCs/>
          <w:sz w:val="24"/>
          <w:szCs w:val="26"/>
        </w:rPr>
      </w:pPr>
    </w:p>
    <w:p w14:paraId="472C2CA5" w14:textId="77777777" w:rsidR="00F77FE5" w:rsidRDefault="00F77FE5">
      <w:pPr>
        <w:spacing w:after="0"/>
        <w:rPr>
          <w:rFonts w:ascii="Soberana Titular" w:eastAsia="MS Gothic" w:hAnsi="Soberana Titular"/>
          <w:b/>
          <w:bCs/>
          <w:sz w:val="24"/>
          <w:szCs w:val="26"/>
        </w:rPr>
      </w:pPr>
    </w:p>
    <w:p w14:paraId="04B97E07" w14:textId="77777777" w:rsidR="00F77FE5" w:rsidRDefault="00F77FE5">
      <w:pPr>
        <w:spacing w:after="0"/>
        <w:rPr>
          <w:rFonts w:ascii="Soberana Titular" w:eastAsia="MS Gothic" w:hAnsi="Soberana Titular"/>
          <w:b/>
          <w:bCs/>
          <w:sz w:val="24"/>
          <w:szCs w:val="26"/>
        </w:rPr>
      </w:pPr>
    </w:p>
    <w:p w14:paraId="5B247BFA" w14:textId="77777777" w:rsidR="00F77FE5" w:rsidRDefault="00F77FE5">
      <w:pPr>
        <w:spacing w:after="0"/>
        <w:rPr>
          <w:rFonts w:ascii="Soberana Titular" w:eastAsia="MS Gothic" w:hAnsi="Soberana Titular"/>
          <w:b/>
          <w:bCs/>
          <w:sz w:val="24"/>
          <w:szCs w:val="26"/>
        </w:rPr>
      </w:pPr>
    </w:p>
    <w:p w14:paraId="21B510D2" w14:textId="77777777" w:rsidR="00F77FE5" w:rsidRPr="00F77FE5" w:rsidRDefault="00F77FE5" w:rsidP="00F77FE5">
      <w:pPr>
        <w:keepNext/>
        <w:keepLines/>
        <w:spacing w:before="200" w:after="200"/>
        <w:jc w:val="both"/>
        <w:outlineLvl w:val="1"/>
        <w:rPr>
          <w:rFonts w:ascii="Soberana Titular" w:eastAsia="MS Gothic" w:hAnsi="Soberana Titular"/>
          <w:b/>
          <w:bCs/>
          <w:sz w:val="24"/>
          <w:szCs w:val="26"/>
        </w:rPr>
      </w:pPr>
      <w:bookmarkStart w:id="21" w:name="_Toc512364672"/>
      <w:r w:rsidRPr="00F77FE5">
        <w:rPr>
          <w:rFonts w:ascii="Soberana Titular" w:eastAsia="MS Gothic" w:hAnsi="Soberana Titular"/>
          <w:b/>
          <w:bCs/>
          <w:sz w:val="24"/>
          <w:szCs w:val="26"/>
        </w:rPr>
        <w:lastRenderedPageBreak/>
        <w:t>ASPECTOS SUSCEPTIBLES DE MEJORA</w:t>
      </w:r>
      <w:r w:rsidR="006F4A52">
        <w:rPr>
          <w:rFonts w:ascii="Soberana Titular" w:eastAsia="MS Gothic" w:hAnsi="Soberana Titular"/>
          <w:b/>
          <w:bCs/>
          <w:sz w:val="24"/>
          <w:szCs w:val="26"/>
        </w:rPr>
        <w:t xml:space="preserve"> </w:t>
      </w:r>
      <w:r w:rsidRPr="00F77FE5">
        <w:rPr>
          <w:rFonts w:ascii="Soberana Titular" w:eastAsia="MS Gothic" w:hAnsi="Soberana Titular"/>
          <w:b/>
          <w:bCs/>
          <w:sz w:val="24"/>
          <w:szCs w:val="26"/>
        </w:rPr>
        <w:t>PARA EL PRIMER TRIMESTRE DE 2018</w:t>
      </w:r>
      <w:bookmarkEnd w:id="21"/>
    </w:p>
    <w:p w14:paraId="3A530A74" w14:textId="77777777" w:rsidR="00F77FE5" w:rsidRPr="00F77FE5" w:rsidRDefault="00F77FE5" w:rsidP="00F77FE5">
      <w:pPr>
        <w:jc w:val="both"/>
        <w:rPr>
          <w:rFonts w:eastAsiaTheme="majorEastAsia" w:cs="Arial"/>
          <w:b/>
          <w:szCs w:val="20"/>
          <w:lang w:val="es-ES" w:eastAsia="en-US"/>
        </w:rPr>
      </w:pPr>
      <w:r w:rsidRPr="00F77FE5">
        <w:rPr>
          <w:rFonts w:eastAsiaTheme="majorEastAsia" w:cs="Arial"/>
          <w:b/>
          <w:szCs w:val="20"/>
          <w:lang w:val="es-ES" w:eastAsia="en-US"/>
        </w:rPr>
        <w:t>Introducción</w:t>
      </w:r>
    </w:p>
    <w:p w14:paraId="1EC4C688"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ES"/>
        </w:rPr>
        <w:t xml:space="preserve">Los ASM son los compromisos que asumen las dependencias y entidades para introducir mejoras a una política pública o a un </w:t>
      </w:r>
      <w:proofErr w:type="spellStart"/>
      <w:r w:rsidRPr="00F77FE5">
        <w:rPr>
          <w:rFonts w:eastAsia="Times New Roman" w:cs="Arial"/>
          <w:szCs w:val="20"/>
          <w:lang w:val="es-ES"/>
        </w:rPr>
        <w:t>Pp</w:t>
      </w:r>
      <w:proofErr w:type="spellEnd"/>
      <w:r w:rsidRPr="00F77FE5">
        <w:rPr>
          <w:rFonts w:eastAsia="Times New Roman" w:cs="Arial"/>
          <w:szCs w:val="20"/>
          <w:lang w:val="es-ES"/>
        </w:rPr>
        <w:t xml:space="preserve">, con base en los hallazgos, debilidades, oportunidades y amenazas identificadas en una evaluación externa. Los ASM deberán ser atendidos para la mejora de los </w:t>
      </w:r>
      <w:proofErr w:type="spellStart"/>
      <w:r w:rsidRPr="00F77FE5">
        <w:rPr>
          <w:rFonts w:eastAsia="Times New Roman" w:cs="Arial"/>
          <w:szCs w:val="20"/>
          <w:lang w:val="es-ES"/>
        </w:rPr>
        <w:t>Pp</w:t>
      </w:r>
      <w:proofErr w:type="spellEnd"/>
      <w:r w:rsidRPr="00F77FE5">
        <w:rPr>
          <w:rFonts w:eastAsia="Times New Roman" w:cs="Arial"/>
          <w:szCs w:val="20"/>
          <w:lang w:val="es-ES"/>
        </w:rPr>
        <w:t xml:space="preserve"> con base en las recomendaciones y sugerencias señaladas por el evaluador externo.</w:t>
      </w:r>
    </w:p>
    <w:p w14:paraId="7E010055"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ES"/>
        </w:rPr>
        <w:t xml:space="preserve">Con el objetivo de establecer un proceso para dar seguimiento a los ASM y articular los resultados de las evaluaciones externas a los </w:t>
      </w:r>
      <w:proofErr w:type="spellStart"/>
      <w:r w:rsidRPr="00F77FE5">
        <w:rPr>
          <w:rFonts w:eastAsia="Times New Roman" w:cs="Arial"/>
          <w:szCs w:val="20"/>
          <w:lang w:val="es-ES"/>
        </w:rPr>
        <w:t>Pp</w:t>
      </w:r>
      <w:proofErr w:type="spellEnd"/>
      <w:r w:rsidRPr="00F77FE5">
        <w:rPr>
          <w:rFonts w:eastAsia="Times New Roman" w:cs="Arial"/>
          <w:szCs w:val="20"/>
          <w:lang w:val="es-ES"/>
        </w:rPr>
        <w:t xml:space="preserve"> en el marco del Sistema de Evaluación del Desempeño (SED), la SHCP, la Secretaría de la Función Pública (SFP)</w:t>
      </w:r>
      <w:r w:rsidR="00FA6BAF">
        <w:rPr>
          <w:rStyle w:val="Refdenotaalpie"/>
          <w:rFonts w:eastAsia="Times New Roman" w:cs="Arial"/>
          <w:szCs w:val="20"/>
          <w:lang w:val="es-ES"/>
        </w:rPr>
        <w:footnoteReference w:id="14"/>
      </w:r>
      <w:r w:rsidR="00266A9F" w:rsidRPr="00266A9F">
        <w:rPr>
          <w:rFonts w:eastAsia="Times New Roman" w:cs="Arial"/>
          <w:szCs w:val="20"/>
          <w:vertAlign w:val="superscript"/>
          <w:lang w:val="es-ES"/>
        </w:rPr>
        <w:t>_/</w:t>
      </w:r>
      <w:r w:rsidRPr="00F77FE5">
        <w:rPr>
          <w:rFonts w:eastAsia="Times New Roman" w:cs="Arial"/>
          <w:szCs w:val="20"/>
          <w:lang w:val="es-ES"/>
        </w:rPr>
        <w:t xml:space="preserve"> y el CONEVAL emitieron en octubre de 2008 el “Mecanismo para el seguimiento a los aspectos susceptibles de mejora derivados de los informes y evaluaciones externas a programas federales” (Mecanismo), el cual se ha actualizado en dos ocasiones, emitiéndose en marzo de 2011 el vigente. </w:t>
      </w:r>
    </w:p>
    <w:p w14:paraId="0776AE2D"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ES"/>
        </w:rPr>
        <w:t xml:space="preserve">De acuerdo con el Mecanismo vigente, las dependencias y entidades reportaron en el mes de marzo de 2018, los avances obtenidos en la implementación de las acciones comprometidas en el mes de abril de 2017 y anteriores, sobre ASM derivados de evaluaciones externas concluidas en el ejercicio 2017 y anteriores. Por tal motivo, en este apartado se presentan dichos avances registrados ante las instancias coordinadoras (SHCP y CONEVAL). </w:t>
      </w:r>
    </w:p>
    <w:p w14:paraId="6F049A09" w14:textId="77777777" w:rsidR="00F77FE5" w:rsidRPr="00F77FE5" w:rsidRDefault="00F77FE5" w:rsidP="00F77FE5">
      <w:pPr>
        <w:jc w:val="both"/>
        <w:rPr>
          <w:rFonts w:eastAsia="Times New Roman" w:cs="Arial"/>
          <w:b/>
          <w:szCs w:val="20"/>
          <w:lang w:val="es-ES" w:eastAsia="es-MX"/>
        </w:rPr>
      </w:pPr>
      <w:r w:rsidRPr="00F77FE5">
        <w:rPr>
          <w:rFonts w:eastAsia="Times New Roman" w:cs="Arial"/>
          <w:b/>
          <w:szCs w:val="20"/>
          <w:lang w:val="es-ES" w:eastAsia="es-MX"/>
        </w:rPr>
        <w:t>Resultados al primer trimestre 2018</w:t>
      </w:r>
    </w:p>
    <w:p w14:paraId="1E96331F" w14:textId="77777777" w:rsidR="00F77FE5" w:rsidRPr="00F77FE5" w:rsidRDefault="00F77FE5" w:rsidP="00F77FE5">
      <w:pPr>
        <w:jc w:val="both"/>
        <w:rPr>
          <w:rFonts w:eastAsia="Times New Roman" w:cs="Arial"/>
          <w:szCs w:val="20"/>
          <w:lang w:val="es-ES" w:eastAsia="es-MX"/>
        </w:rPr>
      </w:pPr>
      <w:r w:rsidRPr="00F77FE5">
        <w:rPr>
          <w:rFonts w:eastAsia="Times New Roman" w:cs="Arial"/>
          <w:szCs w:val="20"/>
          <w:lang w:val="es-ES" w:eastAsia="es-MX"/>
        </w:rPr>
        <w:t xml:space="preserve">Para el primer trimestre de 2018, las dependencias y entidades de la APF instrumentaron acciones correspondientes a 636 ASM, los cuales fueron reportados a las dos instancias coordinadoras. La información se presentó de conformidad con lo establecido en el proceso del Mecanismo vigente. </w:t>
      </w:r>
    </w:p>
    <w:p w14:paraId="0333FCD0" w14:textId="77777777" w:rsidR="00F77FE5" w:rsidRPr="00F77FE5" w:rsidRDefault="00F77FE5" w:rsidP="00F77FE5">
      <w:pPr>
        <w:jc w:val="both"/>
        <w:rPr>
          <w:rFonts w:eastAsia="Times New Roman" w:cs="Arial"/>
          <w:szCs w:val="20"/>
          <w:lang w:val="es-ES" w:eastAsia="es-MX"/>
        </w:rPr>
      </w:pPr>
      <w:r w:rsidRPr="00F77FE5">
        <w:rPr>
          <w:rFonts w:eastAsia="Times New Roman" w:cs="Arial"/>
          <w:szCs w:val="20"/>
          <w:lang w:val="es-ES" w:eastAsia="es-MX"/>
        </w:rPr>
        <w:t xml:space="preserve">Los 636 ASM corresponden a 178 programas y acciones federales de 64 dependencias y entidades, y se distribuyen de la siguiente manera: 387 (60.8%) son del tipo específico; 239 (37.6%) pertenecen al tipo institucional; ocho (1.3%) son de tipo interinstitucional y finalmente dos (0.3%) son de tipo intergubernamental. </w:t>
      </w:r>
    </w:p>
    <w:tbl>
      <w:tblPr>
        <w:tblW w:w="5000" w:type="pct"/>
        <w:tblLayout w:type="fixed"/>
        <w:tblCellMar>
          <w:left w:w="70" w:type="dxa"/>
          <w:right w:w="70" w:type="dxa"/>
        </w:tblCellMar>
        <w:tblLook w:val="04A0" w:firstRow="1" w:lastRow="0" w:firstColumn="1" w:lastColumn="0" w:noHBand="0" w:noVBand="1"/>
      </w:tblPr>
      <w:tblGrid>
        <w:gridCol w:w="567"/>
        <w:gridCol w:w="3263"/>
        <w:gridCol w:w="991"/>
        <w:gridCol w:w="991"/>
        <w:gridCol w:w="1276"/>
        <w:gridCol w:w="1558"/>
        <w:gridCol w:w="608"/>
        <w:gridCol w:w="718"/>
      </w:tblGrid>
      <w:tr w:rsidR="00F77FE5" w:rsidRPr="00F77FE5" w14:paraId="67793ED9" w14:textId="77777777" w:rsidTr="005A7CAD">
        <w:trPr>
          <w:trHeight w:val="300"/>
          <w:tblHeader/>
        </w:trPr>
        <w:tc>
          <w:tcPr>
            <w:tcW w:w="5000" w:type="pct"/>
            <w:gridSpan w:val="8"/>
            <w:tcBorders>
              <w:top w:val="nil"/>
              <w:left w:val="nil"/>
              <w:bottom w:val="nil"/>
              <w:right w:val="nil"/>
            </w:tcBorders>
            <w:shd w:val="clear" w:color="000000" w:fill="EAF1DD"/>
            <w:vAlign w:val="center"/>
            <w:hideMark/>
          </w:tcPr>
          <w:p w14:paraId="7C767526" w14:textId="77777777" w:rsidR="00F77FE5" w:rsidRPr="00F77FE5" w:rsidRDefault="00F77FE5" w:rsidP="00F77FE5">
            <w:pPr>
              <w:spacing w:after="0"/>
              <w:jc w:val="center"/>
              <w:rPr>
                <w:rFonts w:eastAsia="Times New Roman" w:cs="Calibri"/>
                <w:color w:val="000000"/>
                <w:sz w:val="18"/>
                <w:szCs w:val="18"/>
                <w:lang w:val="es-MX" w:eastAsia="es-MX"/>
              </w:rPr>
            </w:pPr>
            <w:r w:rsidRPr="00F77FE5">
              <w:rPr>
                <w:rFonts w:eastAsia="Times New Roman" w:cs="Calibri"/>
                <w:color w:val="000000"/>
                <w:sz w:val="18"/>
                <w:szCs w:val="18"/>
                <w:lang w:val="es-MX" w:eastAsia="es-MX"/>
              </w:rPr>
              <w:t>Tabla 2. Tipo de ASM por Ramo y por dependencia o entidad al 31 marzo de 2018</w:t>
            </w:r>
          </w:p>
        </w:tc>
      </w:tr>
      <w:tr w:rsidR="00F77FE5" w:rsidRPr="00F77FE5" w14:paraId="59CDEDF1" w14:textId="77777777" w:rsidTr="005A7CAD">
        <w:trPr>
          <w:trHeight w:val="315"/>
        </w:trPr>
        <w:tc>
          <w:tcPr>
            <w:tcW w:w="284" w:type="pct"/>
            <w:tcBorders>
              <w:top w:val="nil"/>
              <w:left w:val="nil"/>
              <w:bottom w:val="single" w:sz="12" w:space="0" w:color="auto"/>
              <w:right w:val="nil"/>
            </w:tcBorders>
            <w:shd w:val="clear" w:color="000000" w:fill="FFFFFF"/>
            <w:noWrap/>
            <w:vAlign w:val="center"/>
            <w:hideMark/>
          </w:tcPr>
          <w:p w14:paraId="316CE7F8"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Ramo</w:t>
            </w:r>
          </w:p>
        </w:tc>
        <w:tc>
          <w:tcPr>
            <w:tcW w:w="1636" w:type="pct"/>
            <w:tcBorders>
              <w:top w:val="nil"/>
              <w:left w:val="nil"/>
              <w:bottom w:val="single" w:sz="12" w:space="0" w:color="auto"/>
              <w:right w:val="nil"/>
            </w:tcBorders>
            <w:shd w:val="clear" w:color="000000" w:fill="FFFFFF"/>
            <w:noWrap/>
            <w:vAlign w:val="center"/>
            <w:hideMark/>
          </w:tcPr>
          <w:p w14:paraId="3A0BE677"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Dependencia o Entidad</w:t>
            </w:r>
          </w:p>
        </w:tc>
        <w:tc>
          <w:tcPr>
            <w:tcW w:w="497" w:type="pct"/>
            <w:tcBorders>
              <w:top w:val="nil"/>
              <w:left w:val="nil"/>
              <w:bottom w:val="single" w:sz="12" w:space="0" w:color="auto"/>
              <w:right w:val="nil"/>
            </w:tcBorders>
            <w:shd w:val="clear" w:color="000000" w:fill="FFFFFF"/>
            <w:noWrap/>
            <w:vAlign w:val="center"/>
            <w:hideMark/>
          </w:tcPr>
          <w:p w14:paraId="7595471B"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Específico</w:t>
            </w:r>
          </w:p>
        </w:tc>
        <w:tc>
          <w:tcPr>
            <w:tcW w:w="497" w:type="pct"/>
            <w:tcBorders>
              <w:top w:val="nil"/>
              <w:left w:val="nil"/>
              <w:bottom w:val="single" w:sz="12" w:space="0" w:color="auto"/>
              <w:right w:val="nil"/>
            </w:tcBorders>
            <w:shd w:val="clear" w:color="000000" w:fill="FFFFFF"/>
            <w:noWrap/>
            <w:vAlign w:val="center"/>
            <w:hideMark/>
          </w:tcPr>
          <w:p w14:paraId="7AD5DBE1"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Institucional</w:t>
            </w:r>
          </w:p>
        </w:tc>
        <w:tc>
          <w:tcPr>
            <w:tcW w:w="640" w:type="pct"/>
            <w:tcBorders>
              <w:top w:val="nil"/>
              <w:left w:val="nil"/>
              <w:bottom w:val="single" w:sz="12" w:space="0" w:color="auto"/>
              <w:right w:val="nil"/>
            </w:tcBorders>
            <w:shd w:val="clear" w:color="000000" w:fill="FFFFFF"/>
            <w:noWrap/>
            <w:vAlign w:val="center"/>
            <w:hideMark/>
          </w:tcPr>
          <w:p w14:paraId="7961375A"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Interinstitucional</w:t>
            </w:r>
          </w:p>
        </w:tc>
        <w:tc>
          <w:tcPr>
            <w:tcW w:w="781" w:type="pct"/>
            <w:tcBorders>
              <w:top w:val="nil"/>
              <w:left w:val="nil"/>
              <w:bottom w:val="single" w:sz="12" w:space="0" w:color="auto"/>
              <w:right w:val="nil"/>
            </w:tcBorders>
            <w:shd w:val="clear" w:color="000000" w:fill="FFFFFF"/>
            <w:noWrap/>
            <w:vAlign w:val="center"/>
            <w:hideMark/>
          </w:tcPr>
          <w:p w14:paraId="21957833"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Intergubernamental</w:t>
            </w:r>
          </w:p>
        </w:tc>
        <w:tc>
          <w:tcPr>
            <w:tcW w:w="305" w:type="pct"/>
            <w:tcBorders>
              <w:top w:val="nil"/>
              <w:left w:val="nil"/>
              <w:bottom w:val="single" w:sz="12" w:space="0" w:color="auto"/>
              <w:right w:val="nil"/>
            </w:tcBorders>
            <w:shd w:val="clear" w:color="000000" w:fill="FFFFFF"/>
            <w:noWrap/>
            <w:vAlign w:val="center"/>
            <w:hideMark/>
          </w:tcPr>
          <w:p w14:paraId="7E3103C8"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Total</w:t>
            </w:r>
          </w:p>
        </w:tc>
        <w:tc>
          <w:tcPr>
            <w:tcW w:w="360" w:type="pct"/>
            <w:tcBorders>
              <w:top w:val="nil"/>
              <w:left w:val="nil"/>
              <w:bottom w:val="single" w:sz="12" w:space="0" w:color="auto"/>
              <w:right w:val="nil"/>
            </w:tcBorders>
            <w:shd w:val="clear" w:color="000000" w:fill="FFFFFF"/>
            <w:noWrap/>
            <w:vAlign w:val="center"/>
            <w:hideMark/>
          </w:tcPr>
          <w:p w14:paraId="396B05E5"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 del Total</w:t>
            </w:r>
          </w:p>
        </w:tc>
      </w:tr>
      <w:tr w:rsidR="00F77FE5" w:rsidRPr="00F77FE5" w14:paraId="67CF2355" w14:textId="77777777" w:rsidTr="005A7CAD">
        <w:trPr>
          <w:trHeight w:val="315"/>
        </w:trPr>
        <w:tc>
          <w:tcPr>
            <w:tcW w:w="1920" w:type="pct"/>
            <w:gridSpan w:val="2"/>
            <w:tcBorders>
              <w:top w:val="nil"/>
              <w:left w:val="nil"/>
              <w:bottom w:val="nil"/>
              <w:right w:val="nil"/>
            </w:tcBorders>
            <w:shd w:val="clear" w:color="000000" w:fill="F2F2F2"/>
            <w:noWrap/>
            <w:vAlign w:val="center"/>
            <w:hideMark/>
          </w:tcPr>
          <w:p w14:paraId="4C2E28E4"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04 Gobernación</w:t>
            </w:r>
          </w:p>
        </w:tc>
        <w:tc>
          <w:tcPr>
            <w:tcW w:w="497" w:type="pct"/>
            <w:tcBorders>
              <w:top w:val="nil"/>
              <w:left w:val="nil"/>
              <w:bottom w:val="nil"/>
              <w:right w:val="nil"/>
            </w:tcBorders>
            <w:shd w:val="clear" w:color="000000" w:fill="F2F2F2"/>
            <w:noWrap/>
            <w:vAlign w:val="center"/>
            <w:hideMark/>
          </w:tcPr>
          <w:p w14:paraId="21E393B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20</w:t>
            </w:r>
          </w:p>
        </w:tc>
        <w:tc>
          <w:tcPr>
            <w:tcW w:w="497" w:type="pct"/>
            <w:tcBorders>
              <w:top w:val="nil"/>
              <w:left w:val="nil"/>
              <w:bottom w:val="nil"/>
              <w:right w:val="nil"/>
            </w:tcBorders>
            <w:shd w:val="clear" w:color="000000" w:fill="F2F2F2"/>
            <w:noWrap/>
            <w:vAlign w:val="center"/>
          </w:tcPr>
          <w:p w14:paraId="32A681A3"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2F2F2"/>
            <w:noWrap/>
            <w:vAlign w:val="center"/>
            <w:hideMark/>
          </w:tcPr>
          <w:p w14:paraId="38C81FD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781" w:type="pct"/>
            <w:tcBorders>
              <w:top w:val="nil"/>
              <w:left w:val="nil"/>
              <w:bottom w:val="nil"/>
              <w:right w:val="nil"/>
            </w:tcBorders>
            <w:shd w:val="clear" w:color="000000" w:fill="F2F2F2"/>
            <w:noWrap/>
            <w:vAlign w:val="center"/>
          </w:tcPr>
          <w:p w14:paraId="707B05FF"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2F2F2"/>
            <w:noWrap/>
            <w:vAlign w:val="center"/>
            <w:hideMark/>
          </w:tcPr>
          <w:p w14:paraId="3AA207F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21</w:t>
            </w:r>
          </w:p>
        </w:tc>
        <w:tc>
          <w:tcPr>
            <w:tcW w:w="360" w:type="pct"/>
            <w:tcBorders>
              <w:top w:val="nil"/>
              <w:left w:val="nil"/>
              <w:bottom w:val="nil"/>
              <w:right w:val="nil"/>
            </w:tcBorders>
            <w:shd w:val="clear" w:color="000000" w:fill="F2F2F2"/>
            <w:noWrap/>
            <w:vAlign w:val="center"/>
            <w:hideMark/>
          </w:tcPr>
          <w:p w14:paraId="7519549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3.3</w:t>
            </w:r>
          </w:p>
        </w:tc>
      </w:tr>
      <w:tr w:rsidR="00F77FE5" w:rsidRPr="00F77FE5" w14:paraId="5D69F610" w14:textId="77777777" w:rsidTr="005A7CAD">
        <w:trPr>
          <w:trHeight w:val="300"/>
        </w:trPr>
        <w:tc>
          <w:tcPr>
            <w:tcW w:w="284" w:type="pct"/>
            <w:tcBorders>
              <w:top w:val="nil"/>
              <w:left w:val="nil"/>
              <w:bottom w:val="nil"/>
              <w:right w:val="nil"/>
            </w:tcBorders>
            <w:shd w:val="clear" w:color="000000" w:fill="FFFFFF"/>
            <w:noWrap/>
            <w:vAlign w:val="center"/>
            <w:hideMark/>
          </w:tcPr>
          <w:p w14:paraId="108B6519"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4EB2352A"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Centro Nacional de Prevención de Desastres (CENAPRED)</w:t>
            </w:r>
          </w:p>
        </w:tc>
        <w:tc>
          <w:tcPr>
            <w:tcW w:w="497" w:type="pct"/>
            <w:tcBorders>
              <w:top w:val="nil"/>
              <w:left w:val="nil"/>
              <w:bottom w:val="nil"/>
              <w:right w:val="nil"/>
            </w:tcBorders>
            <w:shd w:val="clear" w:color="000000" w:fill="FFFFFF"/>
            <w:noWrap/>
            <w:vAlign w:val="center"/>
            <w:hideMark/>
          </w:tcPr>
          <w:p w14:paraId="25AE783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497" w:type="pct"/>
            <w:tcBorders>
              <w:top w:val="nil"/>
              <w:left w:val="nil"/>
              <w:bottom w:val="nil"/>
              <w:right w:val="nil"/>
            </w:tcBorders>
            <w:shd w:val="clear" w:color="000000" w:fill="FFFFFF"/>
            <w:noWrap/>
            <w:vAlign w:val="center"/>
          </w:tcPr>
          <w:p w14:paraId="31473F7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155A450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43179328"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7A754F67"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01741583"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79CEEC35" w14:textId="77777777" w:rsidTr="005A7CAD">
        <w:trPr>
          <w:trHeight w:val="300"/>
        </w:trPr>
        <w:tc>
          <w:tcPr>
            <w:tcW w:w="284" w:type="pct"/>
            <w:tcBorders>
              <w:top w:val="nil"/>
              <w:left w:val="nil"/>
              <w:bottom w:val="nil"/>
              <w:right w:val="nil"/>
            </w:tcBorders>
            <w:shd w:val="clear" w:color="000000" w:fill="FFFFFF"/>
            <w:noWrap/>
            <w:vAlign w:val="center"/>
            <w:hideMark/>
          </w:tcPr>
          <w:p w14:paraId="4511BBD9"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546058AF"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Comisión Nacional para Prevenir y Erradicar la Violencia Contra las Mujeres (CONAVIM)</w:t>
            </w:r>
          </w:p>
        </w:tc>
        <w:tc>
          <w:tcPr>
            <w:tcW w:w="497" w:type="pct"/>
            <w:tcBorders>
              <w:top w:val="nil"/>
              <w:left w:val="nil"/>
              <w:bottom w:val="nil"/>
              <w:right w:val="nil"/>
            </w:tcBorders>
            <w:shd w:val="clear" w:color="000000" w:fill="FFFFFF"/>
            <w:noWrap/>
            <w:vAlign w:val="center"/>
            <w:hideMark/>
          </w:tcPr>
          <w:p w14:paraId="0F371E2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7</w:t>
            </w:r>
          </w:p>
        </w:tc>
        <w:tc>
          <w:tcPr>
            <w:tcW w:w="497" w:type="pct"/>
            <w:tcBorders>
              <w:top w:val="nil"/>
              <w:left w:val="nil"/>
              <w:bottom w:val="nil"/>
              <w:right w:val="nil"/>
            </w:tcBorders>
            <w:shd w:val="clear" w:color="000000" w:fill="FFFFFF"/>
            <w:noWrap/>
            <w:vAlign w:val="center"/>
          </w:tcPr>
          <w:p w14:paraId="508C52D9"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32532DC4"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3C0F975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3D2E987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3F9CB4BF"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72F0C5C1" w14:textId="77777777" w:rsidTr="005A7CAD">
        <w:trPr>
          <w:trHeight w:val="300"/>
        </w:trPr>
        <w:tc>
          <w:tcPr>
            <w:tcW w:w="284" w:type="pct"/>
            <w:tcBorders>
              <w:top w:val="nil"/>
              <w:left w:val="nil"/>
              <w:bottom w:val="nil"/>
              <w:right w:val="nil"/>
            </w:tcBorders>
            <w:shd w:val="clear" w:color="000000" w:fill="FFFFFF"/>
            <w:noWrap/>
            <w:vAlign w:val="center"/>
            <w:hideMark/>
          </w:tcPr>
          <w:p w14:paraId="1248B1E1"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09DCCBB3"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Instituto Nacional de Migración (INM)</w:t>
            </w:r>
          </w:p>
        </w:tc>
        <w:tc>
          <w:tcPr>
            <w:tcW w:w="497" w:type="pct"/>
            <w:tcBorders>
              <w:top w:val="nil"/>
              <w:left w:val="nil"/>
              <w:bottom w:val="nil"/>
              <w:right w:val="nil"/>
            </w:tcBorders>
            <w:shd w:val="clear" w:color="000000" w:fill="FFFFFF"/>
            <w:noWrap/>
            <w:vAlign w:val="center"/>
            <w:hideMark/>
          </w:tcPr>
          <w:p w14:paraId="767F460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497" w:type="pct"/>
            <w:tcBorders>
              <w:top w:val="nil"/>
              <w:left w:val="nil"/>
              <w:bottom w:val="nil"/>
              <w:right w:val="nil"/>
            </w:tcBorders>
            <w:shd w:val="clear" w:color="000000" w:fill="FFFFFF"/>
            <w:noWrap/>
            <w:vAlign w:val="center"/>
          </w:tcPr>
          <w:p w14:paraId="0BAE56A2"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hideMark/>
          </w:tcPr>
          <w:p w14:paraId="3A3E417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781" w:type="pct"/>
            <w:tcBorders>
              <w:top w:val="nil"/>
              <w:left w:val="nil"/>
              <w:bottom w:val="nil"/>
              <w:right w:val="nil"/>
            </w:tcBorders>
            <w:shd w:val="clear" w:color="000000" w:fill="FFFFFF"/>
            <w:noWrap/>
            <w:vAlign w:val="center"/>
          </w:tcPr>
          <w:p w14:paraId="0162706A"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387F417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05002DFC"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2E68B766" w14:textId="77777777" w:rsidTr="005A7CAD">
        <w:trPr>
          <w:trHeight w:val="300"/>
        </w:trPr>
        <w:tc>
          <w:tcPr>
            <w:tcW w:w="284" w:type="pct"/>
            <w:tcBorders>
              <w:top w:val="nil"/>
              <w:left w:val="nil"/>
              <w:bottom w:val="nil"/>
              <w:right w:val="nil"/>
            </w:tcBorders>
            <w:shd w:val="clear" w:color="000000" w:fill="FFFFFF"/>
            <w:noWrap/>
            <w:vAlign w:val="center"/>
            <w:hideMark/>
          </w:tcPr>
          <w:p w14:paraId="19DF7992"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2D47A4A4"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Secretaría de Gobernación (SEGOB)</w:t>
            </w:r>
          </w:p>
        </w:tc>
        <w:tc>
          <w:tcPr>
            <w:tcW w:w="497" w:type="pct"/>
            <w:tcBorders>
              <w:top w:val="nil"/>
              <w:left w:val="nil"/>
              <w:bottom w:val="nil"/>
              <w:right w:val="nil"/>
            </w:tcBorders>
            <w:shd w:val="clear" w:color="000000" w:fill="FFFFFF"/>
            <w:noWrap/>
            <w:vAlign w:val="center"/>
            <w:hideMark/>
          </w:tcPr>
          <w:p w14:paraId="3083EFCF"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9</w:t>
            </w:r>
          </w:p>
        </w:tc>
        <w:tc>
          <w:tcPr>
            <w:tcW w:w="497" w:type="pct"/>
            <w:tcBorders>
              <w:top w:val="nil"/>
              <w:left w:val="nil"/>
              <w:bottom w:val="nil"/>
              <w:right w:val="nil"/>
            </w:tcBorders>
            <w:shd w:val="clear" w:color="000000" w:fill="FFFFFF"/>
            <w:noWrap/>
            <w:vAlign w:val="center"/>
          </w:tcPr>
          <w:p w14:paraId="5093B5EF"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4DB77494"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12003B0B"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2DE5D057"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64766E0C"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44F57852" w14:textId="77777777" w:rsidTr="005A7CAD">
        <w:trPr>
          <w:trHeight w:val="300"/>
        </w:trPr>
        <w:tc>
          <w:tcPr>
            <w:tcW w:w="284" w:type="pct"/>
            <w:tcBorders>
              <w:top w:val="nil"/>
              <w:left w:val="nil"/>
              <w:bottom w:val="nil"/>
              <w:right w:val="nil"/>
            </w:tcBorders>
            <w:shd w:val="clear" w:color="000000" w:fill="FFFFFF"/>
            <w:noWrap/>
            <w:vAlign w:val="center"/>
            <w:hideMark/>
          </w:tcPr>
          <w:p w14:paraId="02509342"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682DFE3A"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Secretariado Ejecutivo del Sistema Nacional de Seguridad Pública (SESNSP)</w:t>
            </w:r>
          </w:p>
        </w:tc>
        <w:tc>
          <w:tcPr>
            <w:tcW w:w="497" w:type="pct"/>
            <w:tcBorders>
              <w:top w:val="nil"/>
              <w:left w:val="nil"/>
              <w:bottom w:val="nil"/>
              <w:right w:val="nil"/>
            </w:tcBorders>
            <w:shd w:val="clear" w:color="000000" w:fill="FFFFFF"/>
            <w:noWrap/>
            <w:vAlign w:val="center"/>
            <w:hideMark/>
          </w:tcPr>
          <w:p w14:paraId="477EDA3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497" w:type="pct"/>
            <w:tcBorders>
              <w:top w:val="nil"/>
              <w:left w:val="nil"/>
              <w:bottom w:val="nil"/>
              <w:right w:val="nil"/>
            </w:tcBorders>
            <w:shd w:val="clear" w:color="000000" w:fill="FFFFFF"/>
            <w:noWrap/>
            <w:vAlign w:val="center"/>
          </w:tcPr>
          <w:p w14:paraId="6885D348"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71075B8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42502DBA"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18F71C01"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5AFA0743"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377803B1" w14:textId="77777777" w:rsidTr="005A7CAD">
        <w:trPr>
          <w:trHeight w:val="300"/>
        </w:trPr>
        <w:tc>
          <w:tcPr>
            <w:tcW w:w="1920" w:type="pct"/>
            <w:gridSpan w:val="2"/>
            <w:tcBorders>
              <w:top w:val="nil"/>
              <w:left w:val="nil"/>
              <w:bottom w:val="nil"/>
              <w:right w:val="nil"/>
            </w:tcBorders>
            <w:shd w:val="clear" w:color="000000" w:fill="F2F2F2"/>
            <w:noWrap/>
            <w:vAlign w:val="center"/>
            <w:hideMark/>
          </w:tcPr>
          <w:p w14:paraId="1815B99C"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05 Relaciones Exteriores</w:t>
            </w:r>
          </w:p>
        </w:tc>
        <w:tc>
          <w:tcPr>
            <w:tcW w:w="497" w:type="pct"/>
            <w:tcBorders>
              <w:top w:val="nil"/>
              <w:left w:val="nil"/>
              <w:bottom w:val="nil"/>
              <w:right w:val="nil"/>
            </w:tcBorders>
            <w:shd w:val="clear" w:color="000000" w:fill="F2F2F2"/>
            <w:noWrap/>
            <w:vAlign w:val="center"/>
            <w:hideMark/>
          </w:tcPr>
          <w:p w14:paraId="147E44A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497" w:type="pct"/>
            <w:tcBorders>
              <w:top w:val="nil"/>
              <w:left w:val="nil"/>
              <w:bottom w:val="nil"/>
              <w:right w:val="nil"/>
            </w:tcBorders>
            <w:shd w:val="clear" w:color="000000" w:fill="F2F2F2"/>
            <w:noWrap/>
            <w:vAlign w:val="center"/>
          </w:tcPr>
          <w:p w14:paraId="4B1C903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2F2F2"/>
            <w:noWrap/>
            <w:vAlign w:val="center"/>
          </w:tcPr>
          <w:p w14:paraId="21D6384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2F2F2"/>
            <w:noWrap/>
            <w:vAlign w:val="center"/>
          </w:tcPr>
          <w:p w14:paraId="32398D2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2F2F2"/>
            <w:noWrap/>
            <w:vAlign w:val="center"/>
            <w:hideMark/>
          </w:tcPr>
          <w:p w14:paraId="64E9D69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360" w:type="pct"/>
            <w:tcBorders>
              <w:top w:val="nil"/>
              <w:left w:val="nil"/>
              <w:bottom w:val="nil"/>
              <w:right w:val="nil"/>
            </w:tcBorders>
            <w:shd w:val="clear" w:color="000000" w:fill="F2F2F2"/>
            <w:noWrap/>
            <w:vAlign w:val="center"/>
            <w:hideMark/>
          </w:tcPr>
          <w:p w14:paraId="79D9E6C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0.5</w:t>
            </w:r>
          </w:p>
        </w:tc>
      </w:tr>
      <w:tr w:rsidR="00F77FE5" w:rsidRPr="00F77FE5" w14:paraId="1CC763EF" w14:textId="77777777" w:rsidTr="005A7CAD">
        <w:trPr>
          <w:trHeight w:val="300"/>
        </w:trPr>
        <w:tc>
          <w:tcPr>
            <w:tcW w:w="284" w:type="pct"/>
            <w:tcBorders>
              <w:top w:val="nil"/>
              <w:left w:val="nil"/>
              <w:bottom w:val="nil"/>
              <w:right w:val="nil"/>
            </w:tcBorders>
            <w:shd w:val="clear" w:color="000000" w:fill="FFFFFF"/>
            <w:noWrap/>
            <w:vAlign w:val="center"/>
            <w:hideMark/>
          </w:tcPr>
          <w:p w14:paraId="12326037"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31A1D953"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Secretaría de Relaciones Exteriores (SRE)</w:t>
            </w:r>
          </w:p>
        </w:tc>
        <w:tc>
          <w:tcPr>
            <w:tcW w:w="497" w:type="pct"/>
            <w:tcBorders>
              <w:top w:val="nil"/>
              <w:left w:val="nil"/>
              <w:bottom w:val="nil"/>
              <w:right w:val="nil"/>
            </w:tcBorders>
            <w:shd w:val="clear" w:color="000000" w:fill="FFFFFF"/>
            <w:noWrap/>
            <w:vAlign w:val="center"/>
            <w:hideMark/>
          </w:tcPr>
          <w:p w14:paraId="291B199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497" w:type="pct"/>
            <w:tcBorders>
              <w:top w:val="nil"/>
              <w:left w:val="nil"/>
              <w:bottom w:val="nil"/>
              <w:right w:val="nil"/>
            </w:tcBorders>
            <w:shd w:val="clear" w:color="000000" w:fill="FFFFFF"/>
            <w:noWrap/>
            <w:vAlign w:val="center"/>
          </w:tcPr>
          <w:p w14:paraId="0FB1D143"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33B5A02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59CEB7F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6A743B7F"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081B5CE5"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014B4E57" w14:textId="77777777" w:rsidTr="005A7CAD">
        <w:trPr>
          <w:trHeight w:val="300"/>
        </w:trPr>
        <w:tc>
          <w:tcPr>
            <w:tcW w:w="1920" w:type="pct"/>
            <w:gridSpan w:val="2"/>
            <w:tcBorders>
              <w:top w:val="nil"/>
              <w:left w:val="nil"/>
              <w:bottom w:val="nil"/>
              <w:right w:val="nil"/>
            </w:tcBorders>
            <w:shd w:val="clear" w:color="000000" w:fill="F2F2F2"/>
            <w:noWrap/>
            <w:vAlign w:val="center"/>
            <w:hideMark/>
          </w:tcPr>
          <w:p w14:paraId="285177C8"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06 Hacienda y Crédito Público</w:t>
            </w:r>
          </w:p>
        </w:tc>
        <w:tc>
          <w:tcPr>
            <w:tcW w:w="497" w:type="pct"/>
            <w:tcBorders>
              <w:top w:val="nil"/>
              <w:left w:val="nil"/>
              <w:bottom w:val="nil"/>
              <w:right w:val="nil"/>
            </w:tcBorders>
            <w:shd w:val="clear" w:color="000000" w:fill="F2F2F2"/>
            <w:noWrap/>
            <w:vAlign w:val="center"/>
            <w:hideMark/>
          </w:tcPr>
          <w:p w14:paraId="586CF0B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6</w:t>
            </w:r>
          </w:p>
        </w:tc>
        <w:tc>
          <w:tcPr>
            <w:tcW w:w="497" w:type="pct"/>
            <w:tcBorders>
              <w:top w:val="nil"/>
              <w:left w:val="nil"/>
              <w:bottom w:val="nil"/>
              <w:right w:val="nil"/>
            </w:tcBorders>
            <w:shd w:val="clear" w:color="000000" w:fill="F2F2F2"/>
            <w:noWrap/>
            <w:vAlign w:val="center"/>
            <w:hideMark/>
          </w:tcPr>
          <w:p w14:paraId="665BC47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640" w:type="pct"/>
            <w:tcBorders>
              <w:top w:val="nil"/>
              <w:left w:val="nil"/>
              <w:bottom w:val="nil"/>
              <w:right w:val="nil"/>
            </w:tcBorders>
            <w:shd w:val="clear" w:color="000000" w:fill="F2F2F2"/>
            <w:noWrap/>
            <w:vAlign w:val="center"/>
            <w:hideMark/>
          </w:tcPr>
          <w:p w14:paraId="698D1292"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781" w:type="pct"/>
            <w:tcBorders>
              <w:top w:val="nil"/>
              <w:left w:val="nil"/>
              <w:bottom w:val="nil"/>
              <w:right w:val="nil"/>
            </w:tcBorders>
            <w:shd w:val="clear" w:color="000000" w:fill="F2F2F2"/>
            <w:noWrap/>
            <w:vAlign w:val="center"/>
            <w:hideMark/>
          </w:tcPr>
          <w:p w14:paraId="640E6937"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2F2F2"/>
            <w:noWrap/>
            <w:vAlign w:val="center"/>
            <w:hideMark/>
          </w:tcPr>
          <w:p w14:paraId="17E75EB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w:t>
            </w:r>
          </w:p>
        </w:tc>
        <w:tc>
          <w:tcPr>
            <w:tcW w:w="360" w:type="pct"/>
            <w:tcBorders>
              <w:top w:val="nil"/>
              <w:left w:val="nil"/>
              <w:bottom w:val="nil"/>
              <w:right w:val="nil"/>
            </w:tcBorders>
            <w:shd w:val="clear" w:color="000000" w:fill="F2F2F2"/>
            <w:noWrap/>
            <w:vAlign w:val="center"/>
            <w:hideMark/>
          </w:tcPr>
          <w:p w14:paraId="22285B82"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1.6</w:t>
            </w:r>
          </w:p>
        </w:tc>
      </w:tr>
      <w:tr w:rsidR="00F77FE5" w:rsidRPr="00F77FE5" w14:paraId="263C7EBE" w14:textId="77777777" w:rsidTr="005A7CAD">
        <w:trPr>
          <w:trHeight w:val="300"/>
        </w:trPr>
        <w:tc>
          <w:tcPr>
            <w:tcW w:w="284" w:type="pct"/>
            <w:tcBorders>
              <w:top w:val="nil"/>
              <w:left w:val="nil"/>
              <w:bottom w:val="nil"/>
              <w:right w:val="nil"/>
            </w:tcBorders>
            <w:shd w:val="clear" w:color="000000" w:fill="FFFFFF"/>
            <w:noWrap/>
            <w:vAlign w:val="center"/>
            <w:hideMark/>
          </w:tcPr>
          <w:p w14:paraId="4109175A"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lastRenderedPageBreak/>
              <w:t> </w:t>
            </w:r>
          </w:p>
        </w:tc>
        <w:tc>
          <w:tcPr>
            <w:tcW w:w="1636" w:type="pct"/>
            <w:tcBorders>
              <w:top w:val="nil"/>
              <w:left w:val="nil"/>
              <w:bottom w:val="nil"/>
              <w:right w:val="nil"/>
            </w:tcBorders>
            <w:shd w:val="clear" w:color="000000" w:fill="FFFFFF"/>
            <w:noWrap/>
            <w:vAlign w:val="center"/>
            <w:hideMark/>
          </w:tcPr>
          <w:p w14:paraId="14D1B6EF"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Banco del Ahorro Nacional y Servicios Financieros (BANSEFI)</w:t>
            </w:r>
          </w:p>
        </w:tc>
        <w:tc>
          <w:tcPr>
            <w:tcW w:w="497" w:type="pct"/>
            <w:tcBorders>
              <w:top w:val="nil"/>
              <w:left w:val="nil"/>
              <w:bottom w:val="nil"/>
              <w:right w:val="nil"/>
            </w:tcBorders>
            <w:shd w:val="clear" w:color="000000" w:fill="FFFFFF"/>
            <w:noWrap/>
            <w:vAlign w:val="center"/>
            <w:hideMark/>
          </w:tcPr>
          <w:p w14:paraId="4C63A89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497" w:type="pct"/>
            <w:tcBorders>
              <w:top w:val="nil"/>
              <w:left w:val="nil"/>
              <w:bottom w:val="nil"/>
              <w:right w:val="nil"/>
            </w:tcBorders>
            <w:shd w:val="clear" w:color="000000" w:fill="FFFFFF"/>
            <w:noWrap/>
            <w:vAlign w:val="center"/>
          </w:tcPr>
          <w:p w14:paraId="2647AAC8"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266F932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216CE023"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68DF758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5FADB66E"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2562F557" w14:textId="77777777" w:rsidTr="005A7CAD">
        <w:trPr>
          <w:trHeight w:val="300"/>
        </w:trPr>
        <w:tc>
          <w:tcPr>
            <w:tcW w:w="284" w:type="pct"/>
            <w:tcBorders>
              <w:top w:val="nil"/>
              <w:left w:val="nil"/>
              <w:bottom w:val="nil"/>
              <w:right w:val="nil"/>
            </w:tcBorders>
            <w:shd w:val="clear" w:color="000000" w:fill="FFFFFF"/>
            <w:noWrap/>
            <w:vAlign w:val="center"/>
            <w:hideMark/>
          </w:tcPr>
          <w:p w14:paraId="79D6FE42"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47E535DE" w14:textId="77777777" w:rsidR="00F77FE5" w:rsidRPr="00F77FE5" w:rsidRDefault="00F77FE5" w:rsidP="00F77FE5">
            <w:pPr>
              <w:spacing w:after="0"/>
              <w:rPr>
                <w:rFonts w:eastAsia="Times New Roman" w:cs="Calibri"/>
                <w:color w:val="000000"/>
                <w:sz w:val="12"/>
                <w:szCs w:val="12"/>
                <w:lang w:val="es-MX" w:eastAsia="es-MX"/>
              </w:rPr>
            </w:pPr>
            <w:proofErr w:type="spellStart"/>
            <w:r w:rsidRPr="00F77FE5">
              <w:rPr>
                <w:rFonts w:eastAsia="Times New Roman" w:cs="Calibri"/>
                <w:color w:val="000000"/>
                <w:sz w:val="12"/>
                <w:szCs w:val="12"/>
                <w:lang w:val="es-MX" w:eastAsia="es-MX"/>
              </w:rPr>
              <w:t>Agroasemex</w:t>
            </w:r>
            <w:proofErr w:type="spellEnd"/>
            <w:r w:rsidRPr="00F77FE5">
              <w:rPr>
                <w:rFonts w:eastAsia="Times New Roman" w:cs="Calibri"/>
                <w:color w:val="000000"/>
                <w:sz w:val="12"/>
                <w:szCs w:val="12"/>
                <w:lang w:val="es-MX" w:eastAsia="es-MX"/>
              </w:rPr>
              <w:t>, S.A. (AGROASEMEX)</w:t>
            </w:r>
          </w:p>
        </w:tc>
        <w:tc>
          <w:tcPr>
            <w:tcW w:w="497" w:type="pct"/>
            <w:tcBorders>
              <w:top w:val="nil"/>
              <w:left w:val="nil"/>
              <w:bottom w:val="nil"/>
              <w:right w:val="nil"/>
            </w:tcBorders>
            <w:shd w:val="clear" w:color="000000" w:fill="FFFFFF"/>
            <w:noWrap/>
            <w:vAlign w:val="center"/>
            <w:hideMark/>
          </w:tcPr>
          <w:p w14:paraId="3F50644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497" w:type="pct"/>
            <w:tcBorders>
              <w:top w:val="nil"/>
              <w:left w:val="nil"/>
              <w:bottom w:val="nil"/>
              <w:right w:val="nil"/>
            </w:tcBorders>
            <w:shd w:val="clear" w:color="000000" w:fill="FFFFFF"/>
            <w:noWrap/>
            <w:vAlign w:val="center"/>
          </w:tcPr>
          <w:p w14:paraId="0A2407CF"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234C480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4073CE0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35B3665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3E6AE1BD"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0D537DBA" w14:textId="77777777" w:rsidTr="005A7CAD">
        <w:trPr>
          <w:trHeight w:val="300"/>
        </w:trPr>
        <w:tc>
          <w:tcPr>
            <w:tcW w:w="284" w:type="pct"/>
            <w:tcBorders>
              <w:top w:val="nil"/>
              <w:left w:val="nil"/>
              <w:bottom w:val="nil"/>
              <w:right w:val="nil"/>
            </w:tcBorders>
            <w:shd w:val="clear" w:color="000000" w:fill="FFFFFF"/>
            <w:noWrap/>
            <w:vAlign w:val="center"/>
            <w:hideMark/>
          </w:tcPr>
          <w:p w14:paraId="606AD0BD"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7CD6BD18"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Financiera Nacional de Desarrollo Agropecuario, Rural, Forestal, y Pesquero (FND)</w:t>
            </w:r>
          </w:p>
        </w:tc>
        <w:tc>
          <w:tcPr>
            <w:tcW w:w="497" w:type="pct"/>
            <w:tcBorders>
              <w:top w:val="nil"/>
              <w:left w:val="nil"/>
              <w:bottom w:val="nil"/>
              <w:right w:val="nil"/>
            </w:tcBorders>
            <w:shd w:val="clear" w:color="000000" w:fill="FFFFFF"/>
            <w:noWrap/>
            <w:vAlign w:val="center"/>
            <w:hideMark/>
          </w:tcPr>
          <w:p w14:paraId="55214B23"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497" w:type="pct"/>
            <w:tcBorders>
              <w:top w:val="nil"/>
              <w:left w:val="nil"/>
              <w:bottom w:val="nil"/>
              <w:right w:val="nil"/>
            </w:tcBorders>
            <w:shd w:val="clear" w:color="000000" w:fill="FFFFFF"/>
            <w:noWrap/>
            <w:vAlign w:val="center"/>
          </w:tcPr>
          <w:p w14:paraId="794C5CA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018B2B78"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530F421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0B66EEE8"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06E7FFF8"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676071E6" w14:textId="77777777" w:rsidTr="005A7CAD">
        <w:trPr>
          <w:trHeight w:val="300"/>
        </w:trPr>
        <w:tc>
          <w:tcPr>
            <w:tcW w:w="284" w:type="pct"/>
            <w:tcBorders>
              <w:top w:val="nil"/>
              <w:left w:val="nil"/>
              <w:bottom w:val="nil"/>
              <w:right w:val="nil"/>
            </w:tcBorders>
            <w:shd w:val="clear" w:color="000000" w:fill="FFFFFF"/>
            <w:noWrap/>
            <w:vAlign w:val="center"/>
            <w:hideMark/>
          </w:tcPr>
          <w:p w14:paraId="570AF7A0"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5ACA91A9"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Secretaría de Hacienda y Crédito Público (SHCP)</w:t>
            </w:r>
          </w:p>
        </w:tc>
        <w:tc>
          <w:tcPr>
            <w:tcW w:w="497" w:type="pct"/>
            <w:tcBorders>
              <w:top w:val="nil"/>
              <w:left w:val="nil"/>
              <w:bottom w:val="nil"/>
              <w:right w:val="nil"/>
            </w:tcBorders>
            <w:shd w:val="clear" w:color="000000" w:fill="FFFFFF"/>
            <w:noWrap/>
            <w:vAlign w:val="center"/>
            <w:hideMark/>
          </w:tcPr>
          <w:p w14:paraId="2842E6C0" w14:textId="77777777" w:rsidR="00F77FE5" w:rsidRPr="00F77FE5" w:rsidRDefault="00F77FE5" w:rsidP="00F77FE5">
            <w:pPr>
              <w:spacing w:after="0"/>
              <w:jc w:val="center"/>
              <w:rPr>
                <w:rFonts w:eastAsia="Times New Roman" w:cs="Calibri"/>
                <w:color w:val="000000"/>
                <w:sz w:val="12"/>
                <w:szCs w:val="12"/>
                <w:lang w:val="es-MX" w:eastAsia="es-MX"/>
              </w:rPr>
            </w:pPr>
          </w:p>
        </w:tc>
        <w:tc>
          <w:tcPr>
            <w:tcW w:w="497" w:type="pct"/>
            <w:tcBorders>
              <w:top w:val="nil"/>
              <w:left w:val="nil"/>
              <w:bottom w:val="nil"/>
              <w:right w:val="nil"/>
            </w:tcBorders>
            <w:shd w:val="clear" w:color="000000" w:fill="FFFFFF"/>
            <w:noWrap/>
            <w:vAlign w:val="center"/>
            <w:hideMark/>
          </w:tcPr>
          <w:p w14:paraId="299B0BDF"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640" w:type="pct"/>
            <w:tcBorders>
              <w:top w:val="nil"/>
              <w:left w:val="nil"/>
              <w:bottom w:val="nil"/>
              <w:right w:val="nil"/>
            </w:tcBorders>
            <w:shd w:val="clear" w:color="000000" w:fill="FFFFFF"/>
            <w:noWrap/>
            <w:vAlign w:val="center"/>
            <w:hideMark/>
          </w:tcPr>
          <w:p w14:paraId="3C2345B9"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hideMark/>
          </w:tcPr>
          <w:p w14:paraId="3036B0A3"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3D231C4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0701B3EE"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1023AC4B" w14:textId="77777777" w:rsidTr="005A7CAD">
        <w:trPr>
          <w:trHeight w:val="300"/>
        </w:trPr>
        <w:tc>
          <w:tcPr>
            <w:tcW w:w="284" w:type="pct"/>
            <w:tcBorders>
              <w:top w:val="nil"/>
              <w:left w:val="nil"/>
              <w:bottom w:val="nil"/>
              <w:right w:val="nil"/>
            </w:tcBorders>
            <w:shd w:val="clear" w:color="000000" w:fill="FFFFFF"/>
            <w:noWrap/>
            <w:vAlign w:val="center"/>
            <w:hideMark/>
          </w:tcPr>
          <w:p w14:paraId="79FE667C"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2FAE8C66"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Servicio de Administración y Enajenación de Bienes (SAE)</w:t>
            </w:r>
          </w:p>
        </w:tc>
        <w:tc>
          <w:tcPr>
            <w:tcW w:w="497" w:type="pct"/>
            <w:tcBorders>
              <w:top w:val="nil"/>
              <w:left w:val="nil"/>
              <w:bottom w:val="nil"/>
              <w:right w:val="nil"/>
            </w:tcBorders>
            <w:shd w:val="clear" w:color="000000" w:fill="FFFFFF"/>
            <w:noWrap/>
            <w:vAlign w:val="center"/>
            <w:hideMark/>
          </w:tcPr>
          <w:p w14:paraId="564CE78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497" w:type="pct"/>
            <w:tcBorders>
              <w:top w:val="nil"/>
              <w:left w:val="nil"/>
              <w:bottom w:val="nil"/>
              <w:right w:val="nil"/>
            </w:tcBorders>
            <w:shd w:val="clear" w:color="000000" w:fill="FFFFFF"/>
            <w:noWrap/>
            <w:vAlign w:val="center"/>
            <w:hideMark/>
          </w:tcPr>
          <w:p w14:paraId="5F5A913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640" w:type="pct"/>
            <w:tcBorders>
              <w:top w:val="nil"/>
              <w:left w:val="nil"/>
              <w:bottom w:val="nil"/>
              <w:right w:val="nil"/>
            </w:tcBorders>
            <w:shd w:val="clear" w:color="000000" w:fill="FFFFFF"/>
            <w:noWrap/>
            <w:vAlign w:val="center"/>
            <w:hideMark/>
          </w:tcPr>
          <w:p w14:paraId="3081B1CA"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781" w:type="pct"/>
            <w:tcBorders>
              <w:top w:val="nil"/>
              <w:left w:val="nil"/>
              <w:bottom w:val="nil"/>
              <w:right w:val="nil"/>
            </w:tcBorders>
            <w:shd w:val="clear" w:color="000000" w:fill="FFFFFF"/>
            <w:noWrap/>
            <w:vAlign w:val="center"/>
            <w:hideMark/>
          </w:tcPr>
          <w:p w14:paraId="7A8E5EC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42D80F87"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75D89045"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521B9918" w14:textId="77777777" w:rsidTr="005A7CAD">
        <w:trPr>
          <w:trHeight w:val="300"/>
        </w:trPr>
        <w:tc>
          <w:tcPr>
            <w:tcW w:w="284" w:type="pct"/>
            <w:tcBorders>
              <w:top w:val="nil"/>
              <w:left w:val="nil"/>
              <w:bottom w:val="nil"/>
              <w:right w:val="nil"/>
            </w:tcBorders>
            <w:shd w:val="clear" w:color="000000" w:fill="FFFFFF"/>
            <w:noWrap/>
            <w:vAlign w:val="center"/>
            <w:hideMark/>
          </w:tcPr>
          <w:p w14:paraId="43956B39"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563F4977"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Tesorería de la Federación (TESOFE)</w:t>
            </w:r>
          </w:p>
        </w:tc>
        <w:tc>
          <w:tcPr>
            <w:tcW w:w="497" w:type="pct"/>
            <w:tcBorders>
              <w:top w:val="nil"/>
              <w:left w:val="nil"/>
              <w:bottom w:val="nil"/>
              <w:right w:val="nil"/>
            </w:tcBorders>
            <w:shd w:val="clear" w:color="000000" w:fill="FFFFFF"/>
            <w:noWrap/>
            <w:vAlign w:val="center"/>
            <w:hideMark/>
          </w:tcPr>
          <w:p w14:paraId="54F23950"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497" w:type="pct"/>
            <w:tcBorders>
              <w:top w:val="nil"/>
              <w:left w:val="nil"/>
              <w:bottom w:val="nil"/>
              <w:right w:val="nil"/>
            </w:tcBorders>
            <w:shd w:val="clear" w:color="000000" w:fill="FFFFFF"/>
            <w:noWrap/>
            <w:vAlign w:val="center"/>
          </w:tcPr>
          <w:p w14:paraId="6B8D9F28"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331FAD5B"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614A3E38"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7841D317"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104C1703"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43047522" w14:textId="77777777" w:rsidTr="005A7CAD">
        <w:trPr>
          <w:trHeight w:val="300"/>
        </w:trPr>
        <w:tc>
          <w:tcPr>
            <w:tcW w:w="1920" w:type="pct"/>
            <w:gridSpan w:val="2"/>
            <w:tcBorders>
              <w:top w:val="nil"/>
              <w:left w:val="nil"/>
              <w:bottom w:val="nil"/>
              <w:right w:val="nil"/>
            </w:tcBorders>
            <w:shd w:val="clear" w:color="000000" w:fill="F2F2F2"/>
            <w:noWrap/>
            <w:vAlign w:val="center"/>
            <w:hideMark/>
          </w:tcPr>
          <w:p w14:paraId="07CD00BE"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08 Agricultura, Ganadería, Desarrollo Rural, Pesca y Alimentación</w:t>
            </w:r>
          </w:p>
        </w:tc>
        <w:tc>
          <w:tcPr>
            <w:tcW w:w="497" w:type="pct"/>
            <w:tcBorders>
              <w:top w:val="nil"/>
              <w:left w:val="nil"/>
              <w:bottom w:val="nil"/>
              <w:right w:val="nil"/>
            </w:tcBorders>
            <w:shd w:val="clear" w:color="000000" w:fill="F2F2F2"/>
            <w:noWrap/>
            <w:vAlign w:val="center"/>
            <w:hideMark/>
          </w:tcPr>
          <w:p w14:paraId="5EA23663"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11</w:t>
            </w:r>
          </w:p>
        </w:tc>
        <w:tc>
          <w:tcPr>
            <w:tcW w:w="497" w:type="pct"/>
            <w:tcBorders>
              <w:top w:val="nil"/>
              <w:left w:val="nil"/>
              <w:bottom w:val="nil"/>
              <w:right w:val="nil"/>
            </w:tcBorders>
            <w:shd w:val="clear" w:color="000000" w:fill="F2F2F2"/>
            <w:noWrap/>
            <w:vAlign w:val="center"/>
            <w:hideMark/>
          </w:tcPr>
          <w:p w14:paraId="100D6B1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11</w:t>
            </w:r>
          </w:p>
        </w:tc>
        <w:tc>
          <w:tcPr>
            <w:tcW w:w="640" w:type="pct"/>
            <w:tcBorders>
              <w:top w:val="nil"/>
              <w:left w:val="nil"/>
              <w:bottom w:val="nil"/>
              <w:right w:val="nil"/>
            </w:tcBorders>
            <w:shd w:val="clear" w:color="000000" w:fill="F2F2F2"/>
            <w:noWrap/>
            <w:vAlign w:val="center"/>
          </w:tcPr>
          <w:p w14:paraId="6DD296F0"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2F2F2"/>
            <w:noWrap/>
            <w:vAlign w:val="center"/>
          </w:tcPr>
          <w:p w14:paraId="42F574D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2F2F2"/>
            <w:noWrap/>
            <w:vAlign w:val="center"/>
            <w:hideMark/>
          </w:tcPr>
          <w:p w14:paraId="5D912FE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22</w:t>
            </w:r>
          </w:p>
        </w:tc>
        <w:tc>
          <w:tcPr>
            <w:tcW w:w="360" w:type="pct"/>
            <w:tcBorders>
              <w:top w:val="nil"/>
              <w:left w:val="nil"/>
              <w:bottom w:val="nil"/>
              <w:right w:val="nil"/>
            </w:tcBorders>
            <w:shd w:val="clear" w:color="000000" w:fill="F2F2F2"/>
            <w:noWrap/>
            <w:vAlign w:val="center"/>
            <w:hideMark/>
          </w:tcPr>
          <w:p w14:paraId="25E7A72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3.5</w:t>
            </w:r>
          </w:p>
        </w:tc>
      </w:tr>
      <w:tr w:rsidR="00F77FE5" w:rsidRPr="00F77FE5" w14:paraId="5229D6F9" w14:textId="77777777" w:rsidTr="005A7CAD">
        <w:trPr>
          <w:trHeight w:val="300"/>
        </w:trPr>
        <w:tc>
          <w:tcPr>
            <w:tcW w:w="284" w:type="pct"/>
            <w:tcBorders>
              <w:top w:val="nil"/>
              <w:left w:val="nil"/>
              <w:bottom w:val="nil"/>
              <w:right w:val="nil"/>
            </w:tcBorders>
            <w:shd w:val="clear" w:color="000000" w:fill="FFFFFF"/>
            <w:noWrap/>
            <w:vAlign w:val="center"/>
            <w:hideMark/>
          </w:tcPr>
          <w:p w14:paraId="1D0E7DC2"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4FFB3E3D"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Secretaría de Agricultura, Ganadería, Desarrollo Rural, Pesca y Alimentación (SAGARPA)</w:t>
            </w:r>
          </w:p>
        </w:tc>
        <w:tc>
          <w:tcPr>
            <w:tcW w:w="497" w:type="pct"/>
            <w:tcBorders>
              <w:top w:val="nil"/>
              <w:left w:val="nil"/>
              <w:bottom w:val="nil"/>
              <w:right w:val="nil"/>
            </w:tcBorders>
            <w:shd w:val="clear" w:color="000000" w:fill="FFFFFF"/>
            <w:noWrap/>
            <w:vAlign w:val="center"/>
            <w:hideMark/>
          </w:tcPr>
          <w:p w14:paraId="748F7DE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11</w:t>
            </w:r>
          </w:p>
        </w:tc>
        <w:tc>
          <w:tcPr>
            <w:tcW w:w="497" w:type="pct"/>
            <w:tcBorders>
              <w:top w:val="nil"/>
              <w:left w:val="nil"/>
              <w:bottom w:val="nil"/>
              <w:right w:val="nil"/>
            </w:tcBorders>
            <w:shd w:val="clear" w:color="000000" w:fill="FFFFFF"/>
            <w:noWrap/>
            <w:vAlign w:val="center"/>
            <w:hideMark/>
          </w:tcPr>
          <w:p w14:paraId="3FDEF02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11</w:t>
            </w:r>
          </w:p>
        </w:tc>
        <w:tc>
          <w:tcPr>
            <w:tcW w:w="640" w:type="pct"/>
            <w:tcBorders>
              <w:top w:val="nil"/>
              <w:left w:val="nil"/>
              <w:bottom w:val="nil"/>
              <w:right w:val="nil"/>
            </w:tcBorders>
            <w:shd w:val="clear" w:color="000000" w:fill="FFFFFF"/>
            <w:noWrap/>
            <w:vAlign w:val="center"/>
          </w:tcPr>
          <w:p w14:paraId="66AFAFC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7CF84F0B"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5CFD57B3"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7E1A4DDB"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0A146AFB" w14:textId="77777777" w:rsidTr="005A7CAD">
        <w:trPr>
          <w:trHeight w:val="300"/>
        </w:trPr>
        <w:tc>
          <w:tcPr>
            <w:tcW w:w="1920" w:type="pct"/>
            <w:gridSpan w:val="2"/>
            <w:tcBorders>
              <w:top w:val="nil"/>
              <w:left w:val="nil"/>
              <w:bottom w:val="nil"/>
              <w:right w:val="nil"/>
            </w:tcBorders>
            <w:shd w:val="clear" w:color="000000" w:fill="F2F2F2"/>
            <w:noWrap/>
            <w:vAlign w:val="center"/>
            <w:hideMark/>
          </w:tcPr>
          <w:p w14:paraId="2A28F795"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09 Comunicaciones y Transportes</w:t>
            </w:r>
          </w:p>
        </w:tc>
        <w:tc>
          <w:tcPr>
            <w:tcW w:w="497" w:type="pct"/>
            <w:tcBorders>
              <w:top w:val="nil"/>
              <w:left w:val="nil"/>
              <w:bottom w:val="nil"/>
              <w:right w:val="nil"/>
            </w:tcBorders>
            <w:shd w:val="clear" w:color="000000" w:fill="F2F2F2"/>
            <w:noWrap/>
            <w:vAlign w:val="center"/>
            <w:hideMark/>
          </w:tcPr>
          <w:p w14:paraId="00AEE2E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w:t>
            </w:r>
          </w:p>
        </w:tc>
        <w:tc>
          <w:tcPr>
            <w:tcW w:w="497" w:type="pct"/>
            <w:tcBorders>
              <w:top w:val="nil"/>
              <w:left w:val="nil"/>
              <w:bottom w:val="nil"/>
              <w:right w:val="nil"/>
            </w:tcBorders>
            <w:shd w:val="clear" w:color="000000" w:fill="F2F2F2"/>
            <w:noWrap/>
            <w:vAlign w:val="center"/>
            <w:hideMark/>
          </w:tcPr>
          <w:p w14:paraId="50436E3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2F2F2"/>
            <w:noWrap/>
            <w:vAlign w:val="center"/>
          </w:tcPr>
          <w:p w14:paraId="45E90E73"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2F2F2"/>
            <w:noWrap/>
            <w:vAlign w:val="center"/>
          </w:tcPr>
          <w:p w14:paraId="18DC337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2F2F2"/>
            <w:noWrap/>
            <w:vAlign w:val="center"/>
            <w:hideMark/>
          </w:tcPr>
          <w:p w14:paraId="52AFF07E"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w:t>
            </w:r>
          </w:p>
        </w:tc>
        <w:tc>
          <w:tcPr>
            <w:tcW w:w="360" w:type="pct"/>
            <w:tcBorders>
              <w:top w:val="nil"/>
              <w:left w:val="nil"/>
              <w:bottom w:val="nil"/>
              <w:right w:val="nil"/>
            </w:tcBorders>
            <w:shd w:val="clear" w:color="000000" w:fill="F2F2F2"/>
            <w:noWrap/>
            <w:vAlign w:val="center"/>
            <w:hideMark/>
          </w:tcPr>
          <w:p w14:paraId="42A9E073"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1.6</w:t>
            </w:r>
          </w:p>
        </w:tc>
      </w:tr>
      <w:tr w:rsidR="00F77FE5" w:rsidRPr="00F77FE5" w14:paraId="4E502764" w14:textId="77777777" w:rsidTr="005A7CAD">
        <w:trPr>
          <w:trHeight w:val="300"/>
        </w:trPr>
        <w:tc>
          <w:tcPr>
            <w:tcW w:w="284" w:type="pct"/>
            <w:tcBorders>
              <w:top w:val="nil"/>
              <w:left w:val="nil"/>
              <w:bottom w:val="nil"/>
              <w:right w:val="nil"/>
            </w:tcBorders>
            <w:shd w:val="clear" w:color="000000" w:fill="FFFFFF"/>
            <w:noWrap/>
            <w:vAlign w:val="center"/>
            <w:hideMark/>
          </w:tcPr>
          <w:p w14:paraId="4C58D26F"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068DCF75"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Ferrocarril del Istmo de Tehuantepec, S.A. de C.V. (FIT)</w:t>
            </w:r>
          </w:p>
        </w:tc>
        <w:tc>
          <w:tcPr>
            <w:tcW w:w="497" w:type="pct"/>
            <w:tcBorders>
              <w:top w:val="nil"/>
              <w:left w:val="nil"/>
              <w:bottom w:val="nil"/>
              <w:right w:val="nil"/>
            </w:tcBorders>
            <w:shd w:val="clear" w:color="000000" w:fill="FFFFFF"/>
            <w:noWrap/>
            <w:vAlign w:val="center"/>
            <w:hideMark/>
          </w:tcPr>
          <w:p w14:paraId="095C7AE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497" w:type="pct"/>
            <w:tcBorders>
              <w:top w:val="nil"/>
              <w:left w:val="nil"/>
              <w:bottom w:val="nil"/>
              <w:right w:val="nil"/>
            </w:tcBorders>
            <w:shd w:val="clear" w:color="000000" w:fill="FFFFFF"/>
            <w:noWrap/>
            <w:vAlign w:val="center"/>
          </w:tcPr>
          <w:p w14:paraId="3BE3704B"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1F57C391"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04F64EBF"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7837AA48"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0A8C9581"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018D27F4" w14:textId="77777777" w:rsidTr="005A7CAD">
        <w:trPr>
          <w:trHeight w:val="300"/>
        </w:trPr>
        <w:tc>
          <w:tcPr>
            <w:tcW w:w="284" w:type="pct"/>
            <w:tcBorders>
              <w:top w:val="nil"/>
              <w:left w:val="nil"/>
              <w:bottom w:val="nil"/>
              <w:right w:val="nil"/>
            </w:tcBorders>
            <w:shd w:val="clear" w:color="000000" w:fill="FFFFFF"/>
            <w:noWrap/>
            <w:vAlign w:val="center"/>
            <w:hideMark/>
          </w:tcPr>
          <w:p w14:paraId="740403A3"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590C7C06"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Instituto Mexicano del Transporte (IMT)</w:t>
            </w:r>
          </w:p>
        </w:tc>
        <w:tc>
          <w:tcPr>
            <w:tcW w:w="497" w:type="pct"/>
            <w:tcBorders>
              <w:top w:val="nil"/>
              <w:left w:val="nil"/>
              <w:bottom w:val="nil"/>
              <w:right w:val="nil"/>
            </w:tcBorders>
            <w:shd w:val="clear" w:color="000000" w:fill="FFFFFF"/>
            <w:noWrap/>
            <w:vAlign w:val="center"/>
            <w:hideMark/>
          </w:tcPr>
          <w:p w14:paraId="4EFEDD1A"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497" w:type="pct"/>
            <w:tcBorders>
              <w:top w:val="nil"/>
              <w:left w:val="nil"/>
              <w:bottom w:val="nil"/>
              <w:right w:val="nil"/>
            </w:tcBorders>
            <w:shd w:val="clear" w:color="000000" w:fill="FFFFFF"/>
            <w:noWrap/>
            <w:vAlign w:val="center"/>
          </w:tcPr>
          <w:p w14:paraId="22751001"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7FF3BCD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44A18DE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04CEB1EA"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088C184E"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704DE482" w14:textId="77777777" w:rsidTr="005A7CAD">
        <w:trPr>
          <w:trHeight w:val="300"/>
        </w:trPr>
        <w:tc>
          <w:tcPr>
            <w:tcW w:w="284" w:type="pct"/>
            <w:tcBorders>
              <w:top w:val="nil"/>
              <w:left w:val="nil"/>
              <w:bottom w:val="nil"/>
              <w:right w:val="nil"/>
            </w:tcBorders>
            <w:shd w:val="clear" w:color="000000" w:fill="FFFFFF"/>
            <w:noWrap/>
            <w:vAlign w:val="center"/>
            <w:hideMark/>
          </w:tcPr>
          <w:p w14:paraId="1F427749"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53E6F579"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Secretaría de Comunicaciones y Transportes (SCT)</w:t>
            </w:r>
          </w:p>
        </w:tc>
        <w:tc>
          <w:tcPr>
            <w:tcW w:w="497" w:type="pct"/>
            <w:tcBorders>
              <w:top w:val="nil"/>
              <w:left w:val="nil"/>
              <w:bottom w:val="nil"/>
              <w:right w:val="nil"/>
            </w:tcBorders>
            <w:shd w:val="clear" w:color="000000" w:fill="FFFFFF"/>
            <w:noWrap/>
            <w:vAlign w:val="center"/>
            <w:hideMark/>
          </w:tcPr>
          <w:p w14:paraId="5E641303"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497" w:type="pct"/>
            <w:tcBorders>
              <w:top w:val="nil"/>
              <w:left w:val="nil"/>
              <w:bottom w:val="nil"/>
              <w:right w:val="nil"/>
            </w:tcBorders>
            <w:shd w:val="clear" w:color="000000" w:fill="FFFFFF"/>
            <w:noWrap/>
            <w:vAlign w:val="center"/>
          </w:tcPr>
          <w:p w14:paraId="403A396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14B8D9B2"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12843AC3"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75CF0E0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235ADFF1"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4CAAB68E" w14:textId="77777777" w:rsidTr="005A7CAD">
        <w:trPr>
          <w:trHeight w:val="300"/>
        </w:trPr>
        <w:tc>
          <w:tcPr>
            <w:tcW w:w="284" w:type="pct"/>
            <w:tcBorders>
              <w:top w:val="nil"/>
              <w:left w:val="nil"/>
              <w:bottom w:val="nil"/>
              <w:right w:val="nil"/>
            </w:tcBorders>
            <w:shd w:val="clear" w:color="000000" w:fill="FFFFFF"/>
            <w:noWrap/>
            <w:vAlign w:val="center"/>
            <w:hideMark/>
          </w:tcPr>
          <w:p w14:paraId="774445C3"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11353178"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Servicios a la Navegación en el Espacio Aéreo Mexicano (SENEAM)</w:t>
            </w:r>
          </w:p>
        </w:tc>
        <w:tc>
          <w:tcPr>
            <w:tcW w:w="497" w:type="pct"/>
            <w:tcBorders>
              <w:top w:val="nil"/>
              <w:left w:val="nil"/>
              <w:bottom w:val="nil"/>
              <w:right w:val="nil"/>
            </w:tcBorders>
            <w:shd w:val="clear" w:color="000000" w:fill="FFFFFF"/>
            <w:noWrap/>
            <w:vAlign w:val="center"/>
            <w:hideMark/>
          </w:tcPr>
          <w:p w14:paraId="40B7842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5</w:t>
            </w:r>
          </w:p>
        </w:tc>
        <w:tc>
          <w:tcPr>
            <w:tcW w:w="497" w:type="pct"/>
            <w:tcBorders>
              <w:top w:val="nil"/>
              <w:left w:val="nil"/>
              <w:bottom w:val="nil"/>
              <w:right w:val="nil"/>
            </w:tcBorders>
            <w:shd w:val="clear" w:color="000000" w:fill="FFFFFF"/>
            <w:noWrap/>
            <w:vAlign w:val="center"/>
          </w:tcPr>
          <w:p w14:paraId="5B56023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0DA0ED34"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71B88DD9"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5026B33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77B743A3"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62A146DB" w14:textId="77777777" w:rsidTr="005A7CAD">
        <w:trPr>
          <w:trHeight w:val="300"/>
        </w:trPr>
        <w:tc>
          <w:tcPr>
            <w:tcW w:w="1920" w:type="pct"/>
            <w:gridSpan w:val="2"/>
            <w:tcBorders>
              <w:top w:val="nil"/>
              <w:left w:val="nil"/>
              <w:bottom w:val="nil"/>
              <w:right w:val="nil"/>
            </w:tcBorders>
            <w:shd w:val="clear" w:color="000000" w:fill="F2F2F2"/>
            <w:noWrap/>
            <w:vAlign w:val="center"/>
            <w:hideMark/>
          </w:tcPr>
          <w:p w14:paraId="4C2A469E"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 Economía</w:t>
            </w:r>
          </w:p>
        </w:tc>
        <w:tc>
          <w:tcPr>
            <w:tcW w:w="497" w:type="pct"/>
            <w:tcBorders>
              <w:top w:val="nil"/>
              <w:left w:val="nil"/>
              <w:bottom w:val="nil"/>
              <w:right w:val="nil"/>
            </w:tcBorders>
            <w:shd w:val="clear" w:color="000000" w:fill="F2F2F2"/>
            <w:noWrap/>
            <w:vAlign w:val="center"/>
            <w:hideMark/>
          </w:tcPr>
          <w:p w14:paraId="0CE3FDD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26</w:t>
            </w:r>
          </w:p>
        </w:tc>
        <w:tc>
          <w:tcPr>
            <w:tcW w:w="497" w:type="pct"/>
            <w:tcBorders>
              <w:top w:val="nil"/>
              <w:left w:val="nil"/>
              <w:bottom w:val="nil"/>
              <w:right w:val="nil"/>
            </w:tcBorders>
            <w:shd w:val="clear" w:color="000000" w:fill="F2F2F2"/>
            <w:noWrap/>
            <w:vAlign w:val="center"/>
            <w:hideMark/>
          </w:tcPr>
          <w:p w14:paraId="218E87F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14</w:t>
            </w:r>
          </w:p>
        </w:tc>
        <w:tc>
          <w:tcPr>
            <w:tcW w:w="640" w:type="pct"/>
            <w:tcBorders>
              <w:top w:val="nil"/>
              <w:left w:val="nil"/>
              <w:bottom w:val="nil"/>
              <w:right w:val="nil"/>
            </w:tcBorders>
            <w:shd w:val="clear" w:color="000000" w:fill="F2F2F2"/>
            <w:noWrap/>
            <w:vAlign w:val="center"/>
          </w:tcPr>
          <w:p w14:paraId="7402B431"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2F2F2"/>
            <w:noWrap/>
            <w:vAlign w:val="center"/>
          </w:tcPr>
          <w:p w14:paraId="26C7B51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2F2F2"/>
            <w:noWrap/>
            <w:vAlign w:val="center"/>
            <w:hideMark/>
          </w:tcPr>
          <w:p w14:paraId="567BD002"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40</w:t>
            </w:r>
          </w:p>
        </w:tc>
        <w:tc>
          <w:tcPr>
            <w:tcW w:w="360" w:type="pct"/>
            <w:tcBorders>
              <w:top w:val="nil"/>
              <w:left w:val="nil"/>
              <w:bottom w:val="nil"/>
              <w:right w:val="nil"/>
            </w:tcBorders>
            <w:shd w:val="clear" w:color="000000" w:fill="F2F2F2"/>
            <w:noWrap/>
            <w:vAlign w:val="center"/>
            <w:hideMark/>
          </w:tcPr>
          <w:p w14:paraId="66E7B89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6.3</w:t>
            </w:r>
          </w:p>
        </w:tc>
      </w:tr>
      <w:tr w:rsidR="00F77FE5" w:rsidRPr="00F77FE5" w14:paraId="4447B84A" w14:textId="77777777" w:rsidTr="005A7CAD">
        <w:trPr>
          <w:trHeight w:val="300"/>
        </w:trPr>
        <w:tc>
          <w:tcPr>
            <w:tcW w:w="284" w:type="pct"/>
            <w:tcBorders>
              <w:top w:val="nil"/>
              <w:left w:val="nil"/>
              <w:bottom w:val="nil"/>
              <w:right w:val="nil"/>
            </w:tcBorders>
            <w:shd w:val="clear" w:color="000000" w:fill="FFFFFF"/>
            <w:noWrap/>
            <w:vAlign w:val="center"/>
            <w:hideMark/>
          </w:tcPr>
          <w:p w14:paraId="60281CC5"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7DE489E7"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Centro Nacional de Metrología (CENAM)</w:t>
            </w:r>
          </w:p>
        </w:tc>
        <w:tc>
          <w:tcPr>
            <w:tcW w:w="497" w:type="pct"/>
            <w:tcBorders>
              <w:top w:val="nil"/>
              <w:left w:val="nil"/>
              <w:bottom w:val="nil"/>
              <w:right w:val="nil"/>
            </w:tcBorders>
            <w:shd w:val="clear" w:color="000000" w:fill="FFFFFF"/>
            <w:noWrap/>
            <w:vAlign w:val="center"/>
            <w:hideMark/>
          </w:tcPr>
          <w:p w14:paraId="438B690A"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497" w:type="pct"/>
            <w:tcBorders>
              <w:top w:val="nil"/>
              <w:left w:val="nil"/>
              <w:bottom w:val="nil"/>
              <w:right w:val="nil"/>
            </w:tcBorders>
            <w:shd w:val="clear" w:color="000000" w:fill="FFFFFF"/>
            <w:noWrap/>
            <w:vAlign w:val="center"/>
          </w:tcPr>
          <w:p w14:paraId="564983D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5D54B051"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14FCF702"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479CCA90"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6513D10C"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6EE8DC0E" w14:textId="77777777" w:rsidTr="005A7CAD">
        <w:trPr>
          <w:trHeight w:val="300"/>
        </w:trPr>
        <w:tc>
          <w:tcPr>
            <w:tcW w:w="284" w:type="pct"/>
            <w:tcBorders>
              <w:top w:val="nil"/>
              <w:left w:val="nil"/>
              <w:bottom w:val="nil"/>
              <w:right w:val="nil"/>
            </w:tcBorders>
            <w:shd w:val="clear" w:color="000000" w:fill="FFFFFF"/>
            <w:noWrap/>
            <w:vAlign w:val="center"/>
            <w:hideMark/>
          </w:tcPr>
          <w:p w14:paraId="0E75BD30"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55E786CB"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Coordinación General del Programa Nacional de Financiamiento al Microempresario (PRONAFIM)</w:t>
            </w:r>
          </w:p>
        </w:tc>
        <w:tc>
          <w:tcPr>
            <w:tcW w:w="497" w:type="pct"/>
            <w:tcBorders>
              <w:top w:val="nil"/>
              <w:left w:val="nil"/>
              <w:bottom w:val="nil"/>
              <w:right w:val="nil"/>
            </w:tcBorders>
            <w:shd w:val="clear" w:color="000000" w:fill="FFFFFF"/>
            <w:noWrap/>
            <w:vAlign w:val="center"/>
            <w:hideMark/>
          </w:tcPr>
          <w:p w14:paraId="2E2B07F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497" w:type="pct"/>
            <w:tcBorders>
              <w:top w:val="nil"/>
              <w:left w:val="nil"/>
              <w:bottom w:val="nil"/>
              <w:right w:val="nil"/>
            </w:tcBorders>
            <w:shd w:val="clear" w:color="000000" w:fill="FFFFFF"/>
            <w:noWrap/>
            <w:vAlign w:val="center"/>
          </w:tcPr>
          <w:p w14:paraId="43DD6FF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211E0DE9"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190864AF"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720B5A8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389CB56D"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26ABCE26" w14:textId="77777777" w:rsidTr="005A7CAD">
        <w:trPr>
          <w:trHeight w:val="300"/>
        </w:trPr>
        <w:tc>
          <w:tcPr>
            <w:tcW w:w="284" w:type="pct"/>
            <w:tcBorders>
              <w:top w:val="nil"/>
              <w:left w:val="nil"/>
              <w:bottom w:val="nil"/>
              <w:right w:val="nil"/>
            </w:tcBorders>
            <w:shd w:val="clear" w:color="000000" w:fill="FFFFFF"/>
            <w:noWrap/>
            <w:vAlign w:val="center"/>
            <w:hideMark/>
          </w:tcPr>
          <w:p w14:paraId="764EED88"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4CFB82B3"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Fideicomiso de Fomento Minero (FOFIMI)</w:t>
            </w:r>
          </w:p>
        </w:tc>
        <w:tc>
          <w:tcPr>
            <w:tcW w:w="497" w:type="pct"/>
            <w:tcBorders>
              <w:top w:val="nil"/>
              <w:left w:val="nil"/>
              <w:bottom w:val="nil"/>
              <w:right w:val="nil"/>
            </w:tcBorders>
            <w:shd w:val="clear" w:color="000000" w:fill="FFFFFF"/>
            <w:noWrap/>
            <w:vAlign w:val="center"/>
            <w:hideMark/>
          </w:tcPr>
          <w:p w14:paraId="67D1F673"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497" w:type="pct"/>
            <w:tcBorders>
              <w:top w:val="nil"/>
              <w:left w:val="nil"/>
              <w:bottom w:val="nil"/>
              <w:right w:val="nil"/>
            </w:tcBorders>
            <w:shd w:val="clear" w:color="000000" w:fill="FFFFFF"/>
            <w:noWrap/>
            <w:vAlign w:val="center"/>
          </w:tcPr>
          <w:p w14:paraId="7CE8896B"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7FECC06F"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389F5830"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5406F8A3"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2A7D5ED5"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47FF868F" w14:textId="77777777" w:rsidTr="005A7CAD">
        <w:trPr>
          <w:trHeight w:val="300"/>
        </w:trPr>
        <w:tc>
          <w:tcPr>
            <w:tcW w:w="284" w:type="pct"/>
            <w:tcBorders>
              <w:top w:val="nil"/>
              <w:left w:val="nil"/>
              <w:bottom w:val="nil"/>
              <w:right w:val="nil"/>
            </w:tcBorders>
            <w:shd w:val="clear" w:color="000000" w:fill="FFFFFF"/>
            <w:noWrap/>
            <w:vAlign w:val="center"/>
            <w:hideMark/>
          </w:tcPr>
          <w:p w14:paraId="28104732"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13881645"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Instituto Mexicano de la Propiedad Industrial (IMPI)</w:t>
            </w:r>
          </w:p>
        </w:tc>
        <w:tc>
          <w:tcPr>
            <w:tcW w:w="497" w:type="pct"/>
            <w:tcBorders>
              <w:top w:val="nil"/>
              <w:left w:val="nil"/>
              <w:bottom w:val="nil"/>
              <w:right w:val="nil"/>
            </w:tcBorders>
            <w:shd w:val="clear" w:color="000000" w:fill="FFFFFF"/>
            <w:noWrap/>
            <w:vAlign w:val="center"/>
            <w:hideMark/>
          </w:tcPr>
          <w:p w14:paraId="66CB0505"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497" w:type="pct"/>
            <w:tcBorders>
              <w:top w:val="nil"/>
              <w:left w:val="nil"/>
              <w:bottom w:val="nil"/>
              <w:right w:val="nil"/>
            </w:tcBorders>
            <w:shd w:val="clear" w:color="000000" w:fill="FFFFFF"/>
            <w:noWrap/>
            <w:vAlign w:val="center"/>
          </w:tcPr>
          <w:p w14:paraId="158C7440"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4854702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6A5F44C8"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63DEAAD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704CA915"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0774D79D" w14:textId="77777777" w:rsidTr="005A7CAD">
        <w:trPr>
          <w:trHeight w:val="300"/>
        </w:trPr>
        <w:tc>
          <w:tcPr>
            <w:tcW w:w="284" w:type="pct"/>
            <w:tcBorders>
              <w:top w:val="nil"/>
              <w:left w:val="nil"/>
              <w:bottom w:val="nil"/>
              <w:right w:val="nil"/>
            </w:tcBorders>
            <w:shd w:val="clear" w:color="000000" w:fill="FFFFFF"/>
            <w:noWrap/>
            <w:vAlign w:val="center"/>
            <w:hideMark/>
          </w:tcPr>
          <w:p w14:paraId="30DA0693"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373AFB16"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Instituto Nacional del Emprendedor (INADEM)</w:t>
            </w:r>
          </w:p>
        </w:tc>
        <w:tc>
          <w:tcPr>
            <w:tcW w:w="497" w:type="pct"/>
            <w:tcBorders>
              <w:top w:val="nil"/>
              <w:left w:val="nil"/>
              <w:bottom w:val="nil"/>
              <w:right w:val="nil"/>
            </w:tcBorders>
            <w:shd w:val="clear" w:color="000000" w:fill="FFFFFF"/>
            <w:noWrap/>
            <w:vAlign w:val="center"/>
            <w:hideMark/>
          </w:tcPr>
          <w:p w14:paraId="6CBF51F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497" w:type="pct"/>
            <w:tcBorders>
              <w:top w:val="nil"/>
              <w:left w:val="nil"/>
              <w:bottom w:val="nil"/>
              <w:right w:val="nil"/>
            </w:tcBorders>
            <w:shd w:val="clear" w:color="000000" w:fill="FFFFFF"/>
            <w:noWrap/>
            <w:vAlign w:val="center"/>
          </w:tcPr>
          <w:p w14:paraId="02B905F8"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0F26B14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5A6B640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64EA6292"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0ED4740D"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71A0A0E0" w14:textId="77777777" w:rsidTr="005A7CAD">
        <w:trPr>
          <w:trHeight w:val="300"/>
        </w:trPr>
        <w:tc>
          <w:tcPr>
            <w:tcW w:w="284" w:type="pct"/>
            <w:tcBorders>
              <w:top w:val="nil"/>
              <w:left w:val="nil"/>
              <w:bottom w:val="nil"/>
              <w:right w:val="nil"/>
            </w:tcBorders>
            <w:shd w:val="clear" w:color="000000" w:fill="FFFFFF"/>
            <w:noWrap/>
            <w:vAlign w:val="center"/>
            <w:hideMark/>
          </w:tcPr>
          <w:p w14:paraId="2880610D"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60180058"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Procuraduría Federal del Consumidor (PROFECO)</w:t>
            </w:r>
          </w:p>
        </w:tc>
        <w:tc>
          <w:tcPr>
            <w:tcW w:w="497" w:type="pct"/>
            <w:tcBorders>
              <w:top w:val="nil"/>
              <w:left w:val="nil"/>
              <w:bottom w:val="nil"/>
              <w:right w:val="nil"/>
            </w:tcBorders>
            <w:shd w:val="clear" w:color="000000" w:fill="FFFFFF"/>
            <w:noWrap/>
            <w:vAlign w:val="center"/>
            <w:hideMark/>
          </w:tcPr>
          <w:p w14:paraId="13D21AE5"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497" w:type="pct"/>
            <w:tcBorders>
              <w:top w:val="nil"/>
              <w:left w:val="nil"/>
              <w:bottom w:val="nil"/>
              <w:right w:val="nil"/>
            </w:tcBorders>
            <w:shd w:val="clear" w:color="000000" w:fill="FFFFFF"/>
            <w:noWrap/>
            <w:vAlign w:val="center"/>
          </w:tcPr>
          <w:p w14:paraId="7E5E7E62"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0A23627A"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0A8592F4"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416349B2"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190F0E34"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33E110C8" w14:textId="77777777" w:rsidTr="005A7CAD">
        <w:trPr>
          <w:trHeight w:val="300"/>
        </w:trPr>
        <w:tc>
          <w:tcPr>
            <w:tcW w:w="284" w:type="pct"/>
            <w:tcBorders>
              <w:top w:val="nil"/>
              <w:left w:val="nil"/>
              <w:bottom w:val="nil"/>
              <w:right w:val="nil"/>
            </w:tcBorders>
            <w:shd w:val="clear" w:color="000000" w:fill="FFFFFF"/>
            <w:noWrap/>
            <w:vAlign w:val="center"/>
            <w:hideMark/>
          </w:tcPr>
          <w:p w14:paraId="3A48B639"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1283847F"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Secretaría de Economía (SE)</w:t>
            </w:r>
          </w:p>
        </w:tc>
        <w:tc>
          <w:tcPr>
            <w:tcW w:w="497" w:type="pct"/>
            <w:tcBorders>
              <w:top w:val="nil"/>
              <w:left w:val="nil"/>
              <w:bottom w:val="nil"/>
              <w:right w:val="nil"/>
            </w:tcBorders>
            <w:shd w:val="clear" w:color="000000" w:fill="FFFFFF"/>
            <w:noWrap/>
            <w:vAlign w:val="center"/>
            <w:hideMark/>
          </w:tcPr>
          <w:p w14:paraId="5A7EC32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11</w:t>
            </w:r>
          </w:p>
        </w:tc>
        <w:tc>
          <w:tcPr>
            <w:tcW w:w="497" w:type="pct"/>
            <w:tcBorders>
              <w:top w:val="nil"/>
              <w:left w:val="nil"/>
              <w:bottom w:val="nil"/>
              <w:right w:val="nil"/>
            </w:tcBorders>
            <w:shd w:val="clear" w:color="000000" w:fill="FFFFFF"/>
            <w:noWrap/>
            <w:vAlign w:val="center"/>
            <w:hideMark/>
          </w:tcPr>
          <w:p w14:paraId="4C1229F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14</w:t>
            </w:r>
          </w:p>
        </w:tc>
        <w:tc>
          <w:tcPr>
            <w:tcW w:w="640" w:type="pct"/>
            <w:tcBorders>
              <w:top w:val="nil"/>
              <w:left w:val="nil"/>
              <w:bottom w:val="nil"/>
              <w:right w:val="nil"/>
            </w:tcBorders>
            <w:shd w:val="clear" w:color="000000" w:fill="FFFFFF"/>
            <w:noWrap/>
            <w:vAlign w:val="center"/>
          </w:tcPr>
          <w:p w14:paraId="6FE04D9B"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0B0E1698"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36856C42"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3796EBCE"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1147206A" w14:textId="77777777" w:rsidTr="005A7CAD">
        <w:trPr>
          <w:trHeight w:val="300"/>
        </w:trPr>
        <w:tc>
          <w:tcPr>
            <w:tcW w:w="284" w:type="pct"/>
            <w:tcBorders>
              <w:top w:val="nil"/>
              <w:left w:val="nil"/>
              <w:bottom w:val="nil"/>
              <w:right w:val="nil"/>
            </w:tcBorders>
            <w:shd w:val="clear" w:color="000000" w:fill="FFFFFF"/>
            <w:noWrap/>
            <w:vAlign w:val="center"/>
            <w:hideMark/>
          </w:tcPr>
          <w:p w14:paraId="5C4DA56B"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29CFCEC4"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Servicio Geológico Mexicano (SGM)</w:t>
            </w:r>
          </w:p>
        </w:tc>
        <w:tc>
          <w:tcPr>
            <w:tcW w:w="497" w:type="pct"/>
            <w:tcBorders>
              <w:top w:val="nil"/>
              <w:left w:val="nil"/>
              <w:bottom w:val="nil"/>
              <w:right w:val="nil"/>
            </w:tcBorders>
            <w:shd w:val="clear" w:color="000000" w:fill="FFFFFF"/>
            <w:noWrap/>
            <w:vAlign w:val="center"/>
            <w:hideMark/>
          </w:tcPr>
          <w:p w14:paraId="243C075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497" w:type="pct"/>
            <w:tcBorders>
              <w:top w:val="nil"/>
              <w:left w:val="nil"/>
              <w:bottom w:val="nil"/>
              <w:right w:val="nil"/>
            </w:tcBorders>
            <w:shd w:val="clear" w:color="000000" w:fill="FFFFFF"/>
            <w:noWrap/>
            <w:vAlign w:val="center"/>
            <w:hideMark/>
          </w:tcPr>
          <w:p w14:paraId="2DF1D7F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31F7E0C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0D76D9EF"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23935CA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67570AD3"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4D3407D7" w14:textId="77777777" w:rsidTr="005A7CAD">
        <w:trPr>
          <w:trHeight w:val="300"/>
        </w:trPr>
        <w:tc>
          <w:tcPr>
            <w:tcW w:w="1920" w:type="pct"/>
            <w:gridSpan w:val="2"/>
            <w:tcBorders>
              <w:top w:val="nil"/>
              <w:left w:val="nil"/>
              <w:bottom w:val="nil"/>
              <w:right w:val="nil"/>
            </w:tcBorders>
            <w:shd w:val="clear" w:color="000000" w:fill="F2F2F2"/>
            <w:noWrap/>
            <w:vAlign w:val="center"/>
            <w:hideMark/>
          </w:tcPr>
          <w:p w14:paraId="70B33B3A"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11 Educación Pública</w:t>
            </w:r>
          </w:p>
        </w:tc>
        <w:tc>
          <w:tcPr>
            <w:tcW w:w="497" w:type="pct"/>
            <w:tcBorders>
              <w:top w:val="nil"/>
              <w:left w:val="nil"/>
              <w:bottom w:val="nil"/>
              <w:right w:val="nil"/>
            </w:tcBorders>
            <w:shd w:val="clear" w:color="000000" w:fill="F2F2F2"/>
            <w:noWrap/>
            <w:vAlign w:val="center"/>
            <w:hideMark/>
          </w:tcPr>
          <w:p w14:paraId="26F40D2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86</w:t>
            </w:r>
          </w:p>
        </w:tc>
        <w:tc>
          <w:tcPr>
            <w:tcW w:w="497" w:type="pct"/>
            <w:tcBorders>
              <w:top w:val="nil"/>
              <w:left w:val="nil"/>
              <w:bottom w:val="nil"/>
              <w:right w:val="nil"/>
            </w:tcBorders>
            <w:shd w:val="clear" w:color="000000" w:fill="F2F2F2"/>
            <w:noWrap/>
            <w:vAlign w:val="center"/>
            <w:hideMark/>
          </w:tcPr>
          <w:p w14:paraId="7BA9F01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w:t>
            </w:r>
          </w:p>
        </w:tc>
        <w:tc>
          <w:tcPr>
            <w:tcW w:w="640" w:type="pct"/>
            <w:tcBorders>
              <w:top w:val="nil"/>
              <w:left w:val="nil"/>
              <w:bottom w:val="nil"/>
              <w:right w:val="nil"/>
            </w:tcBorders>
            <w:shd w:val="clear" w:color="000000" w:fill="F2F2F2"/>
            <w:noWrap/>
            <w:vAlign w:val="center"/>
            <w:hideMark/>
          </w:tcPr>
          <w:p w14:paraId="416C17B7"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2F2F2"/>
            <w:noWrap/>
            <w:vAlign w:val="center"/>
          </w:tcPr>
          <w:p w14:paraId="6AD6A969"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2F2F2"/>
            <w:noWrap/>
            <w:vAlign w:val="center"/>
            <w:hideMark/>
          </w:tcPr>
          <w:p w14:paraId="482E0A7E"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96</w:t>
            </w:r>
          </w:p>
        </w:tc>
        <w:tc>
          <w:tcPr>
            <w:tcW w:w="360" w:type="pct"/>
            <w:tcBorders>
              <w:top w:val="nil"/>
              <w:left w:val="nil"/>
              <w:bottom w:val="nil"/>
              <w:right w:val="nil"/>
            </w:tcBorders>
            <w:shd w:val="clear" w:color="000000" w:fill="F2F2F2"/>
            <w:noWrap/>
            <w:vAlign w:val="center"/>
            <w:hideMark/>
          </w:tcPr>
          <w:p w14:paraId="29556C9A"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15.1</w:t>
            </w:r>
          </w:p>
        </w:tc>
      </w:tr>
      <w:tr w:rsidR="00F77FE5" w:rsidRPr="00F77FE5" w14:paraId="7F84ED41" w14:textId="77777777" w:rsidTr="005A7CAD">
        <w:trPr>
          <w:trHeight w:val="300"/>
        </w:trPr>
        <w:tc>
          <w:tcPr>
            <w:tcW w:w="284" w:type="pct"/>
            <w:tcBorders>
              <w:top w:val="nil"/>
              <w:left w:val="nil"/>
              <w:bottom w:val="nil"/>
              <w:right w:val="nil"/>
            </w:tcBorders>
            <w:shd w:val="clear" w:color="000000" w:fill="FFFFFF"/>
            <w:noWrap/>
            <w:vAlign w:val="center"/>
            <w:hideMark/>
          </w:tcPr>
          <w:p w14:paraId="601DB046"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6E006038"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Comisión Nacional de Cultura Física y Deporte (CONADE)</w:t>
            </w:r>
          </w:p>
        </w:tc>
        <w:tc>
          <w:tcPr>
            <w:tcW w:w="497" w:type="pct"/>
            <w:tcBorders>
              <w:top w:val="nil"/>
              <w:left w:val="nil"/>
              <w:bottom w:val="nil"/>
              <w:right w:val="nil"/>
            </w:tcBorders>
            <w:shd w:val="clear" w:color="000000" w:fill="FFFFFF"/>
            <w:noWrap/>
            <w:vAlign w:val="center"/>
            <w:hideMark/>
          </w:tcPr>
          <w:p w14:paraId="1F7828A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497" w:type="pct"/>
            <w:tcBorders>
              <w:top w:val="nil"/>
              <w:left w:val="nil"/>
              <w:bottom w:val="nil"/>
              <w:right w:val="nil"/>
            </w:tcBorders>
            <w:shd w:val="clear" w:color="000000" w:fill="FFFFFF"/>
            <w:noWrap/>
            <w:vAlign w:val="center"/>
          </w:tcPr>
          <w:p w14:paraId="5FBD30B7"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7802BB5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1BD9D0C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0E2BF402"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473CB8A8"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216A8E73" w14:textId="77777777" w:rsidTr="005A7CAD">
        <w:trPr>
          <w:trHeight w:val="300"/>
        </w:trPr>
        <w:tc>
          <w:tcPr>
            <w:tcW w:w="284" w:type="pct"/>
            <w:tcBorders>
              <w:top w:val="nil"/>
              <w:left w:val="nil"/>
              <w:bottom w:val="nil"/>
              <w:right w:val="nil"/>
            </w:tcBorders>
            <w:shd w:val="clear" w:color="000000" w:fill="FFFFFF"/>
            <w:noWrap/>
            <w:vAlign w:val="center"/>
            <w:hideMark/>
          </w:tcPr>
          <w:p w14:paraId="298EC9DB"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65E2981E"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Consejo Nacional de Fomento Educativo (CONAFE)</w:t>
            </w:r>
          </w:p>
        </w:tc>
        <w:tc>
          <w:tcPr>
            <w:tcW w:w="497" w:type="pct"/>
            <w:tcBorders>
              <w:top w:val="nil"/>
              <w:left w:val="nil"/>
              <w:bottom w:val="nil"/>
              <w:right w:val="nil"/>
            </w:tcBorders>
            <w:shd w:val="clear" w:color="000000" w:fill="FFFFFF"/>
            <w:noWrap/>
            <w:vAlign w:val="center"/>
            <w:hideMark/>
          </w:tcPr>
          <w:p w14:paraId="40F2B4A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497" w:type="pct"/>
            <w:tcBorders>
              <w:top w:val="nil"/>
              <w:left w:val="nil"/>
              <w:bottom w:val="nil"/>
              <w:right w:val="nil"/>
            </w:tcBorders>
            <w:shd w:val="clear" w:color="000000" w:fill="FFFFFF"/>
            <w:noWrap/>
            <w:vAlign w:val="center"/>
          </w:tcPr>
          <w:p w14:paraId="3A085663"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6CE6DBE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6F8EC86A"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53AB7DD2"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7506D01B"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06CDD3E5" w14:textId="77777777" w:rsidTr="005A7CAD">
        <w:trPr>
          <w:trHeight w:val="300"/>
        </w:trPr>
        <w:tc>
          <w:tcPr>
            <w:tcW w:w="284" w:type="pct"/>
            <w:tcBorders>
              <w:top w:val="nil"/>
              <w:left w:val="nil"/>
              <w:bottom w:val="nil"/>
              <w:right w:val="nil"/>
            </w:tcBorders>
            <w:shd w:val="clear" w:color="000000" w:fill="FFFFFF"/>
            <w:noWrap/>
            <w:vAlign w:val="center"/>
            <w:hideMark/>
          </w:tcPr>
          <w:p w14:paraId="0FE7A853"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453123C3"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Instituto Nacional para la Educación de los Adultos (INEA)</w:t>
            </w:r>
          </w:p>
        </w:tc>
        <w:tc>
          <w:tcPr>
            <w:tcW w:w="497" w:type="pct"/>
            <w:tcBorders>
              <w:top w:val="nil"/>
              <w:left w:val="nil"/>
              <w:bottom w:val="nil"/>
              <w:right w:val="nil"/>
            </w:tcBorders>
            <w:shd w:val="clear" w:color="000000" w:fill="FFFFFF"/>
            <w:noWrap/>
            <w:vAlign w:val="center"/>
            <w:hideMark/>
          </w:tcPr>
          <w:p w14:paraId="0935BEBE"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497" w:type="pct"/>
            <w:tcBorders>
              <w:top w:val="nil"/>
              <w:left w:val="nil"/>
              <w:bottom w:val="nil"/>
              <w:right w:val="nil"/>
            </w:tcBorders>
            <w:shd w:val="clear" w:color="000000" w:fill="FFFFFF"/>
            <w:noWrap/>
            <w:vAlign w:val="center"/>
          </w:tcPr>
          <w:p w14:paraId="6DE33CC3"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419EF874"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0AAE5E79"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5E6B03C0"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4A7BB4A4"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3726598F" w14:textId="77777777" w:rsidTr="005A7CAD">
        <w:trPr>
          <w:trHeight w:val="300"/>
        </w:trPr>
        <w:tc>
          <w:tcPr>
            <w:tcW w:w="284" w:type="pct"/>
            <w:tcBorders>
              <w:top w:val="nil"/>
              <w:left w:val="nil"/>
              <w:bottom w:val="nil"/>
              <w:right w:val="nil"/>
            </w:tcBorders>
            <w:shd w:val="clear" w:color="000000" w:fill="FFFFFF"/>
            <w:noWrap/>
            <w:vAlign w:val="center"/>
            <w:hideMark/>
          </w:tcPr>
          <w:p w14:paraId="2146A347"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2DF29F47"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Secretaría de Educación Pública (SEP)</w:t>
            </w:r>
          </w:p>
        </w:tc>
        <w:tc>
          <w:tcPr>
            <w:tcW w:w="497" w:type="pct"/>
            <w:tcBorders>
              <w:top w:val="nil"/>
              <w:left w:val="nil"/>
              <w:bottom w:val="nil"/>
              <w:right w:val="nil"/>
            </w:tcBorders>
            <w:shd w:val="clear" w:color="000000" w:fill="FFFFFF"/>
            <w:noWrap/>
            <w:vAlign w:val="center"/>
            <w:hideMark/>
          </w:tcPr>
          <w:p w14:paraId="4FD5416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81</w:t>
            </w:r>
          </w:p>
        </w:tc>
        <w:tc>
          <w:tcPr>
            <w:tcW w:w="497" w:type="pct"/>
            <w:tcBorders>
              <w:top w:val="nil"/>
              <w:left w:val="nil"/>
              <w:bottom w:val="nil"/>
              <w:right w:val="nil"/>
            </w:tcBorders>
            <w:shd w:val="clear" w:color="000000" w:fill="FFFFFF"/>
            <w:noWrap/>
            <w:vAlign w:val="center"/>
            <w:hideMark/>
          </w:tcPr>
          <w:p w14:paraId="433A173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w:t>
            </w:r>
          </w:p>
        </w:tc>
        <w:tc>
          <w:tcPr>
            <w:tcW w:w="640" w:type="pct"/>
            <w:tcBorders>
              <w:top w:val="nil"/>
              <w:left w:val="nil"/>
              <w:bottom w:val="nil"/>
              <w:right w:val="nil"/>
            </w:tcBorders>
            <w:shd w:val="clear" w:color="000000" w:fill="FFFFFF"/>
            <w:noWrap/>
            <w:vAlign w:val="center"/>
          </w:tcPr>
          <w:p w14:paraId="269A08FA"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7E5730CA"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71F7AAA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455A601F"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289A16BD" w14:textId="77777777" w:rsidTr="005A7CAD">
        <w:trPr>
          <w:trHeight w:val="300"/>
        </w:trPr>
        <w:tc>
          <w:tcPr>
            <w:tcW w:w="1920" w:type="pct"/>
            <w:gridSpan w:val="2"/>
            <w:tcBorders>
              <w:top w:val="nil"/>
              <w:left w:val="nil"/>
              <w:bottom w:val="nil"/>
              <w:right w:val="nil"/>
            </w:tcBorders>
            <w:shd w:val="clear" w:color="000000" w:fill="F2F2F2"/>
            <w:noWrap/>
            <w:vAlign w:val="center"/>
            <w:hideMark/>
          </w:tcPr>
          <w:p w14:paraId="554683B0"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12 Salud</w:t>
            </w:r>
          </w:p>
        </w:tc>
        <w:tc>
          <w:tcPr>
            <w:tcW w:w="497" w:type="pct"/>
            <w:tcBorders>
              <w:top w:val="nil"/>
              <w:left w:val="nil"/>
              <w:bottom w:val="nil"/>
              <w:right w:val="nil"/>
            </w:tcBorders>
            <w:shd w:val="clear" w:color="000000" w:fill="F2F2F2"/>
            <w:noWrap/>
            <w:vAlign w:val="center"/>
            <w:hideMark/>
          </w:tcPr>
          <w:p w14:paraId="0D36CE62"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38</w:t>
            </w:r>
          </w:p>
        </w:tc>
        <w:tc>
          <w:tcPr>
            <w:tcW w:w="497" w:type="pct"/>
            <w:tcBorders>
              <w:top w:val="nil"/>
              <w:left w:val="nil"/>
              <w:bottom w:val="nil"/>
              <w:right w:val="nil"/>
            </w:tcBorders>
            <w:shd w:val="clear" w:color="000000" w:fill="F2F2F2"/>
            <w:noWrap/>
            <w:vAlign w:val="center"/>
            <w:hideMark/>
          </w:tcPr>
          <w:p w14:paraId="0A98381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5</w:t>
            </w:r>
          </w:p>
        </w:tc>
        <w:tc>
          <w:tcPr>
            <w:tcW w:w="640" w:type="pct"/>
            <w:tcBorders>
              <w:top w:val="nil"/>
              <w:left w:val="nil"/>
              <w:bottom w:val="nil"/>
              <w:right w:val="nil"/>
            </w:tcBorders>
            <w:shd w:val="clear" w:color="000000" w:fill="F2F2F2"/>
            <w:noWrap/>
            <w:vAlign w:val="center"/>
          </w:tcPr>
          <w:p w14:paraId="0CAD279F"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2F2F2"/>
            <w:noWrap/>
            <w:vAlign w:val="center"/>
          </w:tcPr>
          <w:p w14:paraId="69D5C0FF"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2F2F2"/>
            <w:noWrap/>
            <w:vAlign w:val="center"/>
            <w:hideMark/>
          </w:tcPr>
          <w:p w14:paraId="4859E65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43</w:t>
            </w:r>
          </w:p>
        </w:tc>
        <w:tc>
          <w:tcPr>
            <w:tcW w:w="360" w:type="pct"/>
            <w:tcBorders>
              <w:top w:val="nil"/>
              <w:left w:val="nil"/>
              <w:bottom w:val="nil"/>
              <w:right w:val="nil"/>
            </w:tcBorders>
            <w:shd w:val="clear" w:color="000000" w:fill="F2F2F2"/>
            <w:noWrap/>
            <w:vAlign w:val="center"/>
            <w:hideMark/>
          </w:tcPr>
          <w:p w14:paraId="3BE7043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6.8</w:t>
            </w:r>
          </w:p>
        </w:tc>
      </w:tr>
      <w:tr w:rsidR="00F77FE5" w:rsidRPr="00F77FE5" w14:paraId="7F75239F" w14:textId="77777777" w:rsidTr="005A7CAD">
        <w:trPr>
          <w:trHeight w:val="300"/>
        </w:trPr>
        <w:tc>
          <w:tcPr>
            <w:tcW w:w="284" w:type="pct"/>
            <w:tcBorders>
              <w:top w:val="nil"/>
              <w:left w:val="nil"/>
              <w:bottom w:val="nil"/>
              <w:right w:val="nil"/>
            </w:tcBorders>
            <w:shd w:val="clear" w:color="000000" w:fill="FFFFFF"/>
            <w:noWrap/>
            <w:vAlign w:val="center"/>
            <w:hideMark/>
          </w:tcPr>
          <w:p w14:paraId="3A671931"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203E400C"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Comisión Nacional de Protección Social en Salud (CNPSS)</w:t>
            </w:r>
          </w:p>
        </w:tc>
        <w:tc>
          <w:tcPr>
            <w:tcW w:w="497" w:type="pct"/>
            <w:tcBorders>
              <w:top w:val="nil"/>
              <w:left w:val="nil"/>
              <w:bottom w:val="nil"/>
              <w:right w:val="nil"/>
            </w:tcBorders>
            <w:shd w:val="clear" w:color="000000" w:fill="FFFFFF"/>
            <w:noWrap/>
            <w:vAlign w:val="center"/>
            <w:hideMark/>
          </w:tcPr>
          <w:p w14:paraId="0F2BDEA2"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497" w:type="pct"/>
            <w:tcBorders>
              <w:top w:val="nil"/>
              <w:left w:val="nil"/>
              <w:bottom w:val="nil"/>
              <w:right w:val="nil"/>
            </w:tcBorders>
            <w:shd w:val="clear" w:color="000000" w:fill="FFFFFF"/>
            <w:noWrap/>
            <w:vAlign w:val="center"/>
            <w:hideMark/>
          </w:tcPr>
          <w:p w14:paraId="2108B143"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65852AF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40CDEE1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3734CB11"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7F5F20AA"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18E03216" w14:textId="77777777" w:rsidTr="005A7CAD">
        <w:trPr>
          <w:trHeight w:val="300"/>
        </w:trPr>
        <w:tc>
          <w:tcPr>
            <w:tcW w:w="284" w:type="pct"/>
            <w:tcBorders>
              <w:top w:val="nil"/>
              <w:left w:val="nil"/>
              <w:bottom w:val="nil"/>
              <w:right w:val="nil"/>
            </w:tcBorders>
            <w:shd w:val="clear" w:color="000000" w:fill="FFFFFF"/>
            <w:noWrap/>
            <w:vAlign w:val="center"/>
            <w:hideMark/>
          </w:tcPr>
          <w:p w14:paraId="4BE4935B"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1AF5E8FF"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Secretaría de Salud (SALUD)</w:t>
            </w:r>
          </w:p>
        </w:tc>
        <w:tc>
          <w:tcPr>
            <w:tcW w:w="497" w:type="pct"/>
            <w:tcBorders>
              <w:top w:val="nil"/>
              <w:left w:val="nil"/>
              <w:bottom w:val="nil"/>
              <w:right w:val="nil"/>
            </w:tcBorders>
            <w:shd w:val="clear" w:color="000000" w:fill="FFFFFF"/>
            <w:noWrap/>
            <w:vAlign w:val="center"/>
            <w:hideMark/>
          </w:tcPr>
          <w:p w14:paraId="66F8376E"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23</w:t>
            </w:r>
          </w:p>
        </w:tc>
        <w:tc>
          <w:tcPr>
            <w:tcW w:w="497" w:type="pct"/>
            <w:tcBorders>
              <w:top w:val="nil"/>
              <w:left w:val="nil"/>
              <w:bottom w:val="nil"/>
              <w:right w:val="nil"/>
            </w:tcBorders>
            <w:shd w:val="clear" w:color="000000" w:fill="FFFFFF"/>
            <w:noWrap/>
            <w:vAlign w:val="center"/>
            <w:hideMark/>
          </w:tcPr>
          <w:p w14:paraId="5B736B0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640" w:type="pct"/>
            <w:tcBorders>
              <w:top w:val="nil"/>
              <w:left w:val="nil"/>
              <w:bottom w:val="nil"/>
              <w:right w:val="nil"/>
            </w:tcBorders>
            <w:shd w:val="clear" w:color="000000" w:fill="FFFFFF"/>
            <w:noWrap/>
            <w:vAlign w:val="center"/>
          </w:tcPr>
          <w:p w14:paraId="75DDACE1"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543E1C90"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6DDA9EA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77051414"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432B9E15" w14:textId="77777777" w:rsidTr="005A7CAD">
        <w:trPr>
          <w:trHeight w:val="300"/>
        </w:trPr>
        <w:tc>
          <w:tcPr>
            <w:tcW w:w="284" w:type="pct"/>
            <w:tcBorders>
              <w:top w:val="nil"/>
              <w:left w:val="nil"/>
              <w:bottom w:val="nil"/>
              <w:right w:val="nil"/>
            </w:tcBorders>
            <w:shd w:val="clear" w:color="000000" w:fill="FFFFFF"/>
            <w:noWrap/>
            <w:vAlign w:val="center"/>
            <w:hideMark/>
          </w:tcPr>
          <w:p w14:paraId="6BEE4257"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2E740755"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Sistema Nacional para el Desarrollo Integral de la Familia (DIF)</w:t>
            </w:r>
          </w:p>
        </w:tc>
        <w:tc>
          <w:tcPr>
            <w:tcW w:w="497" w:type="pct"/>
            <w:tcBorders>
              <w:top w:val="nil"/>
              <w:left w:val="nil"/>
              <w:bottom w:val="nil"/>
              <w:right w:val="nil"/>
            </w:tcBorders>
            <w:shd w:val="clear" w:color="000000" w:fill="FFFFFF"/>
            <w:noWrap/>
            <w:vAlign w:val="center"/>
            <w:hideMark/>
          </w:tcPr>
          <w:p w14:paraId="344A07F2"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11</w:t>
            </w:r>
          </w:p>
        </w:tc>
        <w:tc>
          <w:tcPr>
            <w:tcW w:w="497" w:type="pct"/>
            <w:tcBorders>
              <w:top w:val="nil"/>
              <w:left w:val="nil"/>
              <w:bottom w:val="nil"/>
              <w:right w:val="nil"/>
            </w:tcBorders>
            <w:shd w:val="clear" w:color="000000" w:fill="FFFFFF"/>
            <w:noWrap/>
            <w:vAlign w:val="center"/>
            <w:hideMark/>
          </w:tcPr>
          <w:p w14:paraId="171F8E02"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640" w:type="pct"/>
            <w:tcBorders>
              <w:top w:val="nil"/>
              <w:left w:val="nil"/>
              <w:bottom w:val="nil"/>
              <w:right w:val="nil"/>
            </w:tcBorders>
            <w:shd w:val="clear" w:color="000000" w:fill="FFFFFF"/>
            <w:noWrap/>
            <w:vAlign w:val="center"/>
          </w:tcPr>
          <w:p w14:paraId="309793F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4213DE71"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0F4976F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10666489"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7B7401FE" w14:textId="77777777" w:rsidTr="005A7CAD">
        <w:trPr>
          <w:trHeight w:val="300"/>
        </w:trPr>
        <w:tc>
          <w:tcPr>
            <w:tcW w:w="1920" w:type="pct"/>
            <w:gridSpan w:val="2"/>
            <w:tcBorders>
              <w:top w:val="nil"/>
              <w:left w:val="nil"/>
              <w:bottom w:val="nil"/>
              <w:right w:val="nil"/>
            </w:tcBorders>
            <w:shd w:val="clear" w:color="000000" w:fill="F2F2F2"/>
            <w:noWrap/>
            <w:vAlign w:val="center"/>
            <w:hideMark/>
          </w:tcPr>
          <w:p w14:paraId="7B5C5BF3"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14 Trabajo y Previsión Social</w:t>
            </w:r>
          </w:p>
        </w:tc>
        <w:tc>
          <w:tcPr>
            <w:tcW w:w="497" w:type="pct"/>
            <w:tcBorders>
              <w:top w:val="nil"/>
              <w:left w:val="nil"/>
              <w:bottom w:val="nil"/>
              <w:right w:val="nil"/>
            </w:tcBorders>
            <w:shd w:val="clear" w:color="000000" w:fill="F2F2F2"/>
            <w:noWrap/>
            <w:vAlign w:val="center"/>
            <w:hideMark/>
          </w:tcPr>
          <w:p w14:paraId="21406EB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w:t>
            </w:r>
          </w:p>
        </w:tc>
        <w:tc>
          <w:tcPr>
            <w:tcW w:w="497" w:type="pct"/>
            <w:tcBorders>
              <w:top w:val="nil"/>
              <w:left w:val="nil"/>
              <w:bottom w:val="nil"/>
              <w:right w:val="nil"/>
            </w:tcBorders>
            <w:shd w:val="clear" w:color="000000" w:fill="F2F2F2"/>
            <w:noWrap/>
            <w:vAlign w:val="center"/>
          </w:tcPr>
          <w:p w14:paraId="3FE3480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2F2F2"/>
            <w:noWrap/>
            <w:vAlign w:val="center"/>
          </w:tcPr>
          <w:p w14:paraId="0D500D11"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2F2F2"/>
            <w:noWrap/>
            <w:vAlign w:val="center"/>
          </w:tcPr>
          <w:p w14:paraId="5311FFB2"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2F2F2"/>
            <w:noWrap/>
            <w:vAlign w:val="center"/>
            <w:hideMark/>
          </w:tcPr>
          <w:p w14:paraId="748B242E"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w:t>
            </w:r>
          </w:p>
        </w:tc>
        <w:tc>
          <w:tcPr>
            <w:tcW w:w="360" w:type="pct"/>
            <w:tcBorders>
              <w:top w:val="nil"/>
              <w:left w:val="nil"/>
              <w:bottom w:val="nil"/>
              <w:right w:val="nil"/>
            </w:tcBorders>
            <w:shd w:val="clear" w:color="000000" w:fill="F2F2F2"/>
            <w:noWrap/>
            <w:vAlign w:val="center"/>
            <w:hideMark/>
          </w:tcPr>
          <w:p w14:paraId="18F7F4B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1.6</w:t>
            </w:r>
          </w:p>
        </w:tc>
      </w:tr>
      <w:tr w:rsidR="00F77FE5" w:rsidRPr="00F77FE5" w14:paraId="3353EE89" w14:textId="77777777" w:rsidTr="005A7CAD">
        <w:trPr>
          <w:trHeight w:val="300"/>
        </w:trPr>
        <w:tc>
          <w:tcPr>
            <w:tcW w:w="284" w:type="pct"/>
            <w:tcBorders>
              <w:top w:val="nil"/>
              <w:left w:val="nil"/>
              <w:bottom w:val="nil"/>
              <w:right w:val="nil"/>
            </w:tcBorders>
            <w:shd w:val="clear" w:color="000000" w:fill="FFFFFF"/>
            <w:noWrap/>
            <w:vAlign w:val="center"/>
            <w:hideMark/>
          </w:tcPr>
          <w:p w14:paraId="2C7D7498"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63EEC6DB"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Secretaría del Trabajo y Previsión Social (STPS)</w:t>
            </w:r>
          </w:p>
        </w:tc>
        <w:tc>
          <w:tcPr>
            <w:tcW w:w="497" w:type="pct"/>
            <w:tcBorders>
              <w:top w:val="nil"/>
              <w:left w:val="nil"/>
              <w:bottom w:val="nil"/>
              <w:right w:val="nil"/>
            </w:tcBorders>
            <w:shd w:val="clear" w:color="000000" w:fill="FFFFFF"/>
            <w:noWrap/>
            <w:vAlign w:val="center"/>
            <w:hideMark/>
          </w:tcPr>
          <w:p w14:paraId="5A4F9F0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w:t>
            </w:r>
          </w:p>
        </w:tc>
        <w:tc>
          <w:tcPr>
            <w:tcW w:w="497" w:type="pct"/>
            <w:tcBorders>
              <w:top w:val="nil"/>
              <w:left w:val="nil"/>
              <w:bottom w:val="nil"/>
              <w:right w:val="nil"/>
            </w:tcBorders>
            <w:shd w:val="clear" w:color="000000" w:fill="FFFFFF"/>
            <w:noWrap/>
            <w:vAlign w:val="center"/>
          </w:tcPr>
          <w:p w14:paraId="3B944607"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424F51C2"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780069C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42E7ADA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4CFD7A91"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5759764C" w14:textId="77777777" w:rsidTr="005A7CAD">
        <w:trPr>
          <w:trHeight w:val="300"/>
        </w:trPr>
        <w:tc>
          <w:tcPr>
            <w:tcW w:w="1920" w:type="pct"/>
            <w:gridSpan w:val="2"/>
            <w:tcBorders>
              <w:top w:val="nil"/>
              <w:left w:val="nil"/>
              <w:bottom w:val="nil"/>
              <w:right w:val="nil"/>
            </w:tcBorders>
            <w:shd w:val="clear" w:color="000000" w:fill="F2F2F2"/>
            <w:noWrap/>
            <w:vAlign w:val="center"/>
            <w:hideMark/>
          </w:tcPr>
          <w:p w14:paraId="35F2B9CA"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15 Desarrollo Agrario, Territorial y Urbano</w:t>
            </w:r>
          </w:p>
        </w:tc>
        <w:tc>
          <w:tcPr>
            <w:tcW w:w="497" w:type="pct"/>
            <w:tcBorders>
              <w:top w:val="nil"/>
              <w:left w:val="nil"/>
              <w:bottom w:val="nil"/>
              <w:right w:val="nil"/>
            </w:tcBorders>
            <w:shd w:val="clear" w:color="000000" w:fill="F2F2F2"/>
            <w:noWrap/>
            <w:vAlign w:val="center"/>
            <w:hideMark/>
          </w:tcPr>
          <w:p w14:paraId="3BCE40D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12</w:t>
            </w:r>
          </w:p>
        </w:tc>
        <w:tc>
          <w:tcPr>
            <w:tcW w:w="497" w:type="pct"/>
            <w:tcBorders>
              <w:top w:val="nil"/>
              <w:left w:val="nil"/>
              <w:bottom w:val="nil"/>
              <w:right w:val="nil"/>
            </w:tcBorders>
            <w:shd w:val="clear" w:color="000000" w:fill="F2F2F2"/>
            <w:noWrap/>
            <w:vAlign w:val="center"/>
            <w:hideMark/>
          </w:tcPr>
          <w:p w14:paraId="729961DF"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11</w:t>
            </w:r>
          </w:p>
        </w:tc>
        <w:tc>
          <w:tcPr>
            <w:tcW w:w="640" w:type="pct"/>
            <w:tcBorders>
              <w:top w:val="nil"/>
              <w:left w:val="nil"/>
              <w:bottom w:val="nil"/>
              <w:right w:val="nil"/>
            </w:tcBorders>
            <w:shd w:val="clear" w:color="000000" w:fill="F2F2F2"/>
            <w:noWrap/>
            <w:vAlign w:val="center"/>
          </w:tcPr>
          <w:p w14:paraId="014CA0F3"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2F2F2"/>
            <w:noWrap/>
            <w:vAlign w:val="center"/>
          </w:tcPr>
          <w:p w14:paraId="73C74458"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2F2F2"/>
            <w:noWrap/>
            <w:vAlign w:val="center"/>
            <w:hideMark/>
          </w:tcPr>
          <w:p w14:paraId="3E95DB6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23</w:t>
            </w:r>
          </w:p>
        </w:tc>
        <w:tc>
          <w:tcPr>
            <w:tcW w:w="360" w:type="pct"/>
            <w:tcBorders>
              <w:top w:val="nil"/>
              <w:left w:val="nil"/>
              <w:bottom w:val="nil"/>
              <w:right w:val="nil"/>
            </w:tcBorders>
            <w:shd w:val="clear" w:color="000000" w:fill="F2F2F2"/>
            <w:noWrap/>
            <w:vAlign w:val="center"/>
            <w:hideMark/>
          </w:tcPr>
          <w:p w14:paraId="160EF85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3.6</w:t>
            </w:r>
          </w:p>
        </w:tc>
      </w:tr>
      <w:tr w:rsidR="00F77FE5" w:rsidRPr="00F77FE5" w14:paraId="2255C2BE" w14:textId="77777777" w:rsidTr="005A7CAD">
        <w:trPr>
          <w:trHeight w:val="300"/>
        </w:trPr>
        <w:tc>
          <w:tcPr>
            <w:tcW w:w="284" w:type="pct"/>
            <w:tcBorders>
              <w:top w:val="nil"/>
              <w:left w:val="nil"/>
              <w:bottom w:val="nil"/>
              <w:right w:val="nil"/>
            </w:tcBorders>
            <w:shd w:val="clear" w:color="000000" w:fill="FFFFFF"/>
            <w:noWrap/>
            <w:vAlign w:val="center"/>
            <w:hideMark/>
          </w:tcPr>
          <w:p w14:paraId="1E1C1BE6"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37671BAD"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Comisión Nacional de Vivienda (CONAVI)</w:t>
            </w:r>
          </w:p>
        </w:tc>
        <w:tc>
          <w:tcPr>
            <w:tcW w:w="497" w:type="pct"/>
            <w:tcBorders>
              <w:top w:val="nil"/>
              <w:left w:val="nil"/>
              <w:bottom w:val="nil"/>
              <w:right w:val="nil"/>
            </w:tcBorders>
            <w:shd w:val="clear" w:color="000000" w:fill="FFFFFF"/>
            <w:noWrap/>
            <w:vAlign w:val="center"/>
            <w:hideMark/>
          </w:tcPr>
          <w:p w14:paraId="099D7C8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497" w:type="pct"/>
            <w:tcBorders>
              <w:top w:val="nil"/>
              <w:left w:val="nil"/>
              <w:bottom w:val="nil"/>
              <w:right w:val="nil"/>
            </w:tcBorders>
            <w:shd w:val="clear" w:color="000000" w:fill="FFFFFF"/>
            <w:noWrap/>
            <w:vAlign w:val="center"/>
            <w:hideMark/>
          </w:tcPr>
          <w:p w14:paraId="79BE7E0F"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1BF708C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6F1963FB"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3C1D874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53DB6245"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2F2A6857" w14:textId="77777777" w:rsidTr="005A7CAD">
        <w:trPr>
          <w:trHeight w:val="300"/>
        </w:trPr>
        <w:tc>
          <w:tcPr>
            <w:tcW w:w="284" w:type="pct"/>
            <w:tcBorders>
              <w:top w:val="nil"/>
              <w:left w:val="nil"/>
              <w:bottom w:val="nil"/>
              <w:right w:val="nil"/>
            </w:tcBorders>
            <w:shd w:val="clear" w:color="000000" w:fill="FFFFFF"/>
            <w:noWrap/>
            <w:vAlign w:val="center"/>
            <w:hideMark/>
          </w:tcPr>
          <w:p w14:paraId="4F1CA60D"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191B0EF3"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Secretaría de Desarrollo Agrario, Territorial y Urbano (SEDATU)</w:t>
            </w:r>
          </w:p>
        </w:tc>
        <w:tc>
          <w:tcPr>
            <w:tcW w:w="497" w:type="pct"/>
            <w:tcBorders>
              <w:top w:val="nil"/>
              <w:left w:val="nil"/>
              <w:bottom w:val="nil"/>
              <w:right w:val="nil"/>
            </w:tcBorders>
            <w:shd w:val="clear" w:color="000000" w:fill="FFFFFF"/>
            <w:noWrap/>
            <w:vAlign w:val="center"/>
            <w:hideMark/>
          </w:tcPr>
          <w:p w14:paraId="3E194C0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11</w:t>
            </w:r>
          </w:p>
        </w:tc>
        <w:tc>
          <w:tcPr>
            <w:tcW w:w="497" w:type="pct"/>
            <w:tcBorders>
              <w:top w:val="nil"/>
              <w:left w:val="nil"/>
              <w:bottom w:val="nil"/>
              <w:right w:val="nil"/>
            </w:tcBorders>
            <w:shd w:val="clear" w:color="000000" w:fill="FFFFFF"/>
            <w:noWrap/>
            <w:vAlign w:val="center"/>
            <w:hideMark/>
          </w:tcPr>
          <w:p w14:paraId="6B869AE2"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11</w:t>
            </w:r>
          </w:p>
        </w:tc>
        <w:tc>
          <w:tcPr>
            <w:tcW w:w="640" w:type="pct"/>
            <w:tcBorders>
              <w:top w:val="nil"/>
              <w:left w:val="nil"/>
              <w:bottom w:val="nil"/>
              <w:right w:val="nil"/>
            </w:tcBorders>
            <w:shd w:val="clear" w:color="000000" w:fill="FFFFFF"/>
            <w:noWrap/>
            <w:vAlign w:val="center"/>
          </w:tcPr>
          <w:p w14:paraId="25F0B0F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1DC2882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4AEDA9B0"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1A93B243"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7081AF73" w14:textId="77777777" w:rsidTr="005A7CAD">
        <w:trPr>
          <w:trHeight w:val="300"/>
        </w:trPr>
        <w:tc>
          <w:tcPr>
            <w:tcW w:w="1920" w:type="pct"/>
            <w:gridSpan w:val="2"/>
            <w:tcBorders>
              <w:top w:val="nil"/>
              <w:left w:val="nil"/>
              <w:bottom w:val="nil"/>
              <w:right w:val="nil"/>
            </w:tcBorders>
            <w:shd w:val="clear" w:color="000000" w:fill="F2F2F2"/>
            <w:noWrap/>
            <w:vAlign w:val="center"/>
            <w:hideMark/>
          </w:tcPr>
          <w:p w14:paraId="08F1ADB2"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16 Medio Ambiente y Recursos Naturales</w:t>
            </w:r>
          </w:p>
        </w:tc>
        <w:tc>
          <w:tcPr>
            <w:tcW w:w="497" w:type="pct"/>
            <w:tcBorders>
              <w:top w:val="nil"/>
              <w:left w:val="nil"/>
              <w:bottom w:val="nil"/>
              <w:right w:val="nil"/>
            </w:tcBorders>
            <w:shd w:val="clear" w:color="000000" w:fill="F2F2F2"/>
            <w:noWrap/>
            <w:vAlign w:val="center"/>
            <w:hideMark/>
          </w:tcPr>
          <w:p w14:paraId="3AA14235"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35</w:t>
            </w:r>
          </w:p>
        </w:tc>
        <w:tc>
          <w:tcPr>
            <w:tcW w:w="497" w:type="pct"/>
            <w:tcBorders>
              <w:top w:val="nil"/>
              <w:left w:val="nil"/>
              <w:bottom w:val="nil"/>
              <w:right w:val="nil"/>
            </w:tcBorders>
            <w:shd w:val="clear" w:color="000000" w:fill="F2F2F2"/>
            <w:noWrap/>
            <w:vAlign w:val="center"/>
            <w:hideMark/>
          </w:tcPr>
          <w:p w14:paraId="5775BC1A"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23</w:t>
            </w:r>
          </w:p>
        </w:tc>
        <w:tc>
          <w:tcPr>
            <w:tcW w:w="640" w:type="pct"/>
            <w:tcBorders>
              <w:top w:val="nil"/>
              <w:left w:val="nil"/>
              <w:bottom w:val="nil"/>
              <w:right w:val="nil"/>
            </w:tcBorders>
            <w:shd w:val="clear" w:color="000000" w:fill="F2F2F2"/>
            <w:noWrap/>
            <w:vAlign w:val="center"/>
            <w:hideMark/>
          </w:tcPr>
          <w:p w14:paraId="5ABE0AE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781" w:type="pct"/>
            <w:tcBorders>
              <w:top w:val="nil"/>
              <w:left w:val="nil"/>
              <w:bottom w:val="nil"/>
              <w:right w:val="nil"/>
            </w:tcBorders>
            <w:shd w:val="clear" w:color="000000" w:fill="F2F2F2"/>
            <w:noWrap/>
            <w:vAlign w:val="center"/>
            <w:hideMark/>
          </w:tcPr>
          <w:p w14:paraId="47B561D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305" w:type="pct"/>
            <w:tcBorders>
              <w:top w:val="nil"/>
              <w:left w:val="nil"/>
              <w:bottom w:val="nil"/>
              <w:right w:val="nil"/>
            </w:tcBorders>
            <w:shd w:val="clear" w:color="000000" w:fill="F2F2F2"/>
            <w:noWrap/>
            <w:vAlign w:val="center"/>
            <w:hideMark/>
          </w:tcPr>
          <w:p w14:paraId="14773CB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61</w:t>
            </w:r>
          </w:p>
        </w:tc>
        <w:tc>
          <w:tcPr>
            <w:tcW w:w="360" w:type="pct"/>
            <w:tcBorders>
              <w:top w:val="nil"/>
              <w:left w:val="nil"/>
              <w:bottom w:val="nil"/>
              <w:right w:val="nil"/>
            </w:tcBorders>
            <w:shd w:val="clear" w:color="000000" w:fill="F2F2F2"/>
            <w:noWrap/>
            <w:vAlign w:val="center"/>
            <w:hideMark/>
          </w:tcPr>
          <w:p w14:paraId="3D61EB03"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9.6</w:t>
            </w:r>
          </w:p>
        </w:tc>
      </w:tr>
      <w:tr w:rsidR="00F77FE5" w:rsidRPr="00F77FE5" w14:paraId="4FA8CF27" w14:textId="77777777" w:rsidTr="005A7CAD">
        <w:trPr>
          <w:trHeight w:val="300"/>
        </w:trPr>
        <w:tc>
          <w:tcPr>
            <w:tcW w:w="284" w:type="pct"/>
            <w:tcBorders>
              <w:top w:val="nil"/>
              <w:left w:val="nil"/>
              <w:bottom w:val="nil"/>
              <w:right w:val="nil"/>
            </w:tcBorders>
            <w:shd w:val="clear" w:color="000000" w:fill="FFFFFF"/>
            <w:noWrap/>
            <w:vAlign w:val="center"/>
            <w:hideMark/>
          </w:tcPr>
          <w:p w14:paraId="3A34B50E"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1312B1AE"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Agencia Nacional de Seguridad Industrial y de Protección al Medio Ambiente del Sector Hidrocarburos</w:t>
            </w:r>
            <w:r w:rsidR="006F4A52">
              <w:rPr>
                <w:rFonts w:eastAsia="Times New Roman" w:cs="Calibri"/>
                <w:color w:val="000000"/>
                <w:sz w:val="12"/>
                <w:szCs w:val="12"/>
                <w:lang w:val="es-MX" w:eastAsia="es-MX"/>
              </w:rPr>
              <w:t xml:space="preserve"> </w:t>
            </w:r>
            <w:r w:rsidRPr="00F77FE5">
              <w:rPr>
                <w:rFonts w:eastAsia="Times New Roman" w:cs="Calibri"/>
                <w:color w:val="000000"/>
                <w:sz w:val="12"/>
                <w:szCs w:val="12"/>
                <w:lang w:val="es-MX" w:eastAsia="es-MX"/>
              </w:rPr>
              <w:t>(ASEA)</w:t>
            </w:r>
          </w:p>
        </w:tc>
        <w:tc>
          <w:tcPr>
            <w:tcW w:w="497" w:type="pct"/>
            <w:tcBorders>
              <w:top w:val="nil"/>
              <w:left w:val="nil"/>
              <w:bottom w:val="nil"/>
              <w:right w:val="nil"/>
            </w:tcBorders>
            <w:shd w:val="clear" w:color="000000" w:fill="FFFFFF"/>
            <w:noWrap/>
            <w:vAlign w:val="center"/>
            <w:hideMark/>
          </w:tcPr>
          <w:p w14:paraId="4F3720A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497" w:type="pct"/>
            <w:tcBorders>
              <w:top w:val="nil"/>
              <w:left w:val="nil"/>
              <w:bottom w:val="nil"/>
              <w:right w:val="nil"/>
            </w:tcBorders>
            <w:shd w:val="clear" w:color="000000" w:fill="FFFFFF"/>
            <w:noWrap/>
            <w:vAlign w:val="center"/>
            <w:hideMark/>
          </w:tcPr>
          <w:p w14:paraId="10EC623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640" w:type="pct"/>
            <w:tcBorders>
              <w:top w:val="nil"/>
              <w:left w:val="nil"/>
              <w:bottom w:val="nil"/>
              <w:right w:val="nil"/>
            </w:tcBorders>
            <w:shd w:val="clear" w:color="000000" w:fill="FFFFFF"/>
            <w:noWrap/>
            <w:vAlign w:val="center"/>
          </w:tcPr>
          <w:p w14:paraId="5781812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1E44511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3DE8BC39"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2489A5C2"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65EF875F" w14:textId="77777777" w:rsidTr="005A7CAD">
        <w:trPr>
          <w:trHeight w:val="300"/>
        </w:trPr>
        <w:tc>
          <w:tcPr>
            <w:tcW w:w="284" w:type="pct"/>
            <w:tcBorders>
              <w:top w:val="nil"/>
              <w:left w:val="nil"/>
              <w:bottom w:val="nil"/>
              <w:right w:val="nil"/>
            </w:tcBorders>
            <w:shd w:val="clear" w:color="000000" w:fill="FFFFFF"/>
            <w:noWrap/>
            <w:vAlign w:val="center"/>
            <w:hideMark/>
          </w:tcPr>
          <w:p w14:paraId="1A1FF68B"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5741F123"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Comisión Nacional de Áreas Naturales Protegidas (CONANP)</w:t>
            </w:r>
          </w:p>
        </w:tc>
        <w:tc>
          <w:tcPr>
            <w:tcW w:w="497" w:type="pct"/>
            <w:tcBorders>
              <w:top w:val="nil"/>
              <w:left w:val="nil"/>
              <w:bottom w:val="nil"/>
              <w:right w:val="nil"/>
            </w:tcBorders>
            <w:shd w:val="clear" w:color="000000" w:fill="FFFFFF"/>
            <w:noWrap/>
            <w:vAlign w:val="center"/>
            <w:hideMark/>
          </w:tcPr>
          <w:p w14:paraId="17CC9FD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497" w:type="pct"/>
            <w:tcBorders>
              <w:top w:val="nil"/>
              <w:left w:val="nil"/>
              <w:bottom w:val="nil"/>
              <w:right w:val="nil"/>
            </w:tcBorders>
            <w:shd w:val="clear" w:color="000000" w:fill="FFFFFF"/>
            <w:noWrap/>
            <w:vAlign w:val="center"/>
            <w:hideMark/>
          </w:tcPr>
          <w:p w14:paraId="201D941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640" w:type="pct"/>
            <w:tcBorders>
              <w:top w:val="nil"/>
              <w:left w:val="nil"/>
              <w:bottom w:val="nil"/>
              <w:right w:val="nil"/>
            </w:tcBorders>
            <w:shd w:val="clear" w:color="000000" w:fill="FFFFFF"/>
            <w:noWrap/>
            <w:vAlign w:val="center"/>
          </w:tcPr>
          <w:p w14:paraId="29C6EFA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4FE597F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3603A99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458DA493"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3BDF18E4" w14:textId="77777777" w:rsidTr="005A7CAD">
        <w:trPr>
          <w:trHeight w:val="300"/>
        </w:trPr>
        <w:tc>
          <w:tcPr>
            <w:tcW w:w="284" w:type="pct"/>
            <w:tcBorders>
              <w:top w:val="nil"/>
              <w:left w:val="nil"/>
              <w:bottom w:val="nil"/>
              <w:right w:val="nil"/>
            </w:tcBorders>
            <w:shd w:val="clear" w:color="000000" w:fill="FFFFFF"/>
            <w:noWrap/>
            <w:vAlign w:val="center"/>
            <w:hideMark/>
          </w:tcPr>
          <w:p w14:paraId="31293DE6"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16387A19"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Comisión Nacional del Agua(CONAGUA)</w:t>
            </w:r>
          </w:p>
        </w:tc>
        <w:tc>
          <w:tcPr>
            <w:tcW w:w="497" w:type="pct"/>
            <w:tcBorders>
              <w:top w:val="nil"/>
              <w:left w:val="nil"/>
              <w:bottom w:val="nil"/>
              <w:right w:val="nil"/>
            </w:tcBorders>
            <w:shd w:val="clear" w:color="000000" w:fill="FFFFFF"/>
            <w:noWrap/>
            <w:vAlign w:val="center"/>
            <w:hideMark/>
          </w:tcPr>
          <w:p w14:paraId="0FB0C6E2"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11</w:t>
            </w:r>
          </w:p>
        </w:tc>
        <w:tc>
          <w:tcPr>
            <w:tcW w:w="497" w:type="pct"/>
            <w:tcBorders>
              <w:top w:val="nil"/>
              <w:left w:val="nil"/>
              <w:bottom w:val="nil"/>
              <w:right w:val="nil"/>
            </w:tcBorders>
            <w:shd w:val="clear" w:color="000000" w:fill="FFFFFF"/>
            <w:noWrap/>
            <w:vAlign w:val="center"/>
            <w:hideMark/>
          </w:tcPr>
          <w:p w14:paraId="0BCA8F9E"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9</w:t>
            </w:r>
          </w:p>
        </w:tc>
        <w:tc>
          <w:tcPr>
            <w:tcW w:w="640" w:type="pct"/>
            <w:tcBorders>
              <w:top w:val="nil"/>
              <w:left w:val="nil"/>
              <w:bottom w:val="nil"/>
              <w:right w:val="nil"/>
            </w:tcBorders>
            <w:shd w:val="clear" w:color="000000" w:fill="FFFFFF"/>
            <w:noWrap/>
            <w:vAlign w:val="center"/>
            <w:hideMark/>
          </w:tcPr>
          <w:p w14:paraId="74F446C2"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781" w:type="pct"/>
            <w:tcBorders>
              <w:top w:val="nil"/>
              <w:left w:val="nil"/>
              <w:bottom w:val="nil"/>
              <w:right w:val="nil"/>
            </w:tcBorders>
            <w:shd w:val="clear" w:color="000000" w:fill="FFFFFF"/>
            <w:noWrap/>
            <w:vAlign w:val="center"/>
            <w:hideMark/>
          </w:tcPr>
          <w:p w14:paraId="5A4B80A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305" w:type="pct"/>
            <w:tcBorders>
              <w:top w:val="nil"/>
              <w:left w:val="nil"/>
              <w:bottom w:val="nil"/>
              <w:right w:val="nil"/>
            </w:tcBorders>
            <w:shd w:val="clear" w:color="000000" w:fill="FFFFFF"/>
            <w:noWrap/>
            <w:vAlign w:val="center"/>
            <w:hideMark/>
          </w:tcPr>
          <w:p w14:paraId="1D9464F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60F1EB5C"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51DE0EFD" w14:textId="77777777" w:rsidTr="005A7CAD">
        <w:trPr>
          <w:trHeight w:val="300"/>
        </w:trPr>
        <w:tc>
          <w:tcPr>
            <w:tcW w:w="284" w:type="pct"/>
            <w:tcBorders>
              <w:top w:val="nil"/>
              <w:left w:val="nil"/>
              <w:bottom w:val="nil"/>
              <w:right w:val="nil"/>
            </w:tcBorders>
            <w:shd w:val="clear" w:color="000000" w:fill="FFFFFF"/>
            <w:noWrap/>
            <w:vAlign w:val="center"/>
            <w:hideMark/>
          </w:tcPr>
          <w:p w14:paraId="78CAAEF4"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12A6B576"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Comisión Nacional Forestal(CONAFOR)</w:t>
            </w:r>
          </w:p>
        </w:tc>
        <w:tc>
          <w:tcPr>
            <w:tcW w:w="497" w:type="pct"/>
            <w:tcBorders>
              <w:top w:val="nil"/>
              <w:left w:val="nil"/>
              <w:bottom w:val="nil"/>
              <w:right w:val="nil"/>
            </w:tcBorders>
            <w:shd w:val="clear" w:color="000000" w:fill="FFFFFF"/>
            <w:noWrap/>
            <w:vAlign w:val="center"/>
            <w:hideMark/>
          </w:tcPr>
          <w:p w14:paraId="208C3C3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w:t>
            </w:r>
          </w:p>
        </w:tc>
        <w:tc>
          <w:tcPr>
            <w:tcW w:w="497" w:type="pct"/>
            <w:tcBorders>
              <w:top w:val="nil"/>
              <w:left w:val="nil"/>
              <w:bottom w:val="nil"/>
              <w:right w:val="nil"/>
            </w:tcBorders>
            <w:shd w:val="clear" w:color="000000" w:fill="FFFFFF"/>
            <w:noWrap/>
            <w:vAlign w:val="center"/>
            <w:hideMark/>
          </w:tcPr>
          <w:p w14:paraId="3EEF0DB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640" w:type="pct"/>
            <w:tcBorders>
              <w:top w:val="nil"/>
              <w:left w:val="nil"/>
              <w:bottom w:val="nil"/>
              <w:right w:val="nil"/>
            </w:tcBorders>
            <w:shd w:val="clear" w:color="000000" w:fill="FFFFFF"/>
            <w:noWrap/>
            <w:vAlign w:val="center"/>
          </w:tcPr>
          <w:p w14:paraId="73ED98AA"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7D06AFA2"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048CE00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2B7C127D"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39D2F280" w14:textId="77777777" w:rsidTr="005A7CAD">
        <w:trPr>
          <w:trHeight w:val="300"/>
        </w:trPr>
        <w:tc>
          <w:tcPr>
            <w:tcW w:w="284" w:type="pct"/>
            <w:tcBorders>
              <w:top w:val="nil"/>
              <w:left w:val="nil"/>
              <w:bottom w:val="nil"/>
              <w:right w:val="nil"/>
            </w:tcBorders>
            <w:shd w:val="clear" w:color="000000" w:fill="FFFFFF"/>
            <w:noWrap/>
            <w:vAlign w:val="center"/>
            <w:hideMark/>
          </w:tcPr>
          <w:p w14:paraId="4EF1E7FC"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lastRenderedPageBreak/>
              <w:t> </w:t>
            </w:r>
          </w:p>
        </w:tc>
        <w:tc>
          <w:tcPr>
            <w:tcW w:w="1636" w:type="pct"/>
            <w:tcBorders>
              <w:top w:val="nil"/>
              <w:left w:val="nil"/>
              <w:bottom w:val="nil"/>
              <w:right w:val="nil"/>
            </w:tcBorders>
            <w:shd w:val="clear" w:color="000000" w:fill="FFFFFF"/>
            <w:noWrap/>
            <w:vAlign w:val="center"/>
            <w:hideMark/>
          </w:tcPr>
          <w:p w14:paraId="315D93DA"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Instituto Mexicano de Tecnología del Agua(IMTA)</w:t>
            </w:r>
          </w:p>
        </w:tc>
        <w:tc>
          <w:tcPr>
            <w:tcW w:w="497" w:type="pct"/>
            <w:tcBorders>
              <w:top w:val="nil"/>
              <w:left w:val="nil"/>
              <w:bottom w:val="nil"/>
              <w:right w:val="nil"/>
            </w:tcBorders>
            <w:shd w:val="clear" w:color="000000" w:fill="FFFFFF"/>
            <w:noWrap/>
            <w:vAlign w:val="center"/>
            <w:hideMark/>
          </w:tcPr>
          <w:p w14:paraId="6DFDDBD9" w14:textId="77777777" w:rsidR="00F77FE5" w:rsidRPr="00F77FE5" w:rsidRDefault="00F77FE5" w:rsidP="00F77FE5">
            <w:pPr>
              <w:spacing w:after="0"/>
              <w:jc w:val="center"/>
              <w:rPr>
                <w:rFonts w:eastAsia="Times New Roman" w:cs="Calibri"/>
                <w:color w:val="000000"/>
                <w:sz w:val="12"/>
                <w:szCs w:val="12"/>
                <w:lang w:val="es-MX" w:eastAsia="es-MX"/>
              </w:rPr>
            </w:pPr>
          </w:p>
        </w:tc>
        <w:tc>
          <w:tcPr>
            <w:tcW w:w="497" w:type="pct"/>
            <w:tcBorders>
              <w:top w:val="nil"/>
              <w:left w:val="nil"/>
              <w:bottom w:val="nil"/>
              <w:right w:val="nil"/>
            </w:tcBorders>
            <w:shd w:val="clear" w:color="000000" w:fill="FFFFFF"/>
            <w:noWrap/>
            <w:vAlign w:val="center"/>
            <w:hideMark/>
          </w:tcPr>
          <w:p w14:paraId="3EE802E0"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640" w:type="pct"/>
            <w:tcBorders>
              <w:top w:val="nil"/>
              <w:left w:val="nil"/>
              <w:bottom w:val="nil"/>
              <w:right w:val="nil"/>
            </w:tcBorders>
            <w:shd w:val="clear" w:color="000000" w:fill="FFFFFF"/>
            <w:noWrap/>
            <w:vAlign w:val="center"/>
          </w:tcPr>
          <w:p w14:paraId="65C32CB4"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0B96F3B9"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3910BD20"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523441F3"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275CF28F" w14:textId="77777777" w:rsidTr="005A7CAD">
        <w:trPr>
          <w:trHeight w:val="300"/>
        </w:trPr>
        <w:tc>
          <w:tcPr>
            <w:tcW w:w="284" w:type="pct"/>
            <w:tcBorders>
              <w:top w:val="nil"/>
              <w:left w:val="nil"/>
              <w:bottom w:val="nil"/>
              <w:right w:val="nil"/>
            </w:tcBorders>
            <w:shd w:val="clear" w:color="000000" w:fill="FFFFFF"/>
            <w:noWrap/>
            <w:vAlign w:val="center"/>
            <w:hideMark/>
          </w:tcPr>
          <w:p w14:paraId="6CADEF90"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67CC6A0F"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Secretaría de Medio Ambiente y Recursos Naturales(SEMARNAT)</w:t>
            </w:r>
          </w:p>
        </w:tc>
        <w:tc>
          <w:tcPr>
            <w:tcW w:w="497" w:type="pct"/>
            <w:tcBorders>
              <w:top w:val="nil"/>
              <w:left w:val="nil"/>
              <w:bottom w:val="nil"/>
              <w:right w:val="nil"/>
            </w:tcBorders>
            <w:shd w:val="clear" w:color="000000" w:fill="FFFFFF"/>
            <w:noWrap/>
            <w:vAlign w:val="center"/>
            <w:hideMark/>
          </w:tcPr>
          <w:p w14:paraId="280DC04E"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13</w:t>
            </w:r>
          </w:p>
        </w:tc>
        <w:tc>
          <w:tcPr>
            <w:tcW w:w="497" w:type="pct"/>
            <w:tcBorders>
              <w:top w:val="nil"/>
              <w:left w:val="nil"/>
              <w:bottom w:val="nil"/>
              <w:right w:val="nil"/>
            </w:tcBorders>
            <w:shd w:val="clear" w:color="000000" w:fill="FFFFFF"/>
            <w:noWrap/>
            <w:vAlign w:val="center"/>
            <w:hideMark/>
          </w:tcPr>
          <w:p w14:paraId="329737A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640" w:type="pct"/>
            <w:tcBorders>
              <w:top w:val="nil"/>
              <w:left w:val="nil"/>
              <w:bottom w:val="nil"/>
              <w:right w:val="nil"/>
            </w:tcBorders>
            <w:shd w:val="clear" w:color="000000" w:fill="FFFFFF"/>
            <w:noWrap/>
            <w:vAlign w:val="center"/>
            <w:hideMark/>
          </w:tcPr>
          <w:p w14:paraId="6E3F71F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hideMark/>
          </w:tcPr>
          <w:p w14:paraId="1303D83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305" w:type="pct"/>
            <w:tcBorders>
              <w:top w:val="nil"/>
              <w:left w:val="nil"/>
              <w:bottom w:val="nil"/>
              <w:right w:val="nil"/>
            </w:tcBorders>
            <w:shd w:val="clear" w:color="000000" w:fill="FFFFFF"/>
            <w:noWrap/>
            <w:vAlign w:val="center"/>
            <w:hideMark/>
          </w:tcPr>
          <w:p w14:paraId="158A748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7BA5EC08"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3800268C" w14:textId="77777777" w:rsidTr="005A7CAD">
        <w:trPr>
          <w:trHeight w:val="300"/>
        </w:trPr>
        <w:tc>
          <w:tcPr>
            <w:tcW w:w="1920" w:type="pct"/>
            <w:gridSpan w:val="2"/>
            <w:tcBorders>
              <w:top w:val="nil"/>
              <w:left w:val="nil"/>
              <w:bottom w:val="nil"/>
              <w:right w:val="nil"/>
            </w:tcBorders>
            <w:shd w:val="clear" w:color="000000" w:fill="F2F2F2"/>
            <w:noWrap/>
            <w:vAlign w:val="center"/>
            <w:hideMark/>
          </w:tcPr>
          <w:p w14:paraId="33D210F9"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17 Procuraduría General de la República</w:t>
            </w:r>
          </w:p>
        </w:tc>
        <w:tc>
          <w:tcPr>
            <w:tcW w:w="497" w:type="pct"/>
            <w:tcBorders>
              <w:top w:val="nil"/>
              <w:left w:val="nil"/>
              <w:bottom w:val="nil"/>
              <w:right w:val="nil"/>
            </w:tcBorders>
            <w:shd w:val="clear" w:color="000000" w:fill="F2F2F2"/>
            <w:noWrap/>
            <w:vAlign w:val="center"/>
          </w:tcPr>
          <w:p w14:paraId="1CE1DCB4" w14:textId="77777777" w:rsidR="00F77FE5" w:rsidRPr="00F77FE5" w:rsidRDefault="00F77FE5" w:rsidP="00F77FE5">
            <w:pPr>
              <w:spacing w:after="0"/>
              <w:jc w:val="center"/>
              <w:rPr>
                <w:rFonts w:eastAsia="Times New Roman" w:cs="Calibri"/>
                <w:color w:val="000000"/>
                <w:sz w:val="12"/>
                <w:szCs w:val="12"/>
                <w:lang w:val="es-MX" w:eastAsia="es-MX"/>
              </w:rPr>
            </w:pPr>
          </w:p>
        </w:tc>
        <w:tc>
          <w:tcPr>
            <w:tcW w:w="497" w:type="pct"/>
            <w:tcBorders>
              <w:top w:val="nil"/>
              <w:left w:val="nil"/>
              <w:bottom w:val="nil"/>
              <w:right w:val="nil"/>
            </w:tcBorders>
            <w:shd w:val="clear" w:color="000000" w:fill="F2F2F2"/>
            <w:noWrap/>
            <w:vAlign w:val="center"/>
          </w:tcPr>
          <w:p w14:paraId="1FDC9A5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2F2F2"/>
            <w:noWrap/>
            <w:vAlign w:val="center"/>
            <w:hideMark/>
          </w:tcPr>
          <w:p w14:paraId="6D1ACBB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781" w:type="pct"/>
            <w:tcBorders>
              <w:top w:val="nil"/>
              <w:left w:val="nil"/>
              <w:bottom w:val="nil"/>
              <w:right w:val="nil"/>
            </w:tcBorders>
            <w:shd w:val="clear" w:color="000000" w:fill="F2F2F2"/>
            <w:noWrap/>
            <w:vAlign w:val="center"/>
          </w:tcPr>
          <w:p w14:paraId="3806BEF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2F2F2"/>
            <w:noWrap/>
            <w:vAlign w:val="center"/>
            <w:hideMark/>
          </w:tcPr>
          <w:p w14:paraId="75D9EC10"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360" w:type="pct"/>
            <w:tcBorders>
              <w:top w:val="nil"/>
              <w:left w:val="nil"/>
              <w:bottom w:val="nil"/>
              <w:right w:val="nil"/>
            </w:tcBorders>
            <w:shd w:val="clear" w:color="000000" w:fill="F2F2F2"/>
            <w:noWrap/>
            <w:vAlign w:val="center"/>
            <w:hideMark/>
          </w:tcPr>
          <w:p w14:paraId="4442213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0.6</w:t>
            </w:r>
          </w:p>
        </w:tc>
      </w:tr>
      <w:tr w:rsidR="00F77FE5" w:rsidRPr="00F77FE5" w14:paraId="44B33A8C" w14:textId="77777777" w:rsidTr="005A7CAD">
        <w:trPr>
          <w:trHeight w:val="300"/>
        </w:trPr>
        <w:tc>
          <w:tcPr>
            <w:tcW w:w="284" w:type="pct"/>
            <w:tcBorders>
              <w:top w:val="nil"/>
              <w:left w:val="nil"/>
              <w:bottom w:val="nil"/>
              <w:right w:val="nil"/>
            </w:tcBorders>
            <w:shd w:val="clear" w:color="000000" w:fill="FFFFFF"/>
            <w:noWrap/>
            <w:vAlign w:val="center"/>
            <w:hideMark/>
          </w:tcPr>
          <w:p w14:paraId="78D3A937"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6B0F9372"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Procuraduría General de la República(PGR)</w:t>
            </w:r>
          </w:p>
        </w:tc>
        <w:tc>
          <w:tcPr>
            <w:tcW w:w="497" w:type="pct"/>
            <w:tcBorders>
              <w:top w:val="nil"/>
              <w:left w:val="nil"/>
              <w:bottom w:val="nil"/>
              <w:right w:val="nil"/>
            </w:tcBorders>
            <w:shd w:val="clear" w:color="000000" w:fill="FFFFFF"/>
            <w:noWrap/>
            <w:vAlign w:val="center"/>
          </w:tcPr>
          <w:p w14:paraId="4F986EFB" w14:textId="77777777" w:rsidR="00F77FE5" w:rsidRPr="00F77FE5" w:rsidRDefault="00F77FE5" w:rsidP="00F77FE5">
            <w:pPr>
              <w:spacing w:after="0"/>
              <w:jc w:val="center"/>
              <w:rPr>
                <w:rFonts w:eastAsia="Times New Roman" w:cs="Calibri"/>
                <w:color w:val="000000"/>
                <w:sz w:val="12"/>
                <w:szCs w:val="12"/>
                <w:lang w:val="es-MX" w:eastAsia="es-MX"/>
              </w:rPr>
            </w:pPr>
          </w:p>
        </w:tc>
        <w:tc>
          <w:tcPr>
            <w:tcW w:w="497" w:type="pct"/>
            <w:tcBorders>
              <w:top w:val="nil"/>
              <w:left w:val="nil"/>
              <w:bottom w:val="nil"/>
              <w:right w:val="nil"/>
            </w:tcBorders>
            <w:shd w:val="clear" w:color="000000" w:fill="FFFFFF"/>
            <w:noWrap/>
            <w:vAlign w:val="center"/>
          </w:tcPr>
          <w:p w14:paraId="25E662AF"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hideMark/>
          </w:tcPr>
          <w:p w14:paraId="1264A2B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781" w:type="pct"/>
            <w:tcBorders>
              <w:top w:val="nil"/>
              <w:left w:val="nil"/>
              <w:bottom w:val="nil"/>
              <w:right w:val="nil"/>
            </w:tcBorders>
            <w:shd w:val="clear" w:color="000000" w:fill="FFFFFF"/>
            <w:noWrap/>
            <w:vAlign w:val="center"/>
          </w:tcPr>
          <w:p w14:paraId="39C27FA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75A8D0B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685CA1AC"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0299EAEC" w14:textId="77777777" w:rsidTr="005A7CAD">
        <w:trPr>
          <w:trHeight w:val="300"/>
        </w:trPr>
        <w:tc>
          <w:tcPr>
            <w:tcW w:w="1920" w:type="pct"/>
            <w:gridSpan w:val="2"/>
            <w:tcBorders>
              <w:top w:val="nil"/>
              <w:left w:val="nil"/>
              <w:bottom w:val="nil"/>
              <w:right w:val="nil"/>
            </w:tcBorders>
            <w:shd w:val="clear" w:color="000000" w:fill="F2F2F2"/>
            <w:noWrap/>
            <w:vAlign w:val="center"/>
            <w:hideMark/>
          </w:tcPr>
          <w:p w14:paraId="2AD9D864"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19 Aportaciones a Seguridad Social</w:t>
            </w:r>
          </w:p>
        </w:tc>
        <w:tc>
          <w:tcPr>
            <w:tcW w:w="497" w:type="pct"/>
            <w:tcBorders>
              <w:top w:val="nil"/>
              <w:left w:val="nil"/>
              <w:bottom w:val="nil"/>
              <w:right w:val="nil"/>
            </w:tcBorders>
            <w:shd w:val="clear" w:color="000000" w:fill="F2F2F2"/>
            <w:noWrap/>
            <w:vAlign w:val="center"/>
            <w:hideMark/>
          </w:tcPr>
          <w:p w14:paraId="024F2B6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497" w:type="pct"/>
            <w:tcBorders>
              <w:top w:val="nil"/>
              <w:left w:val="nil"/>
              <w:bottom w:val="nil"/>
              <w:right w:val="nil"/>
            </w:tcBorders>
            <w:shd w:val="clear" w:color="000000" w:fill="F2F2F2"/>
            <w:noWrap/>
            <w:vAlign w:val="center"/>
          </w:tcPr>
          <w:p w14:paraId="3240D54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2F2F2"/>
            <w:noWrap/>
            <w:vAlign w:val="center"/>
          </w:tcPr>
          <w:p w14:paraId="7C43BE5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2F2F2"/>
            <w:noWrap/>
            <w:vAlign w:val="center"/>
          </w:tcPr>
          <w:p w14:paraId="4DEB135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2F2F2"/>
            <w:noWrap/>
            <w:vAlign w:val="center"/>
            <w:hideMark/>
          </w:tcPr>
          <w:p w14:paraId="4E5289F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360" w:type="pct"/>
            <w:tcBorders>
              <w:top w:val="nil"/>
              <w:left w:val="nil"/>
              <w:bottom w:val="nil"/>
              <w:right w:val="nil"/>
            </w:tcBorders>
            <w:shd w:val="clear" w:color="000000" w:fill="F2F2F2"/>
            <w:noWrap/>
            <w:vAlign w:val="center"/>
            <w:hideMark/>
          </w:tcPr>
          <w:p w14:paraId="4F837E8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0.5</w:t>
            </w:r>
          </w:p>
        </w:tc>
      </w:tr>
      <w:tr w:rsidR="00F77FE5" w:rsidRPr="00F77FE5" w14:paraId="4409C22F" w14:textId="77777777" w:rsidTr="005A7CAD">
        <w:trPr>
          <w:trHeight w:val="300"/>
        </w:trPr>
        <w:tc>
          <w:tcPr>
            <w:tcW w:w="284" w:type="pct"/>
            <w:tcBorders>
              <w:top w:val="nil"/>
              <w:left w:val="nil"/>
              <w:bottom w:val="nil"/>
              <w:right w:val="nil"/>
            </w:tcBorders>
            <w:shd w:val="clear" w:color="000000" w:fill="FFFFFF"/>
            <w:noWrap/>
            <w:vAlign w:val="center"/>
            <w:hideMark/>
          </w:tcPr>
          <w:p w14:paraId="65D60618"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5EB4C6EC"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Instituto Mexicano del Seguro Social(IMSS)</w:t>
            </w:r>
          </w:p>
        </w:tc>
        <w:tc>
          <w:tcPr>
            <w:tcW w:w="497" w:type="pct"/>
            <w:tcBorders>
              <w:top w:val="nil"/>
              <w:left w:val="nil"/>
              <w:bottom w:val="nil"/>
              <w:right w:val="nil"/>
            </w:tcBorders>
            <w:shd w:val="clear" w:color="000000" w:fill="FFFFFF"/>
            <w:noWrap/>
            <w:vAlign w:val="center"/>
            <w:hideMark/>
          </w:tcPr>
          <w:p w14:paraId="5840346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497" w:type="pct"/>
            <w:tcBorders>
              <w:top w:val="nil"/>
              <w:left w:val="nil"/>
              <w:bottom w:val="nil"/>
              <w:right w:val="nil"/>
            </w:tcBorders>
            <w:shd w:val="clear" w:color="000000" w:fill="FFFFFF"/>
            <w:noWrap/>
            <w:vAlign w:val="center"/>
          </w:tcPr>
          <w:p w14:paraId="32277078"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2E127AA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15F7D79F"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6017B3C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08587193"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797C184A" w14:textId="77777777" w:rsidTr="005A7CAD">
        <w:trPr>
          <w:trHeight w:val="300"/>
        </w:trPr>
        <w:tc>
          <w:tcPr>
            <w:tcW w:w="1920" w:type="pct"/>
            <w:gridSpan w:val="2"/>
            <w:tcBorders>
              <w:top w:val="nil"/>
              <w:left w:val="nil"/>
              <w:bottom w:val="nil"/>
              <w:right w:val="nil"/>
            </w:tcBorders>
            <w:shd w:val="clear" w:color="000000" w:fill="F2F2F2"/>
            <w:noWrap/>
            <w:vAlign w:val="center"/>
            <w:hideMark/>
          </w:tcPr>
          <w:p w14:paraId="456B5E3D"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20 Desarrollo Social</w:t>
            </w:r>
          </w:p>
        </w:tc>
        <w:tc>
          <w:tcPr>
            <w:tcW w:w="497" w:type="pct"/>
            <w:tcBorders>
              <w:top w:val="nil"/>
              <w:left w:val="nil"/>
              <w:bottom w:val="nil"/>
              <w:right w:val="nil"/>
            </w:tcBorders>
            <w:shd w:val="clear" w:color="000000" w:fill="F2F2F2"/>
            <w:noWrap/>
            <w:vAlign w:val="center"/>
            <w:hideMark/>
          </w:tcPr>
          <w:p w14:paraId="430B29D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82</w:t>
            </w:r>
          </w:p>
        </w:tc>
        <w:tc>
          <w:tcPr>
            <w:tcW w:w="497" w:type="pct"/>
            <w:tcBorders>
              <w:top w:val="nil"/>
              <w:left w:val="nil"/>
              <w:bottom w:val="nil"/>
              <w:right w:val="nil"/>
            </w:tcBorders>
            <w:shd w:val="clear" w:color="000000" w:fill="F2F2F2"/>
            <w:noWrap/>
            <w:vAlign w:val="center"/>
            <w:hideMark/>
          </w:tcPr>
          <w:p w14:paraId="1E511B9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102</w:t>
            </w:r>
          </w:p>
        </w:tc>
        <w:tc>
          <w:tcPr>
            <w:tcW w:w="640" w:type="pct"/>
            <w:tcBorders>
              <w:top w:val="nil"/>
              <w:left w:val="nil"/>
              <w:bottom w:val="nil"/>
              <w:right w:val="nil"/>
            </w:tcBorders>
            <w:shd w:val="clear" w:color="000000" w:fill="F2F2F2"/>
            <w:noWrap/>
            <w:vAlign w:val="center"/>
          </w:tcPr>
          <w:p w14:paraId="289C1459"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2F2F2"/>
            <w:noWrap/>
            <w:vAlign w:val="center"/>
          </w:tcPr>
          <w:p w14:paraId="06C55F6B"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2F2F2"/>
            <w:noWrap/>
            <w:vAlign w:val="center"/>
            <w:hideMark/>
          </w:tcPr>
          <w:p w14:paraId="5CEA517A"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184</w:t>
            </w:r>
          </w:p>
        </w:tc>
        <w:tc>
          <w:tcPr>
            <w:tcW w:w="360" w:type="pct"/>
            <w:tcBorders>
              <w:top w:val="nil"/>
              <w:left w:val="nil"/>
              <w:bottom w:val="nil"/>
              <w:right w:val="nil"/>
            </w:tcBorders>
            <w:shd w:val="clear" w:color="000000" w:fill="F2F2F2"/>
            <w:noWrap/>
            <w:vAlign w:val="center"/>
            <w:hideMark/>
          </w:tcPr>
          <w:p w14:paraId="2444ABB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28.9</w:t>
            </w:r>
          </w:p>
        </w:tc>
      </w:tr>
      <w:tr w:rsidR="00F77FE5" w:rsidRPr="00F77FE5" w14:paraId="5895EBD7" w14:textId="77777777" w:rsidTr="005A7CAD">
        <w:trPr>
          <w:trHeight w:val="300"/>
        </w:trPr>
        <w:tc>
          <w:tcPr>
            <w:tcW w:w="284" w:type="pct"/>
            <w:tcBorders>
              <w:top w:val="nil"/>
              <w:left w:val="nil"/>
              <w:bottom w:val="nil"/>
              <w:right w:val="nil"/>
            </w:tcBorders>
            <w:shd w:val="clear" w:color="000000" w:fill="FFFFFF"/>
            <w:noWrap/>
            <w:vAlign w:val="center"/>
            <w:hideMark/>
          </w:tcPr>
          <w:p w14:paraId="28BCD169"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6EBA6CCD"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Consejo Nacional para el Desarrollo y la Inclusión de las Personas con Discapacidad(CONADIS)</w:t>
            </w:r>
          </w:p>
        </w:tc>
        <w:tc>
          <w:tcPr>
            <w:tcW w:w="497" w:type="pct"/>
            <w:tcBorders>
              <w:top w:val="nil"/>
              <w:left w:val="nil"/>
              <w:bottom w:val="nil"/>
              <w:right w:val="nil"/>
            </w:tcBorders>
            <w:shd w:val="clear" w:color="000000" w:fill="FFFFFF"/>
            <w:noWrap/>
            <w:vAlign w:val="center"/>
            <w:hideMark/>
          </w:tcPr>
          <w:p w14:paraId="00ECF581" w14:textId="77777777" w:rsidR="00F77FE5" w:rsidRPr="00F77FE5" w:rsidRDefault="00F77FE5" w:rsidP="00F77FE5">
            <w:pPr>
              <w:spacing w:after="0"/>
              <w:jc w:val="center"/>
              <w:rPr>
                <w:rFonts w:eastAsia="Times New Roman" w:cs="Calibri"/>
                <w:color w:val="000000"/>
                <w:sz w:val="12"/>
                <w:szCs w:val="12"/>
                <w:lang w:val="es-MX" w:eastAsia="es-MX"/>
              </w:rPr>
            </w:pPr>
          </w:p>
        </w:tc>
        <w:tc>
          <w:tcPr>
            <w:tcW w:w="497" w:type="pct"/>
            <w:tcBorders>
              <w:top w:val="nil"/>
              <w:left w:val="nil"/>
              <w:bottom w:val="nil"/>
              <w:right w:val="nil"/>
            </w:tcBorders>
            <w:shd w:val="clear" w:color="000000" w:fill="FFFFFF"/>
            <w:noWrap/>
            <w:vAlign w:val="center"/>
            <w:hideMark/>
          </w:tcPr>
          <w:p w14:paraId="1D930140"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640" w:type="pct"/>
            <w:tcBorders>
              <w:top w:val="nil"/>
              <w:left w:val="nil"/>
              <w:bottom w:val="nil"/>
              <w:right w:val="nil"/>
            </w:tcBorders>
            <w:shd w:val="clear" w:color="000000" w:fill="FFFFFF"/>
            <w:noWrap/>
            <w:vAlign w:val="center"/>
          </w:tcPr>
          <w:p w14:paraId="2BA3AE3F"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41607C7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2D94C88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3FDE920E"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62B47014" w14:textId="77777777" w:rsidTr="005A7CAD">
        <w:trPr>
          <w:trHeight w:val="300"/>
        </w:trPr>
        <w:tc>
          <w:tcPr>
            <w:tcW w:w="284" w:type="pct"/>
            <w:tcBorders>
              <w:top w:val="nil"/>
              <w:left w:val="nil"/>
              <w:bottom w:val="nil"/>
              <w:right w:val="nil"/>
            </w:tcBorders>
            <w:shd w:val="clear" w:color="000000" w:fill="FFFFFF"/>
            <w:noWrap/>
            <w:vAlign w:val="center"/>
            <w:hideMark/>
          </w:tcPr>
          <w:p w14:paraId="0A857F42"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3E6FCCE3"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Coordinación Nacional de PROSPERA Programa de Inclusión Social(CNP)</w:t>
            </w:r>
          </w:p>
        </w:tc>
        <w:tc>
          <w:tcPr>
            <w:tcW w:w="497" w:type="pct"/>
            <w:tcBorders>
              <w:top w:val="nil"/>
              <w:left w:val="nil"/>
              <w:bottom w:val="nil"/>
              <w:right w:val="nil"/>
            </w:tcBorders>
            <w:shd w:val="clear" w:color="000000" w:fill="FFFFFF"/>
            <w:noWrap/>
            <w:vAlign w:val="center"/>
            <w:hideMark/>
          </w:tcPr>
          <w:p w14:paraId="6213E5FF"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5</w:t>
            </w:r>
          </w:p>
        </w:tc>
        <w:tc>
          <w:tcPr>
            <w:tcW w:w="497" w:type="pct"/>
            <w:tcBorders>
              <w:top w:val="nil"/>
              <w:left w:val="nil"/>
              <w:bottom w:val="nil"/>
              <w:right w:val="nil"/>
            </w:tcBorders>
            <w:shd w:val="clear" w:color="000000" w:fill="FFFFFF"/>
            <w:noWrap/>
            <w:vAlign w:val="center"/>
            <w:hideMark/>
          </w:tcPr>
          <w:p w14:paraId="306B570E"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640" w:type="pct"/>
            <w:tcBorders>
              <w:top w:val="nil"/>
              <w:left w:val="nil"/>
              <w:bottom w:val="nil"/>
              <w:right w:val="nil"/>
            </w:tcBorders>
            <w:shd w:val="clear" w:color="000000" w:fill="FFFFFF"/>
            <w:noWrap/>
            <w:vAlign w:val="center"/>
          </w:tcPr>
          <w:p w14:paraId="20F791C0"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549F282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78D50D60"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206F2393"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1667E3B5" w14:textId="77777777" w:rsidTr="005A7CAD">
        <w:trPr>
          <w:trHeight w:val="300"/>
        </w:trPr>
        <w:tc>
          <w:tcPr>
            <w:tcW w:w="284" w:type="pct"/>
            <w:tcBorders>
              <w:top w:val="nil"/>
              <w:left w:val="nil"/>
              <w:bottom w:val="nil"/>
              <w:right w:val="nil"/>
            </w:tcBorders>
            <w:shd w:val="clear" w:color="000000" w:fill="FFFFFF"/>
            <w:noWrap/>
            <w:vAlign w:val="center"/>
            <w:hideMark/>
          </w:tcPr>
          <w:p w14:paraId="3F3C9984"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12DA2629" w14:textId="77777777" w:rsidR="00F77FE5" w:rsidRPr="00F77FE5" w:rsidRDefault="00F77FE5" w:rsidP="00F77FE5">
            <w:pPr>
              <w:spacing w:after="0"/>
              <w:rPr>
                <w:rFonts w:eastAsia="Times New Roman" w:cs="Calibri"/>
                <w:color w:val="000000"/>
                <w:sz w:val="12"/>
                <w:szCs w:val="12"/>
                <w:lang w:val="es-MX" w:eastAsia="es-MX"/>
              </w:rPr>
            </w:pPr>
            <w:proofErr w:type="spellStart"/>
            <w:r w:rsidRPr="00F77FE5">
              <w:rPr>
                <w:rFonts w:eastAsia="Times New Roman" w:cs="Calibri"/>
                <w:color w:val="000000"/>
                <w:sz w:val="12"/>
                <w:szCs w:val="12"/>
                <w:lang w:val="es-MX" w:eastAsia="es-MX"/>
              </w:rPr>
              <w:t>Diconsa</w:t>
            </w:r>
            <w:proofErr w:type="spellEnd"/>
            <w:r w:rsidRPr="00F77FE5">
              <w:rPr>
                <w:rFonts w:eastAsia="Times New Roman" w:cs="Calibri"/>
                <w:color w:val="000000"/>
                <w:sz w:val="12"/>
                <w:szCs w:val="12"/>
                <w:lang w:val="es-MX" w:eastAsia="es-MX"/>
              </w:rPr>
              <w:t>, S.A. de C.V.(DICONSA)</w:t>
            </w:r>
          </w:p>
        </w:tc>
        <w:tc>
          <w:tcPr>
            <w:tcW w:w="497" w:type="pct"/>
            <w:tcBorders>
              <w:top w:val="nil"/>
              <w:left w:val="nil"/>
              <w:bottom w:val="nil"/>
              <w:right w:val="nil"/>
            </w:tcBorders>
            <w:shd w:val="clear" w:color="000000" w:fill="FFFFFF"/>
            <w:noWrap/>
            <w:vAlign w:val="center"/>
            <w:hideMark/>
          </w:tcPr>
          <w:p w14:paraId="55F6B82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7</w:t>
            </w:r>
          </w:p>
        </w:tc>
        <w:tc>
          <w:tcPr>
            <w:tcW w:w="497" w:type="pct"/>
            <w:tcBorders>
              <w:top w:val="nil"/>
              <w:left w:val="nil"/>
              <w:bottom w:val="nil"/>
              <w:right w:val="nil"/>
            </w:tcBorders>
            <w:shd w:val="clear" w:color="000000" w:fill="FFFFFF"/>
            <w:noWrap/>
            <w:vAlign w:val="center"/>
            <w:hideMark/>
          </w:tcPr>
          <w:p w14:paraId="75029D8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w:t>
            </w:r>
          </w:p>
        </w:tc>
        <w:tc>
          <w:tcPr>
            <w:tcW w:w="640" w:type="pct"/>
            <w:tcBorders>
              <w:top w:val="nil"/>
              <w:left w:val="nil"/>
              <w:bottom w:val="nil"/>
              <w:right w:val="nil"/>
            </w:tcBorders>
            <w:shd w:val="clear" w:color="000000" w:fill="FFFFFF"/>
            <w:noWrap/>
            <w:vAlign w:val="center"/>
          </w:tcPr>
          <w:p w14:paraId="0062588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57EBF3A9"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11EF7D74"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2BAC91F3"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2425C719" w14:textId="77777777" w:rsidTr="005A7CAD">
        <w:trPr>
          <w:trHeight w:val="300"/>
        </w:trPr>
        <w:tc>
          <w:tcPr>
            <w:tcW w:w="284" w:type="pct"/>
            <w:tcBorders>
              <w:top w:val="nil"/>
              <w:left w:val="nil"/>
              <w:bottom w:val="nil"/>
              <w:right w:val="nil"/>
            </w:tcBorders>
            <w:shd w:val="clear" w:color="000000" w:fill="FFFFFF"/>
            <w:noWrap/>
            <w:vAlign w:val="center"/>
            <w:hideMark/>
          </w:tcPr>
          <w:p w14:paraId="2A9754B9"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0A99F901"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Fondo Nacional para el Fomento de las Artesanías(FONART)</w:t>
            </w:r>
          </w:p>
        </w:tc>
        <w:tc>
          <w:tcPr>
            <w:tcW w:w="497" w:type="pct"/>
            <w:tcBorders>
              <w:top w:val="nil"/>
              <w:left w:val="nil"/>
              <w:bottom w:val="nil"/>
              <w:right w:val="nil"/>
            </w:tcBorders>
            <w:shd w:val="clear" w:color="000000" w:fill="FFFFFF"/>
            <w:noWrap/>
            <w:vAlign w:val="center"/>
            <w:hideMark/>
          </w:tcPr>
          <w:p w14:paraId="4FF24CE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0</w:t>
            </w:r>
          </w:p>
        </w:tc>
        <w:tc>
          <w:tcPr>
            <w:tcW w:w="497" w:type="pct"/>
            <w:tcBorders>
              <w:top w:val="nil"/>
              <w:left w:val="nil"/>
              <w:bottom w:val="nil"/>
              <w:right w:val="nil"/>
            </w:tcBorders>
            <w:shd w:val="clear" w:color="000000" w:fill="FFFFFF"/>
            <w:noWrap/>
            <w:vAlign w:val="center"/>
            <w:hideMark/>
          </w:tcPr>
          <w:p w14:paraId="1D7CA32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7</w:t>
            </w:r>
          </w:p>
        </w:tc>
        <w:tc>
          <w:tcPr>
            <w:tcW w:w="640" w:type="pct"/>
            <w:tcBorders>
              <w:top w:val="nil"/>
              <w:left w:val="nil"/>
              <w:bottom w:val="nil"/>
              <w:right w:val="nil"/>
            </w:tcBorders>
            <w:shd w:val="clear" w:color="000000" w:fill="FFFFFF"/>
            <w:noWrap/>
            <w:vAlign w:val="center"/>
          </w:tcPr>
          <w:p w14:paraId="518B6D8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6CF5988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24E94DA2"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25540A8F"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4BAB564A" w14:textId="77777777" w:rsidTr="005A7CAD">
        <w:trPr>
          <w:trHeight w:val="300"/>
        </w:trPr>
        <w:tc>
          <w:tcPr>
            <w:tcW w:w="284" w:type="pct"/>
            <w:tcBorders>
              <w:top w:val="nil"/>
              <w:left w:val="nil"/>
              <w:bottom w:val="nil"/>
              <w:right w:val="nil"/>
            </w:tcBorders>
            <w:shd w:val="clear" w:color="000000" w:fill="FFFFFF"/>
            <w:noWrap/>
            <w:vAlign w:val="center"/>
            <w:hideMark/>
          </w:tcPr>
          <w:p w14:paraId="5853D7EE"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238FBB1A"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Instituto Mexicano de la Juventud(IMJUVE)</w:t>
            </w:r>
          </w:p>
        </w:tc>
        <w:tc>
          <w:tcPr>
            <w:tcW w:w="497" w:type="pct"/>
            <w:tcBorders>
              <w:top w:val="nil"/>
              <w:left w:val="nil"/>
              <w:bottom w:val="nil"/>
              <w:right w:val="nil"/>
            </w:tcBorders>
            <w:shd w:val="clear" w:color="000000" w:fill="FFFFFF"/>
            <w:noWrap/>
            <w:vAlign w:val="center"/>
            <w:hideMark/>
          </w:tcPr>
          <w:p w14:paraId="5C098EAA"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12</w:t>
            </w:r>
          </w:p>
        </w:tc>
        <w:tc>
          <w:tcPr>
            <w:tcW w:w="497" w:type="pct"/>
            <w:tcBorders>
              <w:top w:val="nil"/>
              <w:left w:val="nil"/>
              <w:bottom w:val="nil"/>
              <w:right w:val="nil"/>
            </w:tcBorders>
            <w:shd w:val="clear" w:color="000000" w:fill="FFFFFF"/>
            <w:noWrap/>
            <w:vAlign w:val="center"/>
            <w:hideMark/>
          </w:tcPr>
          <w:p w14:paraId="75B2EEC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w:t>
            </w:r>
          </w:p>
        </w:tc>
        <w:tc>
          <w:tcPr>
            <w:tcW w:w="640" w:type="pct"/>
            <w:tcBorders>
              <w:top w:val="nil"/>
              <w:left w:val="nil"/>
              <w:bottom w:val="nil"/>
              <w:right w:val="nil"/>
            </w:tcBorders>
            <w:shd w:val="clear" w:color="000000" w:fill="FFFFFF"/>
            <w:noWrap/>
            <w:vAlign w:val="center"/>
          </w:tcPr>
          <w:p w14:paraId="6C7EBB54"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54E57588"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01DAD187"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42A4E9D5"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6BDC6346" w14:textId="77777777" w:rsidTr="005A7CAD">
        <w:trPr>
          <w:trHeight w:val="300"/>
        </w:trPr>
        <w:tc>
          <w:tcPr>
            <w:tcW w:w="284" w:type="pct"/>
            <w:tcBorders>
              <w:top w:val="nil"/>
              <w:left w:val="nil"/>
              <w:bottom w:val="nil"/>
              <w:right w:val="nil"/>
            </w:tcBorders>
            <w:shd w:val="clear" w:color="000000" w:fill="FFFFFF"/>
            <w:noWrap/>
            <w:vAlign w:val="center"/>
            <w:hideMark/>
          </w:tcPr>
          <w:p w14:paraId="071A316C"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12E6BC3A"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Instituto Nacional de Desarrollo Social(INDESOL)</w:t>
            </w:r>
          </w:p>
        </w:tc>
        <w:tc>
          <w:tcPr>
            <w:tcW w:w="497" w:type="pct"/>
            <w:tcBorders>
              <w:top w:val="nil"/>
              <w:left w:val="nil"/>
              <w:bottom w:val="nil"/>
              <w:right w:val="nil"/>
            </w:tcBorders>
            <w:shd w:val="clear" w:color="000000" w:fill="FFFFFF"/>
            <w:noWrap/>
            <w:vAlign w:val="center"/>
            <w:hideMark/>
          </w:tcPr>
          <w:p w14:paraId="38CFB53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497" w:type="pct"/>
            <w:tcBorders>
              <w:top w:val="nil"/>
              <w:left w:val="nil"/>
              <w:bottom w:val="nil"/>
              <w:right w:val="nil"/>
            </w:tcBorders>
            <w:shd w:val="clear" w:color="000000" w:fill="FFFFFF"/>
            <w:noWrap/>
            <w:vAlign w:val="center"/>
            <w:hideMark/>
          </w:tcPr>
          <w:p w14:paraId="1366F48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640" w:type="pct"/>
            <w:tcBorders>
              <w:top w:val="nil"/>
              <w:left w:val="nil"/>
              <w:bottom w:val="nil"/>
              <w:right w:val="nil"/>
            </w:tcBorders>
            <w:shd w:val="clear" w:color="000000" w:fill="FFFFFF"/>
            <w:noWrap/>
            <w:vAlign w:val="center"/>
          </w:tcPr>
          <w:p w14:paraId="6FBF2C04"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14087AE9"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245FEE0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0F3B2A8F"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28F512C6" w14:textId="77777777" w:rsidTr="005A7CAD">
        <w:trPr>
          <w:trHeight w:val="300"/>
        </w:trPr>
        <w:tc>
          <w:tcPr>
            <w:tcW w:w="284" w:type="pct"/>
            <w:tcBorders>
              <w:top w:val="nil"/>
              <w:left w:val="nil"/>
              <w:bottom w:val="nil"/>
              <w:right w:val="nil"/>
            </w:tcBorders>
            <w:shd w:val="clear" w:color="000000" w:fill="FFFFFF"/>
            <w:noWrap/>
            <w:vAlign w:val="center"/>
            <w:hideMark/>
          </w:tcPr>
          <w:p w14:paraId="00D95E88"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2E0C42AD"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Instituto Nacional de las Personas Adultas Mayores(INAPAM)</w:t>
            </w:r>
          </w:p>
        </w:tc>
        <w:tc>
          <w:tcPr>
            <w:tcW w:w="497" w:type="pct"/>
            <w:tcBorders>
              <w:top w:val="nil"/>
              <w:left w:val="nil"/>
              <w:bottom w:val="nil"/>
              <w:right w:val="nil"/>
            </w:tcBorders>
            <w:shd w:val="clear" w:color="000000" w:fill="FFFFFF"/>
            <w:noWrap/>
            <w:vAlign w:val="center"/>
            <w:hideMark/>
          </w:tcPr>
          <w:p w14:paraId="2766B45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6</w:t>
            </w:r>
          </w:p>
        </w:tc>
        <w:tc>
          <w:tcPr>
            <w:tcW w:w="497" w:type="pct"/>
            <w:tcBorders>
              <w:top w:val="nil"/>
              <w:left w:val="nil"/>
              <w:bottom w:val="nil"/>
              <w:right w:val="nil"/>
            </w:tcBorders>
            <w:shd w:val="clear" w:color="000000" w:fill="FFFFFF"/>
            <w:noWrap/>
            <w:vAlign w:val="center"/>
            <w:hideMark/>
          </w:tcPr>
          <w:p w14:paraId="2A20B27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w:t>
            </w:r>
          </w:p>
        </w:tc>
        <w:tc>
          <w:tcPr>
            <w:tcW w:w="640" w:type="pct"/>
            <w:tcBorders>
              <w:top w:val="nil"/>
              <w:left w:val="nil"/>
              <w:bottom w:val="nil"/>
              <w:right w:val="nil"/>
            </w:tcBorders>
            <w:shd w:val="clear" w:color="000000" w:fill="FFFFFF"/>
            <w:noWrap/>
            <w:vAlign w:val="center"/>
          </w:tcPr>
          <w:p w14:paraId="436AC340"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71D14BC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0555B5AB"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44270B9B"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2670B827" w14:textId="77777777" w:rsidTr="005A7CAD">
        <w:trPr>
          <w:trHeight w:val="300"/>
        </w:trPr>
        <w:tc>
          <w:tcPr>
            <w:tcW w:w="284" w:type="pct"/>
            <w:tcBorders>
              <w:top w:val="nil"/>
              <w:left w:val="nil"/>
              <w:bottom w:val="nil"/>
              <w:right w:val="nil"/>
            </w:tcBorders>
            <w:shd w:val="clear" w:color="000000" w:fill="FFFFFF"/>
            <w:noWrap/>
            <w:vAlign w:val="center"/>
            <w:hideMark/>
          </w:tcPr>
          <w:p w14:paraId="5CDE0B1F"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4D5D9242" w14:textId="77777777" w:rsidR="00F77FE5" w:rsidRPr="00F77FE5" w:rsidRDefault="00F77FE5" w:rsidP="00F77FE5">
            <w:pPr>
              <w:spacing w:after="0"/>
              <w:rPr>
                <w:rFonts w:eastAsia="Times New Roman" w:cs="Calibri"/>
                <w:color w:val="000000"/>
                <w:sz w:val="12"/>
                <w:szCs w:val="12"/>
                <w:lang w:val="es-MX" w:eastAsia="es-MX"/>
              </w:rPr>
            </w:pPr>
            <w:proofErr w:type="spellStart"/>
            <w:r w:rsidRPr="00F77FE5">
              <w:rPr>
                <w:rFonts w:eastAsia="Times New Roman" w:cs="Calibri"/>
                <w:color w:val="000000"/>
                <w:sz w:val="12"/>
                <w:szCs w:val="12"/>
                <w:lang w:val="es-MX" w:eastAsia="es-MX"/>
              </w:rPr>
              <w:t>Liconsa</w:t>
            </w:r>
            <w:proofErr w:type="spellEnd"/>
            <w:r w:rsidRPr="00F77FE5">
              <w:rPr>
                <w:rFonts w:eastAsia="Times New Roman" w:cs="Calibri"/>
                <w:color w:val="000000"/>
                <w:sz w:val="12"/>
                <w:szCs w:val="12"/>
                <w:lang w:val="es-MX" w:eastAsia="es-MX"/>
              </w:rPr>
              <w:t>, S.A. de C.V.(LICONSA)</w:t>
            </w:r>
          </w:p>
        </w:tc>
        <w:tc>
          <w:tcPr>
            <w:tcW w:w="497" w:type="pct"/>
            <w:tcBorders>
              <w:top w:val="nil"/>
              <w:left w:val="nil"/>
              <w:bottom w:val="nil"/>
              <w:right w:val="nil"/>
            </w:tcBorders>
            <w:shd w:val="clear" w:color="000000" w:fill="FFFFFF"/>
            <w:noWrap/>
            <w:vAlign w:val="center"/>
            <w:hideMark/>
          </w:tcPr>
          <w:p w14:paraId="19C0BA55"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7</w:t>
            </w:r>
          </w:p>
        </w:tc>
        <w:tc>
          <w:tcPr>
            <w:tcW w:w="497" w:type="pct"/>
            <w:tcBorders>
              <w:top w:val="nil"/>
              <w:left w:val="nil"/>
              <w:bottom w:val="nil"/>
              <w:right w:val="nil"/>
            </w:tcBorders>
            <w:shd w:val="clear" w:color="000000" w:fill="FFFFFF"/>
            <w:noWrap/>
            <w:vAlign w:val="center"/>
            <w:hideMark/>
          </w:tcPr>
          <w:p w14:paraId="11B905E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w:t>
            </w:r>
          </w:p>
        </w:tc>
        <w:tc>
          <w:tcPr>
            <w:tcW w:w="640" w:type="pct"/>
            <w:tcBorders>
              <w:top w:val="nil"/>
              <w:left w:val="nil"/>
              <w:bottom w:val="nil"/>
              <w:right w:val="nil"/>
            </w:tcBorders>
            <w:shd w:val="clear" w:color="000000" w:fill="FFFFFF"/>
            <w:noWrap/>
            <w:vAlign w:val="center"/>
          </w:tcPr>
          <w:p w14:paraId="022348A8"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1EA70630"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08A518EA"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40B97956"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75A1475E" w14:textId="77777777" w:rsidTr="005A7CAD">
        <w:trPr>
          <w:trHeight w:val="300"/>
        </w:trPr>
        <w:tc>
          <w:tcPr>
            <w:tcW w:w="284" w:type="pct"/>
            <w:tcBorders>
              <w:top w:val="nil"/>
              <w:left w:val="nil"/>
              <w:bottom w:val="nil"/>
              <w:right w:val="nil"/>
            </w:tcBorders>
            <w:shd w:val="clear" w:color="000000" w:fill="FFFFFF"/>
            <w:noWrap/>
            <w:vAlign w:val="center"/>
            <w:hideMark/>
          </w:tcPr>
          <w:p w14:paraId="4D5576D3"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62BC6181"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Secretaría de Desarrollo Social(SEDESOL)</w:t>
            </w:r>
          </w:p>
        </w:tc>
        <w:tc>
          <w:tcPr>
            <w:tcW w:w="497" w:type="pct"/>
            <w:tcBorders>
              <w:top w:val="nil"/>
              <w:left w:val="nil"/>
              <w:bottom w:val="nil"/>
              <w:right w:val="nil"/>
            </w:tcBorders>
            <w:shd w:val="clear" w:color="000000" w:fill="FFFFFF"/>
            <w:noWrap/>
            <w:vAlign w:val="center"/>
            <w:hideMark/>
          </w:tcPr>
          <w:p w14:paraId="6FF57E6F"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44</w:t>
            </w:r>
          </w:p>
        </w:tc>
        <w:tc>
          <w:tcPr>
            <w:tcW w:w="497" w:type="pct"/>
            <w:tcBorders>
              <w:top w:val="nil"/>
              <w:left w:val="nil"/>
              <w:bottom w:val="nil"/>
              <w:right w:val="nil"/>
            </w:tcBorders>
            <w:shd w:val="clear" w:color="000000" w:fill="FFFFFF"/>
            <w:noWrap/>
            <w:vAlign w:val="center"/>
            <w:hideMark/>
          </w:tcPr>
          <w:p w14:paraId="380049B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52</w:t>
            </w:r>
          </w:p>
        </w:tc>
        <w:tc>
          <w:tcPr>
            <w:tcW w:w="640" w:type="pct"/>
            <w:tcBorders>
              <w:top w:val="nil"/>
              <w:left w:val="nil"/>
              <w:bottom w:val="nil"/>
              <w:right w:val="nil"/>
            </w:tcBorders>
            <w:shd w:val="clear" w:color="000000" w:fill="FFFFFF"/>
            <w:noWrap/>
            <w:vAlign w:val="center"/>
          </w:tcPr>
          <w:p w14:paraId="7E1969D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2FFF48CF"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6F98FB0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5AE3F0FF"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5ED156DC" w14:textId="77777777" w:rsidTr="005A7CAD">
        <w:trPr>
          <w:trHeight w:val="300"/>
        </w:trPr>
        <w:tc>
          <w:tcPr>
            <w:tcW w:w="1920" w:type="pct"/>
            <w:gridSpan w:val="2"/>
            <w:tcBorders>
              <w:top w:val="nil"/>
              <w:left w:val="nil"/>
              <w:bottom w:val="nil"/>
              <w:right w:val="nil"/>
            </w:tcBorders>
            <w:shd w:val="clear" w:color="000000" w:fill="F2F2F2"/>
            <w:noWrap/>
            <w:vAlign w:val="center"/>
            <w:hideMark/>
          </w:tcPr>
          <w:p w14:paraId="473BCE18"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21 Turismo</w:t>
            </w:r>
          </w:p>
        </w:tc>
        <w:tc>
          <w:tcPr>
            <w:tcW w:w="497" w:type="pct"/>
            <w:tcBorders>
              <w:top w:val="nil"/>
              <w:left w:val="nil"/>
              <w:bottom w:val="nil"/>
              <w:right w:val="nil"/>
            </w:tcBorders>
            <w:shd w:val="clear" w:color="000000" w:fill="F2F2F2"/>
            <w:noWrap/>
            <w:vAlign w:val="center"/>
            <w:hideMark/>
          </w:tcPr>
          <w:p w14:paraId="5C5E4CC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497" w:type="pct"/>
            <w:tcBorders>
              <w:top w:val="nil"/>
              <w:left w:val="nil"/>
              <w:bottom w:val="nil"/>
              <w:right w:val="nil"/>
            </w:tcBorders>
            <w:shd w:val="clear" w:color="000000" w:fill="F2F2F2"/>
            <w:noWrap/>
            <w:vAlign w:val="center"/>
            <w:hideMark/>
          </w:tcPr>
          <w:p w14:paraId="28B3606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15</w:t>
            </w:r>
          </w:p>
        </w:tc>
        <w:tc>
          <w:tcPr>
            <w:tcW w:w="640" w:type="pct"/>
            <w:tcBorders>
              <w:top w:val="nil"/>
              <w:left w:val="nil"/>
              <w:bottom w:val="nil"/>
              <w:right w:val="nil"/>
            </w:tcBorders>
            <w:shd w:val="clear" w:color="000000" w:fill="F2F2F2"/>
            <w:noWrap/>
            <w:vAlign w:val="center"/>
          </w:tcPr>
          <w:p w14:paraId="04854208"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2F2F2"/>
            <w:noWrap/>
            <w:vAlign w:val="center"/>
          </w:tcPr>
          <w:p w14:paraId="0742E9C0"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2F2F2"/>
            <w:noWrap/>
            <w:vAlign w:val="center"/>
            <w:hideMark/>
          </w:tcPr>
          <w:p w14:paraId="2D0E311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16</w:t>
            </w:r>
          </w:p>
        </w:tc>
        <w:tc>
          <w:tcPr>
            <w:tcW w:w="360" w:type="pct"/>
            <w:tcBorders>
              <w:top w:val="nil"/>
              <w:left w:val="nil"/>
              <w:bottom w:val="nil"/>
              <w:right w:val="nil"/>
            </w:tcBorders>
            <w:shd w:val="clear" w:color="000000" w:fill="F2F2F2"/>
            <w:noWrap/>
            <w:vAlign w:val="center"/>
            <w:hideMark/>
          </w:tcPr>
          <w:p w14:paraId="147EC82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2.5</w:t>
            </w:r>
          </w:p>
        </w:tc>
      </w:tr>
      <w:tr w:rsidR="00F77FE5" w:rsidRPr="00F77FE5" w14:paraId="4EBC48DE" w14:textId="77777777" w:rsidTr="005A7CAD">
        <w:trPr>
          <w:trHeight w:val="300"/>
        </w:trPr>
        <w:tc>
          <w:tcPr>
            <w:tcW w:w="284" w:type="pct"/>
            <w:tcBorders>
              <w:top w:val="nil"/>
              <w:left w:val="nil"/>
              <w:bottom w:val="nil"/>
              <w:right w:val="nil"/>
            </w:tcBorders>
            <w:shd w:val="clear" w:color="000000" w:fill="FFFFFF"/>
            <w:noWrap/>
            <w:vAlign w:val="center"/>
            <w:hideMark/>
          </w:tcPr>
          <w:p w14:paraId="1FFE15D5"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71985309"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Corporación de Servicios al Turista Ángeles Verdes(ANGELES VERDES)</w:t>
            </w:r>
          </w:p>
        </w:tc>
        <w:tc>
          <w:tcPr>
            <w:tcW w:w="497" w:type="pct"/>
            <w:tcBorders>
              <w:top w:val="nil"/>
              <w:left w:val="nil"/>
              <w:bottom w:val="nil"/>
              <w:right w:val="nil"/>
            </w:tcBorders>
            <w:shd w:val="clear" w:color="000000" w:fill="FFFFFF"/>
            <w:noWrap/>
            <w:vAlign w:val="center"/>
          </w:tcPr>
          <w:p w14:paraId="7BB6651F" w14:textId="77777777" w:rsidR="00F77FE5" w:rsidRPr="00F77FE5" w:rsidRDefault="00F77FE5" w:rsidP="00F77FE5">
            <w:pPr>
              <w:spacing w:after="0"/>
              <w:jc w:val="center"/>
              <w:rPr>
                <w:rFonts w:eastAsia="Times New Roman" w:cs="Calibri"/>
                <w:color w:val="000000"/>
                <w:sz w:val="12"/>
                <w:szCs w:val="12"/>
                <w:lang w:val="es-MX" w:eastAsia="es-MX"/>
              </w:rPr>
            </w:pPr>
          </w:p>
        </w:tc>
        <w:tc>
          <w:tcPr>
            <w:tcW w:w="497" w:type="pct"/>
            <w:tcBorders>
              <w:top w:val="nil"/>
              <w:left w:val="nil"/>
              <w:bottom w:val="nil"/>
              <w:right w:val="nil"/>
            </w:tcBorders>
            <w:shd w:val="clear" w:color="000000" w:fill="FFFFFF"/>
            <w:noWrap/>
            <w:vAlign w:val="center"/>
            <w:hideMark/>
          </w:tcPr>
          <w:p w14:paraId="1F5242F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640" w:type="pct"/>
            <w:tcBorders>
              <w:top w:val="nil"/>
              <w:left w:val="nil"/>
              <w:bottom w:val="nil"/>
              <w:right w:val="nil"/>
            </w:tcBorders>
            <w:shd w:val="clear" w:color="000000" w:fill="FFFFFF"/>
            <w:noWrap/>
            <w:vAlign w:val="center"/>
          </w:tcPr>
          <w:p w14:paraId="31E0869A"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0D989F9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332FD919"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4DA85B1D"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1FD72018" w14:textId="77777777" w:rsidTr="005A7CAD">
        <w:trPr>
          <w:trHeight w:val="300"/>
        </w:trPr>
        <w:tc>
          <w:tcPr>
            <w:tcW w:w="284" w:type="pct"/>
            <w:tcBorders>
              <w:top w:val="nil"/>
              <w:left w:val="nil"/>
              <w:bottom w:val="nil"/>
              <w:right w:val="nil"/>
            </w:tcBorders>
            <w:shd w:val="clear" w:color="000000" w:fill="FFFFFF"/>
            <w:noWrap/>
            <w:vAlign w:val="center"/>
            <w:hideMark/>
          </w:tcPr>
          <w:p w14:paraId="2844449E"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5E091E50"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Fondo Nacional de Fomento al Turismo(FONATUR)</w:t>
            </w:r>
          </w:p>
        </w:tc>
        <w:tc>
          <w:tcPr>
            <w:tcW w:w="497" w:type="pct"/>
            <w:tcBorders>
              <w:top w:val="nil"/>
              <w:left w:val="nil"/>
              <w:bottom w:val="nil"/>
              <w:right w:val="nil"/>
            </w:tcBorders>
            <w:shd w:val="clear" w:color="000000" w:fill="FFFFFF"/>
            <w:noWrap/>
            <w:vAlign w:val="center"/>
          </w:tcPr>
          <w:p w14:paraId="1EDCD6C1" w14:textId="77777777" w:rsidR="00F77FE5" w:rsidRPr="00F77FE5" w:rsidRDefault="00F77FE5" w:rsidP="00F77FE5">
            <w:pPr>
              <w:spacing w:after="0"/>
              <w:jc w:val="center"/>
              <w:rPr>
                <w:rFonts w:eastAsia="Times New Roman" w:cs="Calibri"/>
                <w:color w:val="000000"/>
                <w:sz w:val="12"/>
                <w:szCs w:val="12"/>
                <w:lang w:val="es-MX" w:eastAsia="es-MX"/>
              </w:rPr>
            </w:pPr>
          </w:p>
        </w:tc>
        <w:tc>
          <w:tcPr>
            <w:tcW w:w="497" w:type="pct"/>
            <w:tcBorders>
              <w:top w:val="nil"/>
              <w:left w:val="nil"/>
              <w:bottom w:val="nil"/>
              <w:right w:val="nil"/>
            </w:tcBorders>
            <w:shd w:val="clear" w:color="000000" w:fill="FFFFFF"/>
            <w:noWrap/>
            <w:vAlign w:val="center"/>
            <w:hideMark/>
          </w:tcPr>
          <w:p w14:paraId="19276EFA"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640" w:type="pct"/>
            <w:tcBorders>
              <w:top w:val="nil"/>
              <w:left w:val="nil"/>
              <w:bottom w:val="nil"/>
              <w:right w:val="nil"/>
            </w:tcBorders>
            <w:shd w:val="clear" w:color="000000" w:fill="FFFFFF"/>
            <w:noWrap/>
            <w:vAlign w:val="center"/>
          </w:tcPr>
          <w:p w14:paraId="18D91D87"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5C4E7A11"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49ADB697"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2842A595"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55178ED8" w14:textId="77777777" w:rsidTr="005A7CAD">
        <w:trPr>
          <w:trHeight w:val="300"/>
        </w:trPr>
        <w:tc>
          <w:tcPr>
            <w:tcW w:w="284" w:type="pct"/>
            <w:tcBorders>
              <w:top w:val="nil"/>
              <w:left w:val="nil"/>
              <w:bottom w:val="nil"/>
              <w:right w:val="nil"/>
            </w:tcBorders>
            <w:shd w:val="clear" w:color="000000" w:fill="FFFFFF"/>
            <w:noWrap/>
            <w:vAlign w:val="center"/>
            <w:hideMark/>
          </w:tcPr>
          <w:p w14:paraId="1AF6FFD4"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10C129F5"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Secretaría de Turismo(SECTUR)</w:t>
            </w:r>
          </w:p>
        </w:tc>
        <w:tc>
          <w:tcPr>
            <w:tcW w:w="497" w:type="pct"/>
            <w:tcBorders>
              <w:top w:val="nil"/>
              <w:left w:val="nil"/>
              <w:bottom w:val="nil"/>
              <w:right w:val="nil"/>
            </w:tcBorders>
            <w:shd w:val="clear" w:color="000000" w:fill="FFFFFF"/>
            <w:noWrap/>
            <w:vAlign w:val="center"/>
            <w:hideMark/>
          </w:tcPr>
          <w:p w14:paraId="5D73497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497" w:type="pct"/>
            <w:tcBorders>
              <w:top w:val="nil"/>
              <w:left w:val="nil"/>
              <w:bottom w:val="nil"/>
              <w:right w:val="nil"/>
            </w:tcBorders>
            <w:shd w:val="clear" w:color="000000" w:fill="FFFFFF"/>
            <w:noWrap/>
            <w:vAlign w:val="center"/>
            <w:hideMark/>
          </w:tcPr>
          <w:p w14:paraId="2AD6FDB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w:t>
            </w:r>
          </w:p>
        </w:tc>
        <w:tc>
          <w:tcPr>
            <w:tcW w:w="640" w:type="pct"/>
            <w:tcBorders>
              <w:top w:val="nil"/>
              <w:left w:val="nil"/>
              <w:bottom w:val="nil"/>
              <w:right w:val="nil"/>
            </w:tcBorders>
            <w:shd w:val="clear" w:color="000000" w:fill="FFFFFF"/>
            <w:noWrap/>
            <w:vAlign w:val="center"/>
          </w:tcPr>
          <w:p w14:paraId="14CFAC33"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7E0DD0C7"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730F6198"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301FF570"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52A9C420" w14:textId="77777777" w:rsidTr="005A7CAD">
        <w:trPr>
          <w:trHeight w:val="300"/>
        </w:trPr>
        <w:tc>
          <w:tcPr>
            <w:tcW w:w="1920" w:type="pct"/>
            <w:gridSpan w:val="2"/>
            <w:tcBorders>
              <w:top w:val="nil"/>
              <w:left w:val="nil"/>
              <w:bottom w:val="nil"/>
              <w:right w:val="nil"/>
            </w:tcBorders>
            <w:shd w:val="clear" w:color="000000" w:fill="F2F2F2"/>
            <w:noWrap/>
            <w:vAlign w:val="center"/>
            <w:hideMark/>
          </w:tcPr>
          <w:p w14:paraId="03CFE76A"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38 Consejo Nacional de Ciencia y Tecnología</w:t>
            </w:r>
          </w:p>
        </w:tc>
        <w:tc>
          <w:tcPr>
            <w:tcW w:w="497" w:type="pct"/>
            <w:tcBorders>
              <w:top w:val="nil"/>
              <w:left w:val="nil"/>
              <w:bottom w:val="nil"/>
              <w:right w:val="nil"/>
            </w:tcBorders>
            <w:shd w:val="clear" w:color="000000" w:fill="F2F2F2"/>
            <w:noWrap/>
            <w:vAlign w:val="center"/>
            <w:hideMark/>
          </w:tcPr>
          <w:p w14:paraId="59ED730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w:t>
            </w:r>
          </w:p>
        </w:tc>
        <w:tc>
          <w:tcPr>
            <w:tcW w:w="497" w:type="pct"/>
            <w:tcBorders>
              <w:top w:val="nil"/>
              <w:left w:val="nil"/>
              <w:bottom w:val="nil"/>
              <w:right w:val="nil"/>
            </w:tcBorders>
            <w:shd w:val="clear" w:color="000000" w:fill="F2F2F2"/>
            <w:noWrap/>
            <w:vAlign w:val="center"/>
          </w:tcPr>
          <w:p w14:paraId="05636D47"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2F2F2"/>
            <w:noWrap/>
            <w:vAlign w:val="center"/>
          </w:tcPr>
          <w:p w14:paraId="5263EF12"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2F2F2"/>
            <w:noWrap/>
            <w:vAlign w:val="center"/>
          </w:tcPr>
          <w:p w14:paraId="5ED75AC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2F2F2"/>
            <w:noWrap/>
            <w:vAlign w:val="center"/>
            <w:hideMark/>
          </w:tcPr>
          <w:p w14:paraId="06C385CE"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w:t>
            </w:r>
          </w:p>
        </w:tc>
        <w:tc>
          <w:tcPr>
            <w:tcW w:w="360" w:type="pct"/>
            <w:tcBorders>
              <w:top w:val="nil"/>
              <w:left w:val="nil"/>
              <w:bottom w:val="nil"/>
              <w:right w:val="nil"/>
            </w:tcBorders>
            <w:shd w:val="clear" w:color="000000" w:fill="F2F2F2"/>
            <w:noWrap/>
            <w:vAlign w:val="center"/>
            <w:hideMark/>
          </w:tcPr>
          <w:p w14:paraId="15F0D1B5"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1.3</w:t>
            </w:r>
          </w:p>
        </w:tc>
      </w:tr>
      <w:tr w:rsidR="00F77FE5" w:rsidRPr="00F77FE5" w14:paraId="397FE9C7" w14:textId="77777777" w:rsidTr="005A7CAD">
        <w:trPr>
          <w:trHeight w:val="300"/>
        </w:trPr>
        <w:tc>
          <w:tcPr>
            <w:tcW w:w="284" w:type="pct"/>
            <w:tcBorders>
              <w:top w:val="nil"/>
              <w:left w:val="nil"/>
              <w:bottom w:val="nil"/>
              <w:right w:val="nil"/>
            </w:tcBorders>
            <w:shd w:val="clear" w:color="000000" w:fill="FFFFFF"/>
            <w:noWrap/>
            <w:vAlign w:val="center"/>
            <w:hideMark/>
          </w:tcPr>
          <w:p w14:paraId="55D5E261"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095A8C84"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Consejo Nacional de Ciencia y Tecnología(CONACYT)</w:t>
            </w:r>
          </w:p>
        </w:tc>
        <w:tc>
          <w:tcPr>
            <w:tcW w:w="497" w:type="pct"/>
            <w:tcBorders>
              <w:top w:val="nil"/>
              <w:left w:val="nil"/>
              <w:bottom w:val="nil"/>
              <w:right w:val="nil"/>
            </w:tcBorders>
            <w:shd w:val="clear" w:color="000000" w:fill="FFFFFF"/>
            <w:noWrap/>
            <w:vAlign w:val="center"/>
            <w:hideMark/>
          </w:tcPr>
          <w:p w14:paraId="71CD5F4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w:t>
            </w:r>
          </w:p>
        </w:tc>
        <w:tc>
          <w:tcPr>
            <w:tcW w:w="497" w:type="pct"/>
            <w:tcBorders>
              <w:top w:val="nil"/>
              <w:left w:val="nil"/>
              <w:bottom w:val="nil"/>
              <w:right w:val="nil"/>
            </w:tcBorders>
            <w:shd w:val="clear" w:color="000000" w:fill="FFFFFF"/>
            <w:noWrap/>
            <w:vAlign w:val="center"/>
          </w:tcPr>
          <w:p w14:paraId="6ECDBB0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658DD6D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0D77A5F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42279102"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02F2D91D"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191A87FC" w14:textId="77777777" w:rsidTr="005A7CAD">
        <w:trPr>
          <w:trHeight w:val="300"/>
        </w:trPr>
        <w:tc>
          <w:tcPr>
            <w:tcW w:w="1920" w:type="pct"/>
            <w:gridSpan w:val="2"/>
            <w:tcBorders>
              <w:top w:val="nil"/>
              <w:left w:val="nil"/>
              <w:bottom w:val="nil"/>
              <w:right w:val="nil"/>
            </w:tcBorders>
            <w:shd w:val="clear" w:color="000000" w:fill="F2F2F2"/>
            <w:noWrap/>
            <w:vAlign w:val="center"/>
            <w:hideMark/>
          </w:tcPr>
          <w:p w14:paraId="7B3852A1"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47 Entidades No Sectorizadas</w:t>
            </w:r>
          </w:p>
        </w:tc>
        <w:tc>
          <w:tcPr>
            <w:tcW w:w="497" w:type="pct"/>
            <w:tcBorders>
              <w:top w:val="nil"/>
              <w:left w:val="nil"/>
              <w:bottom w:val="nil"/>
              <w:right w:val="nil"/>
            </w:tcBorders>
            <w:shd w:val="clear" w:color="000000" w:fill="F2F2F2"/>
            <w:noWrap/>
            <w:vAlign w:val="center"/>
            <w:hideMark/>
          </w:tcPr>
          <w:p w14:paraId="3AC6EB7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13</w:t>
            </w:r>
          </w:p>
        </w:tc>
        <w:tc>
          <w:tcPr>
            <w:tcW w:w="497" w:type="pct"/>
            <w:tcBorders>
              <w:top w:val="nil"/>
              <w:left w:val="nil"/>
              <w:bottom w:val="nil"/>
              <w:right w:val="nil"/>
            </w:tcBorders>
            <w:shd w:val="clear" w:color="000000" w:fill="F2F2F2"/>
            <w:noWrap/>
            <w:vAlign w:val="center"/>
            <w:hideMark/>
          </w:tcPr>
          <w:p w14:paraId="7C4318C0"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640" w:type="pct"/>
            <w:tcBorders>
              <w:top w:val="nil"/>
              <w:left w:val="nil"/>
              <w:bottom w:val="nil"/>
              <w:right w:val="nil"/>
            </w:tcBorders>
            <w:shd w:val="clear" w:color="000000" w:fill="F2F2F2"/>
            <w:noWrap/>
            <w:vAlign w:val="center"/>
            <w:hideMark/>
          </w:tcPr>
          <w:p w14:paraId="351981A0"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781" w:type="pct"/>
            <w:tcBorders>
              <w:top w:val="nil"/>
              <w:left w:val="nil"/>
              <w:bottom w:val="nil"/>
              <w:right w:val="nil"/>
            </w:tcBorders>
            <w:shd w:val="clear" w:color="000000" w:fill="F2F2F2"/>
            <w:noWrap/>
            <w:vAlign w:val="center"/>
          </w:tcPr>
          <w:p w14:paraId="2E8EA4FA"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2F2F2"/>
            <w:noWrap/>
            <w:vAlign w:val="center"/>
            <w:hideMark/>
          </w:tcPr>
          <w:p w14:paraId="315BDA1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18</w:t>
            </w:r>
          </w:p>
        </w:tc>
        <w:tc>
          <w:tcPr>
            <w:tcW w:w="360" w:type="pct"/>
            <w:tcBorders>
              <w:top w:val="nil"/>
              <w:left w:val="nil"/>
              <w:bottom w:val="nil"/>
              <w:right w:val="nil"/>
            </w:tcBorders>
            <w:shd w:val="clear" w:color="000000" w:fill="F2F2F2"/>
            <w:noWrap/>
            <w:vAlign w:val="center"/>
            <w:hideMark/>
          </w:tcPr>
          <w:p w14:paraId="2BCAAB4E"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2.8</w:t>
            </w:r>
          </w:p>
        </w:tc>
      </w:tr>
      <w:tr w:rsidR="00F77FE5" w:rsidRPr="00F77FE5" w14:paraId="5B8B57E3" w14:textId="77777777" w:rsidTr="005A7CAD">
        <w:trPr>
          <w:trHeight w:val="300"/>
        </w:trPr>
        <w:tc>
          <w:tcPr>
            <w:tcW w:w="284" w:type="pct"/>
            <w:tcBorders>
              <w:top w:val="nil"/>
              <w:left w:val="nil"/>
              <w:bottom w:val="nil"/>
              <w:right w:val="nil"/>
            </w:tcBorders>
            <w:shd w:val="clear" w:color="000000" w:fill="FFFFFF"/>
            <w:noWrap/>
            <w:vAlign w:val="center"/>
            <w:hideMark/>
          </w:tcPr>
          <w:p w14:paraId="29DF8E50"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00635CA5"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Comisión Nacional para el Desarrollo de los Pueblos Indígenas(CDI)</w:t>
            </w:r>
          </w:p>
        </w:tc>
        <w:tc>
          <w:tcPr>
            <w:tcW w:w="497" w:type="pct"/>
            <w:tcBorders>
              <w:top w:val="nil"/>
              <w:left w:val="nil"/>
              <w:bottom w:val="nil"/>
              <w:right w:val="nil"/>
            </w:tcBorders>
            <w:shd w:val="clear" w:color="000000" w:fill="FFFFFF"/>
            <w:noWrap/>
            <w:vAlign w:val="center"/>
            <w:hideMark/>
          </w:tcPr>
          <w:p w14:paraId="7EE5E7A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11</w:t>
            </w:r>
          </w:p>
        </w:tc>
        <w:tc>
          <w:tcPr>
            <w:tcW w:w="497" w:type="pct"/>
            <w:tcBorders>
              <w:top w:val="nil"/>
              <w:left w:val="nil"/>
              <w:bottom w:val="nil"/>
              <w:right w:val="nil"/>
            </w:tcBorders>
            <w:shd w:val="clear" w:color="000000" w:fill="FFFFFF"/>
            <w:noWrap/>
            <w:vAlign w:val="center"/>
            <w:hideMark/>
          </w:tcPr>
          <w:p w14:paraId="54F4D6F9"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hideMark/>
          </w:tcPr>
          <w:p w14:paraId="4FE7E67F"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781" w:type="pct"/>
            <w:tcBorders>
              <w:top w:val="nil"/>
              <w:left w:val="nil"/>
              <w:bottom w:val="nil"/>
              <w:right w:val="nil"/>
            </w:tcBorders>
            <w:shd w:val="clear" w:color="000000" w:fill="FFFFFF"/>
            <w:noWrap/>
            <w:vAlign w:val="center"/>
          </w:tcPr>
          <w:p w14:paraId="0E828063"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3F841F2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4AACA038"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033D21B2" w14:textId="77777777" w:rsidTr="005A7CAD">
        <w:trPr>
          <w:trHeight w:val="300"/>
        </w:trPr>
        <w:tc>
          <w:tcPr>
            <w:tcW w:w="284" w:type="pct"/>
            <w:tcBorders>
              <w:top w:val="nil"/>
              <w:left w:val="nil"/>
              <w:bottom w:val="nil"/>
              <w:right w:val="nil"/>
            </w:tcBorders>
            <w:shd w:val="clear" w:color="000000" w:fill="FFFFFF"/>
            <w:noWrap/>
            <w:vAlign w:val="center"/>
            <w:hideMark/>
          </w:tcPr>
          <w:p w14:paraId="0BB78D9D"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1BC073F7"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Notimex, Agencia de Noticias del Estado Mexicano(NOTIMEX)</w:t>
            </w:r>
          </w:p>
        </w:tc>
        <w:tc>
          <w:tcPr>
            <w:tcW w:w="497" w:type="pct"/>
            <w:tcBorders>
              <w:top w:val="nil"/>
              <w:left w:val="nil"/>
              <w:bottom w:val="nil"/>
              <w:right w:val="nil"/>
            </w:tcBorders>
            <w:shd w:val="clear" w:color="000000" w:fill="FFFFFF"/>
            <w:noWrap/>
            <w:vAlign w:val="center"/>
            <w:hideMark/>
          </w:tcPr>
          <w:p w14:paraId="412D797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497" w:type="pct"/>
            <w:tcBorders>
              <w:top w:val="nil"/>
              <w:left w:val="nil"/>
              <w:bottom w:val="nil"/>
              <w:right w:val="nil"/>
            </w:tcBorders>
            <w:shd w:val="clear" w:color="000000" w:fill="FFFFFF"/>
            <w:noWrap/>
            <w:vAlign w:val="center"/>
            <w:hideMark/>
          </w:tcPr>
          <w:p w14:paraId="089A711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640" w:type="pct"/>
            <w:tcBorders>
              <w:top w:val="nil"/>
              <w:left w:val="nil"/>
              <w:bottom w:val="nil"/>
              <w:right w:val="nil"/>
            </w:tcBorders>
            <w:shd w:val="clear" w:color="000000" w:fill="FFFFFF"/>
            <w:noWrap/>
            <w:vAlign w:val="center"/>
          </w:tcPr>
          <w:p w14:paraId="27F0B661"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58915DD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5BCAAAB8"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090440F8"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4F65D288" w14:textId="77777777" w:rsidTr="005A7CAD">
        <w:trPr>
          <w:trHeight w:val="300"/>
        </w:trPr>
        <w:tc>
          <w:tcPr>
            <w:tcW w:w="284" w:type="pct"/>
            <w:tcBorders>
              <w:top w:val="nil"/>
              <w:left w:val="nil"/>
              <w:bottom w:val="nil"/>
              <w:right w:val="nil"/>
            </w:tcBorders>
            <w:shd w:val="clear" w:color="000000" w:fill="FFFFFF"/>
            <w:noWrap/>
            <w:vAlign w:val="center"/>
            <w:hideMark/>
          </w:tcPr>
          <w:p w14:paraId="5B425499"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1AB44E80"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Procuraduría de la Defensa del Contribuyente(PRODECON)</w:t>
            </w:r>
          </w:p>
        </w:tc>
        <w:tc>
          <w:tcPr>
            <w:tcW w:w="497" w:type="pct"/>
            <w:tcBorders>
              <w:top w:val="nil"/>
              <w:left w:val="nil"/>
              <w:bottom w:val="nil"/>
              <w:right w:val="nil"/>
            </w:tcBorders>
            <w:shd w:val="clear" w:color="000000" w:fill="FFFFFF"/>
            <w:noWrap/>
            <w:vAlign w:val="center"/>
            <w:hideMark/>
          </w:tcPr>
          <w:p w14:paraId="1234319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497" w:type="pct"/>
            <w:tcBorders>
              <w:top w:val="nil"/>
              <w:left w:val="nil"/>
              <w:bottom w:val="nil"/>
              <w:right w:val="nil"/>
            </w:tcBorders>
            <w:shd w:val="clear" w:color="000000" w:fill="FFFFFF"/>
            <w:noWrap/>
            <w:vAlign w:val="center"/>
            <w:hideMark/>
          </w:tcPr>
          <w:p w14:paraId="775FEE7B"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364CE97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3FA50240"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3854156F"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0CC72868"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21C6113D" w14:textId="77777777" w:rsidTr="005A7CAD">
        <w:trPr>
          <w:trHeight w:val="300"/>
        </w:trPr>
        <w:tc>
          <w:tcPr>
            <w:tcW w:w="1920" w:type="pct"/>
            <w:gridSpan w:val="2"/>
            <w:tcBorders>
              <w:top w:val="nil"/>
              <w:left w:val="nil"/>
              <w:bottom w:val="nil"/>
              <w:right w:val="nil"/>
            </w:tcBorders>
            <w:shd w:val="clear" w:color="000000" w:fill="F2F2F2"/>
            <w:noWrap/>
            <w:vAlign w:val="center"/>
            <w:hideMark/>
          </w:tcPr>
          <w:p w14:paraId="104A8074"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48 Cultura</w:t>
            </w:r>
          </w:p>
        </w:tc>
        <w:tc>
          <w:tcPr>
            <w:tcW w:w="497" w:type="pct"/>
            <w:tcBorders>
              <w:top w:val="nil"/>
              <w:left w:val="nil"/>
              <w:bottom w:val="nil"/>
              <w:right w:val="nil"/>
            </w:tcBorders>
            <w:shd w:val="clear" w:color="000000" w:fill="F2F2F2"/>
            <w:noWrap/>
            <w:vAlign w:val="center"/>
            <w:hideMark/>
          </w:tcPr>
          <w:p w14:paraId="152E9BD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12</w:t>
            </w:r>
          </w:p>
        </w:tc>
        <w:tc>
          <w:tcPr>
            <w:tcW w:w="497" w:type="pct"/>
            <w:tcBorders>
              <w:top w:val="nil"/>
              <w:left w:val="nil"/>
              <w:bottom w:val="nil"/>
              <w:right w:val="nil"/>
            </w:tcBorders>
            <w:shd w:val="clear" w:color="000000" w:fill="F2F2F2"/>
            <w:noWrap/>
            <w:vAlign w:val="center"/>
          </w:tcPr>
          <w:p w14:paraId="381D355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2F2F2"/>
            <w:noWrap/>
            <w:vAlign w:val="center"/>
          </w:tcPr>
          <w:p w14:paraId="539400DA"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2F2F2"/>
            <w:noWrap/>
            <w:vAlign w:val="center"/>
          </w:tcPr>
          <w:p w14:paraId="6FF19883"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2F2F2"/>
            <w:noWrap/>
            <w:vAlign w:val="center"/>
            <w:hideMark/>
          </w:tcPr>
          <w:p w14:paraId="2274DA52"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12</w:t>
            </w:r>
          </w:p>
        </w:tc>
        <w:tc>
          <w:tcPr>
            <w:tcW w:w="360" w:type="pct"/>
            <w:tcBorders>
              <w:top w:val="nil"/>
              <w:left w:val="nil"/>
              <w:bottom w:val="nil"/>
              <w:right w:val="nil"/>
            </w:tcBorders>
            <w:shd w:val="clear" w:color="000000" w:fill="F2F2F2"/>
            <w:noWrap/>
            <w:vAlign w:val="center"/>
            <w:hideMark/>
          </w:tcPr>
          <w:p w14:paraId="77E831A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1.9</w:t>
            </w:r>
          </w:p>
        </w:tc>
      </w:tr>
      <w:tr w:rsidR="00F77FE5" w:rsidRPr="00F77FE5" w14:paraId="33412585" w14:textId="77777777" w:rsidTr="005A7CAD">
        <w:trPr>
          <w:trHeight w:val="300"/>
        </w:trPr>
        <w:tc>
          <w:tcPr>
            <w:tcW w:w="284" w:type="pct"/>
            <w:tcBorders>
              <w:top w:val="nil"/>
              <w:left w:val="nil"/>
              <w:bottom w:val="nil"/>
              <w:right w:val="nil"/>
            </w:tcBorders>
            <w:shd w:val="clear" w:color="000000" w:fill="FFFFFF"/>
            <w:noWrap/>
            <w:vAlign w:val="center"/>
            <w:hideMark/>
          </w:tcPr>
          <w:p w14:paraId="469019EA"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213F0E29"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Secretaría de Cultura(CULTURA)</w:t>
            </w:r>
          </w:p>
        </w:tc>
        <w:tc>
          <w:tcPr>
            <w:tcW w:w="497" w:type="pct"/>
            <w:tcBorders>
              <w:top w:val="nil"/>
              <w:left w:val="nil"/>
              <w:bottom w:val="nil"/>
              <w:right w:val="nil"/>
            </w:tcBorders>
            <w:shd w:val="clear" w:color="000000" w:fill="FFFFFF"/>
            <w:noWrap/>
            <w:vAlign w:val="center"/>
            <w:hideMark/>
          </w:tcPr>
          <w:p w14:paraId="0B0F00CE"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12</w:t>
            </w:r>
          </w:p>
        </w:tc>
        <w:tc>
          <w:tcPr>
            <w:tcW w:w="497" w:type="pct"/>
            <w:tcBorders>
              <w:top w:val="nil"/>
              <w:left w:val="nil"/>
              <w:bottom w:val="nil"/>
              <w:right w:val="nil"/>
            </w:tcBorders>
            <w:shd w:val="clear" w:color="000000" w:fill="FFFFFF"/>
            <w:noWrap/>
            <w:vAlign w:val="center"/>
          </w:tcPr>
          <w:p w14:paraId="599EA45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40" w:type="pct"/>
            <w:tcBorders>
              <w:top w:val="nil"/>
              <w:left w:val="nil"/>
              <w:bottom w:val="nil"/>
              <w:right w:val="nil"/>
            </w:tcBorders>
            <w:shd w:val="clear" w:color="000000" w:fill="FFFFFF"/>
            <w:noWrap/>
            <w:vAlign w:val="center"/>
          </w:tcPr>
          <w:p w14:paraId="36149991"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4F542D5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6B5C1807"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4712B1F0"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690D529B" w14:textId="77777777" w:rsidTr="005A7CAD">
        <w:trPr>
          <w:trHeight w:val="300"/>
        </w:trPr>
        <w:tc>
          <w:tcPr>
            <w:tcW w:w="1920" w:type="pct"/>
            <w:gridSpan w:val="2"/>
            <w:tcBorders>
              <w:top w:val="nil"/>
              <w:left w:val="nil"/>
              <w:bottom w:val="nil"/>
              <w:right w:val="nil"/>
            </w:tcBorders>
            <w:shd w:val="clear" w:color="000000" w:fill="F2F2F2"/>
            <w:noWrap/>
            <w:vAlign w:val="center"/>
            <w:hideMark/>
          </w:tcPr>
          <w:p w14:paraId="65493748"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50 Instituto Mexicano del Seguro Social</w:t>
            </w:r>
          </w:p>
        </w:tc>
        <w:tc>
          <w:tcPr>
            <w:tcW w:w="497" w:type="pct"/>
            <w:tcBorders>
              <w:top w:val="nil"/>
              <w:left w:val="nil"/>
              <w:bottom w:val="nil"/>
              <w:right w:val="nil"/>
            </w:tcBorders>
            <w:shd w:val="clear" w:color="000000" w:fill="F2F2F2"/>
            <w:noWrap/>
            <w:vAlign w:val="center"/>
            <w:hideMark/>
          </w:tcPr>
          <w:p w14:paraId="44DAA870"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497" w:type="pct"/>
            <w:tcBorders>
              <w:top w:val="nil"/>
              <w:left w:val="nil"/>
              <w:bottom w:val="nil"/>
              <w:right w:val="nil"/>
            </w:tcBorders>
            <w:shd w:val="clear" w:color="000000" w:fill="F2F2F2"/>
            <w:noWrap/>
            <w:vAlign w:val="center"/>
            <w:hideMark/>
          </w:tcPr>
          <w:p w14:paraId="137C9E0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640" w:type="pct"/>
            <w:tcBorders>
              <w:top w:val="nil"/>
              <w:left w:val="nil"/>
              <w:bottom w:val="nil"/>
              <w:right w:val="nil"/>
            </w:tcBorders>
            <w:shd w:val="clear" w:color="000000" w:fill="F2F2F2"/>
            <w:noWrap/>
            <w:vAlign w:val="center"/>
          </w:tcPr>
          <w:p w14:paraId="2EC6C450"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2F2F2"/>
            <w:noWrap/>
            <w:vAlign w:val="center"/>
          </w:tcPr>
          <w:p w14:paraId="1A660822"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2F2F2"/>
            <w:noWrap/>
            <w:vAlign w:val="center"/>
            <w:hideMark/>
          </w:tcPr>
          <w:p w14:paraId="5752B660"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w:t>
            </w:r>
          </w:p>
        </w:tc>
        <w:tc>
          <w:tcPr>
            <w:tcW w:w="360" w:type="pct"/>
            <w:tcBorders>
              <w:top w:val="nil"/>
              <w:left w:val="nil"/>
              <w:bottom w:val="nil"/>
              <w:right w:val="nil"/>
            </w:tcBorders>
            <w:shd w:val="clear" w:color="000000" w:fill="F2F2F2"/>
            <w:noWrap/>
            <w:vAlign w:val="center"/>
            <w:hideMark/>
          </w:tcPr>
          <w:p w14:paraId="1B2B594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1.3</w:t>
            </w:r>
          </w:p>
        </w:tc>
      </w:tr>
      <w:tr w:rsidR="00F77FE5" w:rsidRPr="00F77FE5" w14:paraId="6D5F99DA" w14:textId="77777777" w:rsidTr="005A7CAD">
        <w:trPr>
          <w:trHeight w:val="300"/>
        </w:trPr>
        <w:tc>
          <w:tcPr>
            <w:tcW w:w="284" w:type="pct"/>
            <w:tcBorders>
              <w:top w:val="nil"/>
              <w:left w:val="nil"/>
              <w:bottom w:val="nil"/>
              <w:right w:val="nil"/>
            </w:tcBorders>
            <w:shd w:val="clear" w:color="000000" w:fill="FFFFFF"/>
            <w:noWrap/>
            <w:vAlign w:val="center"/>
            <w:hideMark/>
          </w:tcPr>
          <w:p w14:paraId="3F2705A3"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57100552"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Instituto Mexicano del Seguro Social(IMSS)</w:t>
            </w:r>
          </w:p>
        </w:tc>
        <w:tc>
          <w:tcPr>
            <w:tcW w:w="497" w:type="pct"/>
            <w:tcBorders>
              <w:top w:val="nil"/>
              <w:left w:val="nil"/>
              <w:bottom w:val="nil"/>
              <w:right w:val="nil"/>
            </w:tcBorders>
            <w:shd w:val="clear" w:color="000000" w:fill="FFFFFF"/>
            <w:noWrap/>
            <w:vAlign w:val="center"/>
            <w:hideMark/>
          </w:tcPr>
          <w:p w14:paraId="1CA9031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497" w:type="pct"/>
            <w:tcBorders>
              <w:top w:val="nil"/>
              <w:left w:val="nil"/>
              <w:bottom w:val="nil"/>
              <w:right w:val="nil"/>
            </w:tcBorders>
            <w:shd w:val="clear" w:color="000000" w:fill="FFFFFF"/>
            <w:noWrap/>
            <w:vAlign w:val="center"/>
            <w:hideMark/>
          </w:tcPr>
          <w:p w14:paraId="1AE85D3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640" w:type="pct"/>
            <w:tcBorders>
              <w:top w:val="nil"/>
              <w:left w:val="nil"/>
              <w:bottom w:val="nil"/>
              <w:right w:val="nil"/>
            </w:tcBorders>
            <w:shd w:val="clear" w:color="000000" w:fill="FFFFFF"/>
            <w:noWrap/>
            <w:vAlign w:val="center"/>
          </w:tcPr>
          <w:p w14:paraId="5F4C512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0DD341E2"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7C932B5A"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34F31B00"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16FE5463" w14:textId="77777777" w:rsidTr="005A7CAD">
        <w:trPr>
          <w:trHeight w:val="300"/>
        </w:trPr>
        <w:tc>
          <w:tcPr>
            <w:tcW w:w="1920" w:type="pct"/>
            <w:gridSpan w:val="2"/>
            <w:tcBorders>
              <w:top w:val="nil"/>
              <w:left w:val="nil"/>
              <w:bottom w:val="nil"/>
              <w:right w:val="nil"/>
            </w:tcBorders>
            <w:shd w:val="clear" w:color="000000" w:fill="F2F2F2"/>
            <w:noWrap/>
            <w:vAlign w:val="center"/>
            <w:hideMark/>
          </w:tcPr>
          <w:p w14:paraId="079E2BA5"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51 Instituto de Seguridad y Servicios Sociales de los Trabajadores del Estado</w:t>
            </w:r>
          </w:p>
        </w:tc>
        <w:tc>
          <w:tcPr>
            <w:tcW w:w="497" w:type="pct"/>
            <w:tcBorders>
              <w:top w:val="nil"/>
              <w:left w:val="nil"/>
              <w:bottom w:val="nil"/>
              <w:right w:val="nil"/>
            </w:tcBorders>
            <w:shd w:val="clear" w:color="000000" w:fill="F2F2F2"/>
            <w:noWrap/>
            <w:vAlign w:val="center"/>
            <w:hideMark/>
          </w:tcPr>
          <w:p w14:paraId="59FD1EB3"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7</w:t>
            </w:r>
          </w:p>
        </w:tc>
        <w:tc>
          <w:tcPr>
            <w:tcW w:w="497" w:type="pct"/>
            <w:tcBorders>
              <w:top w:val="nil"/>
              <w:left w:val="nil"/>
              <w:bottom w:val="nil"/>
              <w:right w:val="nil"/>
            </w:tcBorders>
            <w:shd w:val="clear" w:color="000000" w:fill="F2F2F2"/>
            <w:noWrap/>
            <w:vAlign w:val="center"/>
            <w:hideMark/>
          </w:tcPr>
          <w:p w14:paraId="5E8F96F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w:t>
            </w:r>
          </w:p>
        </w:tc>
        <w:tc>
          <w:tcPr>
            <w:tcW w:w="640" w:type="pct"/>
            <w:tcBorders>
              <w:top w:val="nil"/>
              <w:left w:val="nil"/>
              <w:bottom w:val="nil"/>
              <w:right w:val="nil"/>
            </w:tcBorders>
            <w:shd w:val="clear" w:color="000000" w:fill="F2F2F2"/>
            <w:noWrap/>
            <w:vAlign w:val="center"/>
          </w:tcPr>
          <w:p w14:paraId="45A0393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2F2F2"/>
            <w:noWrap/>
            <w:vAlign w:val="center"/>
          </w:tcPr>
          <w:p w14:paraId="2EBF832B"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2F2F2"/>
            <w:noWrap/>
            <w:vAlign w:val="center"/>
            <w:hideMark/>
          </w:tcPr>
          <w:p w14:paraId="0417C51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17</w:t>
            </w:r>
          </w:p>
        </w:tc>
        <w:tc>
          <w:tcPr>
            <w:tcW w:w="360" w:type="pct"/>
            <w:tcBorders>
              <w:top w:val="nil"/>
              <w:left w:val="nil"/>
              <w:bottom w:val="nil"/>
              <w:right w:val="nil"/>
            </w:tcBorders>
            <w:shd w:val="clear" w:color="000000" w:fill="F2F2F2"/>
            <w:noWrap/>
            <w:vAlign w:val="center"/>
            <w:hideMark/>
          </w:tcPr>
          <w:p w14:paraId="1EF0CD3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2.7</w:t>
            </w:r>
          </w:p>
        </w:tc>
      </w:tr>
      <w:tr w:rsidR="00F77FE5" w:rsidRPr="00F77FE5" w14:paraId="255B6C0A" w14:textId="77777777" w:rsidTr="005A7CAD">
        <w:trPr>
          <w:trHeight w:val="300"/>
        </w:trPr>
        <w:tc>
          <w:tcPr>
            <w:tcW w:w="284" w:type="pct"/>
            <w:tcBorders>
              <w:top w:val="nil"/>
              <w:left w:val="nil"/>
              <w:bottom w:val="nil"/>
              <w:right w:val="nil"/>
            </w:tcBorders>
            <w:shd w:val="clear" w:color="000000" w:fill="FFFFFF"/>
            <w:noWrap/>
            <w:vAlign w:val="center"/>
            <w:hideMark/>
          </w:tcPr>
          <w:p w14:paraId="35F8086C"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0767E264"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Instituto de Seguridad y Servicios Sociales de los Trabajadores del Estado(ISSSTE)</w:t>
            </w:r>
          </w:p>
        </w:tc>
        <w:tc>
          <w:tcPr>
            <w:tcW w:w="497" w:type="pct"/>
            <w:tcBorders>
              <w:top w:val="nil"/>
              <w:left w:val="nil"/>
              <w:bottom w:val="nil"/>
              <w:right w:val="nil"/>
            </w:tcBorders>
            <w:shd w:val="clear" w:color="000000" w:fill="FFFFFF"/>
            <w:noWrap/>
            <w:vAlign w:val="center"/>
            <w:hideMark/>
          </w:tcPr>
          <w:p w14:paraId="3764D0E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7</w:t>
            </w:r>
          </w:p>
        </w:tc>
        <w:tc>
          <w:tcPr>
            <w:tcW w:w="497" w:type="pct"/>
            <w:tcBorders>
              <w:top w:val="nil"/>
              <w:left w:val="nil"/>
              <w:bottom w:val="nil"/>
              <w:right w:val="nil"/>
            </w:tcBorders>
            <w:shd w:val="clear" w:color="000000" w:fill="FFFFFF"/>
            <w:noWrap/>
            <w:vAlign w:val="center"/>
            <w:hideMark/>
          </w:tcPr>
          <w:p w14:paraId="31AFC93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w:t>
            </w:r>
          </w:p>
        </w:tc>
        <w:tc>
          <w:tcPr>
            <w:tcW w:w="640" w:type="pct"/>
            <w:tcBorders>
              <w:top w:val="nil"/>
              <w:left w:val="nil"/>
              <w:bottom w:val="nil"/>
              <w:right w:val="nil"/>
            </w:tcBorders>
            <w:shd w:val="clear" w:color="000000" w:fill="FFFFFF"/>
            <w:noWrap/>
            <w:vAlign w:val="center"/>
          </w:tcPr>
          <w:p w14:paraId="3FC7613B"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5EE9DFE3"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4D3EDDE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7FD4E4D3"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6634F012" w14:textId="77777777" w:rsidTr="005A7CAD">
        <w:trPr>
          <w:trHeight w:val="300"/>
        </w:trPr>
        <w:tc>
          <w:tcPr>
            <w:tcW w:w="1920" w:type="pct"/>
            <w:gridSpan w:val="2"/>
            <w:tcBorders>
              <w:top w:val="nil"/>
              <w:left w:val="nil"/>
              <w:bottom w:val="nil"/>
              <w:right w:val="nil"/>
            </w:tcBorders>
            <w:shd w:val="clear" w:color="000000" w:fill="F2F2F2"/>
            <w:noWrap/>
            <w:vAlign w:val="center"/>
            <w:hideMark/>
          </w:tcPr>
          <w:p w14:paraId="3F4C7900"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52 Petróleos Mexicanos</w:t>
            </w:r>
          </w:p>
        </w:tc>
        <w:tc>
          <w:tcPr>
            <w:tcW w:w="497" w:type="pct"/>
            <w:tcBorders>
              <w:top w:val="nil"/>
              <w:left w:val="nil"/>
              <w:bottom w:val="nil"/>
              <w:right w:val="nil"/>
            </w:tcBorders>
            <w:shd w:val="clear" w:color="000000" w:fill="F2F2F2"/>
            <w:noWrap/>
            <w:vAlign w:val="center"/>
          </w:tcPr>
          <w:p w14:paraId="73CAC5C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497" w:type="pct"/>
            <w:tcBorders>
              <w:top w:val="nil"/>
              <w:left w:val="nil"/>
              <w:bottom w:val="nil"/>
              <w:right w:val="nil"/>
            </w:tcBorders>
            <w:shd w:val="clear" w:color="000000" w:fill="F2F2F2"/>
            <w:noWrap/>
            <w:vAlign w:val="center"/>
            <w:hideMark/>
          </w:tcPr>
          <w:p w14:paraId="45120F6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27</w:t>
            </w:r>
          </w:p>
        </w:tc>
        <w:tc>
          <w:tcPr>
            <w:tcW w:w="640" w:type="pct"/>
            <w:tcBorders>
              <w:top w:val="nil"/>
              <w:left w:val="nil"/>
              <w:bottom w:val="nil"/>
              <w:right w:val="nil"/>
            </w:tcBorders>
            <w:shd w:val="clear" w:color="000000" w:fill="F2F2F2"/>
            <w:noWrap/>
            <w:vAlign w:val="center"/>
          </w:tcPr>
          <w:p w14:paraId="60E6A1F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2F2F2"/>
            <w:noWrap/>
            <w:vAlign w:val="center"/>
          </w:tcPr>
          <w:p w14:paraId="0AE13524"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2F2F2"/>
            <w:noWrap/>
            <w:vAlign w:val="center"/>
            <w:hideMark/>
          </w:tcPr>
          <w:p w14:paraId="7CC04B7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27</w:t>
            </w:r>
          </w:p>
        </w:tc>
        <w:tc>
          <w:tcPr>
            <w:tcW w:w="360" w:type="pct"/>
            <w:tcBorders>
              <w:top w:val="nil"/>
              <w:left w:val="nil"/>
              <w:bottom w:val="nil"/>
              <w:right w:val="nil"/>
            </w:tcBorders>
            <w:shd w:val="clear" w:color="000000" w:fill="F2F2F2"/>
            <w:noWrap/>
            <w:vAlign w:val="center"/>
            <w:hideMark/>
          </w:tcPr>
          <w:p w14:paraId="781C069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4.2</w:t>
            </w:r>
          </w:p>
        </w:tc>
      </w:tr>
      <w:tr w:rsidR="00F77FE5" w:rsidRPr="00F77FE5" w14:paraId="4000F012" w14:textId="77777777" w:rsidTr="005A7CAD">
        <w:trPr>
          <w:trHeight w:val="300"/>
        </w:trPr>
        <w:tc>
          <w:tcPr>
            <w:tcW w:w="284" w:type="pct"/>
            <w:tcBorders>
              <w:top w:val="nil"/>
              <w:left w:val="nil"/>
              <w:bottom w:val="nil"/>
              <w:right w:val="nil"/>
            </w:tcBorders>
            <w:shd w:val="clear" w:color="000000" w:fill="FFFFFF"/>
            <w:noWrap/>
            <w:vAlign w:val="center"/>
            <w:hideMark/>
          </w:tcPr>
          <w:p w14:paraId="17EAC513"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w:t>
            </w:r>
          </w:p>
        </w:tc>
        <w:tc>
          <w:tcPr>
            <w:tcW w:w="1636" w:type="pct"/>
            <w:tcBorders>
              <w:top w:val="nil"/>
              <w:left w:val="nil"/>
              <w:bottom w:val="nil"/>
              <w:right w:val="nil"/>
            </w:tcBorders>
            <w:shd w:val="clear" w:color="000000" w:fill="FFFFFF"/>
            <w:noWrap/>
            <w:vAlign w:val="center"/>
            <w:hideMark/>
          </w:tcPr>
          <w:p w14:paraId="249717E9"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Petróleos Mexicanos (Consolidado)(PEMEX)</w:t>
            </w:r>
          </w:p>
        </w:tc>
        <w:tc>
          <w:tcPr>
            <w:tcW w:w="497" w:type="pct"/>
            <w:tcBorders>
              <w:top w:val="nil"/>
              <w:left w:val="nil"/>
              <w:bottom w:val="nil"/>
              <w:right w:val="nil"/>
            </w:tcBorders>
            <w:shd w:val="clear" w:color="000000" w:fill="FFFFFF"/>
            <w:noWrap/>
            <w:vAlign w:val="center"/>
          </w:tcPr>
          <w:p w14:paraId="537D0D5A" w14:textId="77777777" w:rsidR="00F77FE5" w:rsidRPr="00F77FE5" w:rsidRDefault="00F77FE5" w:rsidP="00F77FE5">
            <w:pPr>
              <w:spacing w:after="0"/>
              <w:jc w:val="center"/>
              <w:rPr>
                <w:rFonts w:eastAsia="Times New Roman" w:cs="Calibri"/>
                <w:color w:val="000000"/>
                <w:sz w:val="12"/>
                <w:szCs w:val="12"/>
                <w:lang w:val="es-MX" w:eastAsia="es-MX"/>
              </w:rPr>
            </w:pPr>
          </w:p>
        </w:tc>
        <w:tc>
          <w:tcPr>
            <w:tcW w:w="497" w:type="pct"/>
            <w:tcBorders>
              <w:top w:val="nil"/>
              <w:left w:val="nil"/>
              <w:bottom w:val="nil"/>
              <w:right w:val="nil"/>
            </w:tcBorders>
            <w:shd w:val="clear" w:color="000000" w:fill="FFFFFF"/>
            <w:noWrap/>
            <w:vAlign w:val="center"/>
            <w:hideMark/>
          </w:tcPr>
          <w:p w14:paraId="7F760903"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27</w:t>
            </w:r>
          </w:p>
        </w:tc>
        <w:tc>
          <w:tcPr>
            <w:tcW w:w="640" w:type="pct"/>
            <w:tcBorders>
              <w:top w:val="nil"/>
              <w:left w:val="nil"/>
              <w:bottom w:val="nil"/>
              <w:right w:val="nil"/>
            </w:tcBorders>
            <w:shd w:val="clear" w:color="000000" w:fill="FFFFFF"/>
            <w:noWrap/>
            <w:vAlign w:val="center"/>
          </w:tcPr>
          <w:p w14:paraId="6E44B7B1"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1" w:type="pct"/>
            <w:tcBorders>
              <w:top w:val="nil"/>
              <w:left w:val="nil"/>
              <w:bottom w:val="nil"/>
              <w:right w:val="nil"/>
            </w:tcBorders>
            <w:shd w:val="clear" w:color="000000" w:fill="FFFFFF"/>
            <w:noWrap/>
            <w:vAlign w:val="center"/>
          </w:tcPr>
          <w:p w14:paraId="5D47E807"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05" w:type="pct"/>
            <w:tcBorders>
              <w:top w:val="nil"/>
              <w:left w:val="nil"/>
              <w:bottom w:val="nil"/>
              <w:right w:val="nil"/>
            </w:tcBorders>
            <w:shd w:val="clear" w:color="000000" w:fill="FFFFFF"/>
            <w:noWrap/>
            <w:vAlign w:val="center"/>
            <w:hideMark/>
          </w:tcPr>
          <w:p w14:paraId="2A9D2F9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60" w:type="pct"/>
            <w:tcBorders>
              <w:top w:val="nil"/>
              <w:left w:val="nil"/>
              <w:bottom w:val="nil"/>
              <w:right w:val="nil"/>
            </w:tcBorders>
            <w:shd w:val="clear" w:color="000000" w:fill="FFFFFF"/>
            <w:noWrap/>
            <w:vAlign w:val="center"/>
            <w:hideMark/>
          </w:tcPr>
          <w:p w14:paraId="6B373534" w14:textId="77777777" w:rsidR="00F77FE5" w:rsidRPr="00F77FE5" w:rsidRDefault="00F77FE5" w:rsidP="00F77FE5">
            <w:pPr>
              <w:spacing w:after="0"/>
              <w:jc w:val="center"/>
              <w:rPr>
                <w:rFonts w:eastAsia="Times New Roman" w:cs="Calibri"/>
                <w:color w:val="000000"/>
                <w:sz w:val="12"/>
                <w:szCs w:val="12"/>
                <w:lang w:val="es-MX" w:eastAsia="es-MX"/>
              </w:rPr>
            </w:pPr>
          </w:p>
        </w:tc>
      </w:tr>
      <w:tr w:rsidR="00F77FE5" w:rsidRPr="00F77FE5" w14:paraId="4EE0DDD0" w14:textId="77777777" w:rsidTr="005A7CAD">
        <w:trPr>
          <w:trHeight w:val="315"/>
        </w:trPr>
        <w:tc>
          <w:tcPr>
            <w:tcW w:w="1920" w:type="pct"/>
            <w:gridSpan w:val="2"/>
            <w:tcBorders>
              <w:top w:val="nil"/>
              <w:left w:val="nil"/>
              <w:bottom w:val="nil"/>
              <w:right w:val="nil"/>
            </w:tcBorders>
            <w:shd w:val="clear" w:color="000000" w:fill="F2F2F2"/>
            <w:noWrap/>
            <w:vAlign w:val="center"/>
            <w:hideMark/>
          </w:tcPr>
          <w:p w14:paraId="7F06B6D4"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Total</w:t>
            </w:r>
          </w:p>
        </w:tc>
        <w:tc>
          <w:tcPr>
            <w:tcW w:w="497" w:type="pct"/>
            <w:tcBorders>
              <w:top w:val="nil"/>
              <w:left w:val="nil"/>
              <w:bottom w:val="nil"/>
              <w:right w:val="nil"/>
            </w:tcBorders>
            <w:shd w:val="clear" w:color="000000" w:fill="F2F2F2"/>
            <w:noWrap/>
            <w:vAlign w:val="center"/>
            <w:hideMark/>
          </w:tcPr>
          <w:p w14:paraId="3FA0F07B"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387</w:t>
            </w:r>
          </w:p>
        </w:tc>
        <w:tc>
          <w:tcPr>
            <w:tcW w:w="497" w:type="pct"/>
            <w:tcBorders>
              <w:top w:val="nil"/>
              <w:left w:val="nil"/>
              <w:bottom w:val="nil"/>
              <w:right w:val="nil"/>
            </w:tcBorders>
            <w:shd w:val="clear" w:color="000000" w:fill="F2F2F2"/>
            <w:noWrap/>
            <w:vAlign w:val="center"/>
            <w:hideMark/>
          </w:tcPr>
          <w:p w14:paraId="1C367621"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239</w:t>
            </w:r>
          </w:p>
        </w:tc>
        <w:tc>
          <w:tcPr>
            <w:tcW w:w="640" w:type="pct"/>
            <w:tcBorders>
              <w:top w:val="nil"/>
              <w:left w:val="nil"/>
              <w:bottom w:val="nil"/>
              <w:right w:val="nil"/>
            </w:tcBorders>
            <w:shd w:val="clear" w:color="000000" w:fill="F2F2F2"/>
            <w:noWrap/>
            <w:vAlign w:val="center"/>
            <w:hideMark/>
          </w:tcPr>
          <w:p w14:paraId="705E827D"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8</w:t>
            </w:r>
          </w:p>
        </w:tc>
        <w:tc>
          <w:tcPr>
            <w:tcW w:w="781" w:type="pct"/>
            <w:tcBorders>
              <w:top w:val="nil"/>
              <w:left w:val="nil"/>
              <w:bottom w:val="nil"/>
              <w:right w:val="nil"/>
            </w:tcBorders>
            <w:shd w:val="clear" w:color="000000" w:fill="F2F2F2"/>
            <w:noWrap/>
            <w:vAlign w:val="center"/>
            <w:hideMark/>
          </w:tcPr>
          <w:p w14:paraId="74C0DF95"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2</w:t>
            </w:r>
          </w:p>
        </w:tc>
        <w:tc>
          <w:tcPr>
            <w:tcW w:w="305" w:type="pct"/>
            <w:tcBorders>
              <w:top w:val="nil"/>
              <w:left w:val="nil"/>
              <w:bottom w:val="nil"/>
              <w:right w:val="nil"/>
            </w:tcBorders>
            <w:shd w:val="clear" w:color="000000" w:fill="F2F2F2"/>
            <w:noWrap/>
            <w:vAlign w:val="center"/>
            <w:hideMark/>
          </w:tcPr>
          <w:p w14:paraId="264E3FCE"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636</w:t>
            </w:r>
          </w:p>
        </w:tc>
        <w:tc>
          <w:tcPr>
            <w:tcW w:w="360" w:type="pct"/>
            <w:tcBorders>
              <w:top w:val="nil"/>
              <w:left w:val="nil"/>
              <w:bottom w:val="nil"/>
              <w:right w:val="nil"/>
            </w:tcBorders>
            <w:shd w:val="clear" w:color="000000" w:fill="F2F2F2"/>
            <w:noWrap/>
            <w:vAlign w:val="center"/>
            <w:hideMark/>
          </w:tcPr>
          <w:p w14:paraId="22F2923C"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100</w:t>
            </w:r>
          </w:p>
        </w:tc>
      </w:tr>
      <w:tr w:rsidR="00F77FE5" w:rsidRPr="00F77FE5" w14:paraId="5A90F46E" w14:textId="77777777" w:rsidTr="005A7CAD">
        <w:trPr>
          <w:trHeight w:val="315"/>
        </w:trPr>
        <w:tc>
          <w:tcPr>
            <w:tcW w:w="5000" w:type="pct"/>
            <w:gridSpan w:val="8"/>
            <w:tcBorders>
              <w:top w:val="single" w:sz="12" w:space="0" w:color="auto"/>
              <w:left w:val="nil"/>
              <w:bottom w:val="nil"/>
              <w:right w:val="nil"/>
            </w:tcBorders>
            <w:shd w:val="clear" w:color="000000" w:fill="FFFFFF"/>
            <w:noWrap/>
            <w:vAlign w:val="center"/>
            <w:hideMark/>
          </w:tcPr>
          <w:p w14:paraId="23AA627C"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Fuente: Unidad de Evaluación del Desempeño, con información proporcionada por las dependencias y entidades de la APF a las instancias coordinadoras.</w:t>
            </w:r>
          </w:p>
        </w:tc>
      </w:tr>
    </w:tbl>
    <w:p w14:paraId="5CAB38AD" w14:textId="77777777" w:rsidR="00F77FE5" w:rsidRPr="00F77FE5" w:rsidRDefault="00F77FE5" w:rsidP="00F77FE5">
      <w:pPr>
        <w:jc w:val="both"/>
        <w:rPr>
          <w:rFonts w:eastAsia="Times New Roman" w:cs="Arial"/>
          <w:szCs w:val="20"/>
        </w:rPr>
      </w:pPr>
    </w:p>
    <w:p w14:paraId="2FAA395D"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ES"/>
        </w:rPr>
        <w:t>Es importante destacar que la mayoría de los ASM se concentra en aspectos clasificados como específicos, que de acuerdo a lo establecido en el Mecanismo, son atendidos por la UR del Pp.</w:t>
      </w:r>
    </w:p>
    <w:p w14:paraId="30676992" w14:textId="77777777" w:rsidR="00F77FE5" w:rsidRPr="00F77FE5" w:rsidRDefault="00F77FE5" w:rsidP="00F77FE5">
      <w:pPr>
        <w:spacing w:before="20" w:after="0"/>
        <w:jc w:val="center"/>
        <w:rPr>
          <w:rFonts w:eastAsia="Calibri" w:cstheme="minorBidi"/>
          <w:b/>
          <w:sz w:val="12"/>
          <w:szCs w:val="22"/>
          <w:lang w:val="es-MX" w:eastAsia="en-US"/>
        </w:rPr>
      </w:pPr>
    </w:p>
    <w:p w14:paraId="0A49D624" w14:textId="77777777" w:rsidR="00F77FE5" w:rsidRPr="00F77FE5" w:rsidRDefault="00F77FE5" w:rsidP="00F77FE5">
      <w:pPr>
        <w:rPr>
          <w:rFonts w:eastAsia="Times New Roman" w:cs="Arial"/>
          <w:szCs w:val="22"/>
          <w:lang w:val="es-MX"/>
        </w:rPr>
      </w:pPr>
      <w:r w:rsidRPr="00F77FE5">
        <w:rPr>
          <w:noProof/>
          <w:lang w:val="es-MX" w:eastAsia="es-MX"/>
        </w:rPr>
        <w:lastRenderedPageBreak/>
        <w:drawing>
          <wp:anchor distT="0" distB="0" distL="114300" distR="114300" simplePos="0" relativeHeight="251659264" behindDoc="0" locked="0" layoutInCell="1" allowOverlap="1" wp14:anchorId="4C01C81C" wp14:editId="47A0B43B">
            <wp:simplePos x="0" y="0"/>
            <wp:positionH relativeFrom="margin">
              <wp:align>center</wp:align>
            </wp:positionH>
            <wp:positionV relativeFrom="paragraph">
              <wp:posOffset>7315</wp:posOffset>
            </wp:positionV>
            <wp:extent cx="4572000" cy="2743200"/>
            <wp:effectExtent l="0" t="0" r="0" b="0"/>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F77FE5">
        <w:rPr>
          <w:rFonts w:eastAsia="Times New Roman" w:cs="Arial"/>
          <w:szCs w:val="22"/>
          <w:lang w:val="es-MX"/>
        </w:rPr>
        <w:br w:type="textWrapping" w:clear="all"/>
      </w:r>
    </w:p>
    <w:p w14:paraId="4DA8DD39"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ES"/>
        </w:rPr>
        <w:t xml:space="preserve">Respecto de la coordinación para el seguimiento a la instrumentación de los ASM, 160 (25.2%) los coordina la SHCP y 476 (74.8%) son coordinados por el CONEVAL. </w:t>
      </w:r>
    </w:p>
    <w:p w14:paraId="623BABBF" w14:textId="77777777" w:rsidR="00F77FE5" w:rsidRPr="00F77FE5" w:rsidRDefault="00F77FE5" w:rsidP="00F77FE5">
      <w:pPr>
        <w:jc w:val="center"/>
        <w:rPr>
          <w:rFonts w:eastAsia="Times New Roman" w:cs="Arial"/>
          <w:szCs w:val="20"/>
          <w:lang w:val="es-MX"/>
        </w:rPr>
      </w:pPr>
      <w:r w:rsidRPr="00F77FE5">
        <w:rPr>
          <w:noProof/>
          <w:lang w:val="es-MX" w:eastAsia="es-MX"/>
        </w:rPr>
        <w:drawing>
          <wp:inline distT="0" distB="0" distL="0" distR="0" wp14:anchorId="2EF1FECE" wp14:editId="14C8F3E3">
            <wp:extent cx="45720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38A8A3" w14:textId="77777777" w:rsidR="00F77FE5" w:rsidRPr="00F77FE5" w:rsidRDefault="00F77FE5" w:rsidP="00F77FE5">
      <w:pPr>
        <w:jc w:val="both"/>
        <w:rPr>
          <w:rFonts w:eastAsia="Times New Roman" w:cs="Arial"/>
          <w:szCs w:val="20"/>
          <w:lang w:val="es-ES"/>
        </w:rPr>
      </w:pPr>
    </w:p>
    <w:p w14:paraId="66AA3E6B"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ES"/>
        </w:rPr>
        <w:t xml:space="preserve">Durante el primer trimestre de 2018, 329 ASM (51.7%) concluyeron su implementación, de los cuales 228 (69.3%) son del tipo específico, 94 (28.6%) son del tipo institucional, seis (1.8%) son del tipo interinstitucional y uno (0.3%) se identificó del tipo intergubernamental. </w:t>
      </w:r>
    </w:p>
    <w:p w14:paraId="2C297A78"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ES"/>
        </w:rPr>
        <w:t>Asimismo, 244 (38.4%)</w:t>
      </w:r>
      <w:r w:rsidR="006F4A52">
        <w:rPr>
          <w:rFonts w:eastAsia="Times New Roman" w:cs="Arial"/>
          <w:szCs w:val="20"/>
          <w:lang w:val="es-ES"/>
        </w:rPr>
        <w:t xml:space="preserve"> </w:t>
      </w:r>
      <w:r w:rsidRPr="00F77FE5">
        <w:rPr>
          <w:rFonts w:eastAsia="Times New Roman" w:cs="Arial"/>
          <w:szCs w:val="20"/>
          <w:lang w:val="es-ES"/>
        </w:rPr>
        <w:t>reportaron avances y continúan con el proceso de instrumentación, mientras que</w:t>
      </w:r>
      <w:r w:rsidR="006F4A52">
        <w:rPr>
          <w:rFonts w:eastAsia="Times New Roman" w:cs="Arial"/>
          <w:szCs w:val="20"/>
          <w:lang w:val="es-ES"/>
        </w:rPr>
        <w:t xml:space="preserve"> </w:t>
      </w:r>
      <w:r w:rsidRPr="00F77FE5">
        <w:rPr>
          <w:rFonts w:eastAsia="Times New Roman" w:cs="Arial"/>
          <w:szCs w:val="20"/>
          <w:lang w:val="es-ES"/>
        </w:rPr>
        <w:t>63 ASM (9.9</w:t>
      </w:r>
      <w:r w:rsidR="00266A9F">
        <w:rPr>
          <w:rFonts w:eastAsia="Times New Roman" w:cs="Arial"/>
          <w:szCs w:val="20"/>
          <w:lang w:val="es-ES"/>
        </w:rPr>
        <w:t>%) fueron reportados sin avance</w:t>
      </w:r>
      <w:r w:rsidR="00266A9F">
        <w:rPr>
          <w:rStyle w:val="Refdenotaalpie"/>
          <w:rFonts w:eastAsia="Times New Roman" w:cs="Arial"/>
          <w:szCs w:val="20"/>
          <w:lang w:val="es-ES"/>
        </w:rPr>
        <w:footnoteReference w:id="15"/>
      </w:r>
      <w:r w:rsidR="00266A9F" w:rsidRPr="00266A9F">
        <w:rPr>
          <w:rFonts w:eastAsia="Times New Roman" w:cs="Arial"/>
          <w:szCs w:val="20"/>
          <w:vertAlign w:val="superscript"/>
          <w:lang w:val="es-ES"/>
        </w:rPr>
        <w:t>_/</w:t>
      </w:r>
      <w:r w:rsidRPr="00F77FE5">
        <w:rPr>
          <w:rFonts w:eastAsia="Times New Roman" w:cs="Arial"/>
          <w:szCs w:val="20"/>
          <w:lang w:val="es-ES"/>
        </w:rPr>
        <w:t>.</w:t>
      </w:r>
    </w:p>
    <w:p w14:paraId="4E4C2123" w14:textId="77777777" w:rsidR="00F77FE5" w:rsidRPr="00F77FE5" w:rsidRDefault="00F77FE5" w:rsidP="00F77FE5">
      <w:pPr>
        <w:spacing w:before="20" w:after="0"/>
        <w:jc w:val="center"/>
        <w:rPr>
          <w:rFonts w:eastAsia="Calibri" w:cstheme="minorBidi"/>
          <w:b/>
          <w:sz w:val="12"/>
          <w:szCs w:val="22"/>
          <w:lang w:val="es-MX" w:eastAsia="en-US"/>
        </w:rPr>
      </w:pPr>
    </w:p>
    <w:p w14:paraId="59A029DC" w14:textId="77777777" w:rsidR="00F77FE5" w:rsidRPr="00F77FE5" w:rsidRDefault="00F77FE5" w:rsidP="00F77FE5">
      <w:pPr>
        <w:jc w:val="center"/>
        <w:rPr>
          <w:rFonts w:eastAsia="Times New Roman" w:cs="Arial"/>
          <w:szCs w:val="20"/>
          <w:lang w:val="es-MX"/>
        </w:rPr>
      </w:pPr>
    </w:p>
    <w:p w14:paraId="7072B735" w14:textId="77777777" w:rsidR="00F77FE5" w:rsidRPr="00F77FE5" w:rsidRDefault="00F77FE5" w:rsidP="00F77FE5">
      <w:pPr>
        <w:jc w:val="both"/>
        <w:rPr>
          <w:rFonts w:eastAsia="Times New Roman" w:cs="Arial"/>
          <w:szCs w:val="20"/>
          <w:lang w:val="es-MX"/>
        </w:rPr>
      </w:pPr>
      <w:r w:rsidRPr="00F77FE5">
        <w:rPr>
          <w:noProof/>
          <w:lang w:val="es-MX" w:eastAsia="es-MX"/>
        </w:rPr>
        <w:drawing>
          <wp:inline distT="0" distB="0" distL="0" distR="0" wp14:anchorId="7C411724" wp14:editId="6821AB73">
            <wp:extent cx="6332220" cy="3314700"/>
            <wp:effectExtent l="0" t="0" r="1143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EB67BB" w14:textId="77777777" w:rsidR="00F77FE5" w:rsidRPr="00F77FE5" w:rsidRDefault="00F77FE5" w:rsidP="00F77FE5">
      <w:pPr>
        <w:jc w:val="both"/>
        <w:rPr>
          <w:rFonts w:eastAsia="Times New Roman" w:cs="Arial"/>
          <w:szCs w:val="20"/>
          <w:lang w:val="es-ES"/>
        </w:rPr>
      </w:pPr>
    </w:p>
    <w:p w14:paraId="10F77E54"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ES"/>
        </w:rPr>
        <w:t>De los 329 ASM reportados como concluidos al primer trimestre de 2018, las dependencias que destacan son las siguientes: SEP con 72 (21.9%); SEDESOL con 43 (13.1%), Economía</w:t>
      </w:r>
      <w:r w:rsidR="006F4A52">
        <w:rPr>
          <w:rFonts w:eastAsia="Times New Roman" w:cs="Arial"/>
          <w:szCs w:val="20"/>
          <w:lang w:val="es-ES"/>
        </w:rPr>
        <w:t xml:space="preserve"> </w:t>
      </w:r>
      <w:r w:rsidRPr="00F77FE5">
        <w:rPr>
          <w:rFonts w:eastAsia="Times New Roman" w:cs="Arial"/>
          <w:szCs w:val="20"/>
          <w:lang w:val="es-ES"/>
        </w:rPr>
        <w:t xml:space="preserve">con 19 (5.8%) y SAGARPA con 16 (4.9%). </w:t>
      </w:r>
    </w:p>
    <w:p w14:paraId="01B606B4" w14:textId="77777777" w:rsidR="00F77FE5" w:rsidRPr="00F77FE5" w:rsidRDefault="00F77FE5" w:rsidP="00F77FE5">
      <w:pPr>
        <w:spacing w:before="20" w:after="0"/>
        <w:jc w:val="center"/>
        <w:rPr>
          <w:rFonts w:eastAsia="Calibri" w:cstheme="minorBidi"/>
          <w:b/>
          <w:sz w:val="12"/>
          <w:szCs w:val="22"/>
          <w:lang w:val="es-MX" w:eastAsia="en-US"/>
        </w:rPr>
      </w:pPr>
      <w:r w:rsidRPr="00F77FE5">
        <w:rPr>
          <w:noProof/>
          <w:lang w:val="es-MX" w:eastAsia="es-MX"/>
        </w:rPr>
        <w:lastRenderedPageBreak/>
        <w:drawing>
          <wp:inline distT="0" distB="0" distL="0" distR="0" wp14:anchorId="6EBB3FDA" wp14:editId="208D8FAC">
            <wp:extent cx="4572000" cy="8515349"/>
            <wp:effectExtent l="0" t="0" r="0" b="63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2BE4FB" w14:textId="77777777" w:rsidR="00F77FE5" w:rsidRPr="00F77FE5" w:rsidRDefault="00F77FE5" w:rsidP="00F77FE5">
      <w:pPr>
        <w:spacing w:before="20" w:after="0"/>
        <w:jc w:val="center"/>
        <w:rPr>
          <w:rFonts w:eastAsia="Times New Roman" w:cs="Arial"/>
          <w:szCs w:val="20"/>
          <w:lang w:val="es-ES"/>
        </w:rPr>
      </w:pPr>
    </w:p>
    <w:p w14:paraId="11FC56DE"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ES"/>
        </w:rPr>
        <w:t>De acuerdo al tipo de evaluación que dio origen a los ASM concluidos reportados en este trimestre, se identifican principalmente los siguientes: Diseño con 147 (44.7%), Consistencia y Resultados con 37 (11.2%) y Evaluación de Procesos con 25 (7.6%) ASM suscritos. Es importante destacar que 93 (28.3%) de los ASM concluidos se suscribieron a partir de Otros Informes, esencialmente de Fichas de Monitoreo y Evaluación</w:t>
      </w:r>
      <w:r w:rsidR="00266A9F">
        <w:rPr>
          <w:rStyle w:val="Refdenotaalpie"/>
          <w:rFonts w:eastAsia="Times New Roman" w:cs="Arial"/>
          <w:szCs w:val="20"/>
          <w:lang w:val="es-ES"/>
        </w:rPr>
        <w:footnoteReference w:id="16"/>
      </w:r>
      <w:r w:rsidR="00266A9F" w:rsidRPr="00266A9F">
        <w:rPr>
          <w:rFonts w:eastAsia="Times New Roman" w:cs="Arial"/>
          <w:szCs w:val="20"/>
          <w:vertAlign w:val="superscript"/>
          <w:lang w:val="es-ES"/>
        </w:rPr>
        <w:t>_/</w:t>
      </w:r>
      <w:r w:rsidRPr="00F77FE5">
        <w:rPr>
          <w:rFonts w:eastAsia="Times New Roman" w:cs="Arial"/>
          <w:szCs w:val="20"/>
          <w:lang w:val="es-ES"/>
        </w:rPr>
        <w:t xml:space="preserve">. </w:t>
      </w:r>
    </w:p>
    <w:p w14:paraId="189D396C" w14:textId="77777777" w:rsidR="00F77FE5" w:rsidRPr="00F77FE5" w:rsidRDefault="00F77FE5" w:rsidP="00F77FE5">
      <w:pPr>
        <w:jc w:val="both"/>
        <w:rPr>
          <w:rFonts w:eastAsia="Times New Roman" w:cs="Arial"/>
          <w:szCs w:val="20"/>
          <w:lang w:val="es-ES"/>
        </w:rPr>
      </w:pPr>
    </w:p>
    <w:tbl>
      <w:tblPr>
        <w:tblW w:w="5000" w:type="pct"/>
        <w:jc w:val="center"/>
        <w:tblCellMar>
          <w:left w:w="70" w:type="dxa"/>
          <w:right w:w="70" w:type="dxa"/>
        </w:tblCellMar>
        <w:tblLook w:val="04A0" w:firstRow="1" w:lastRow="0" w:firstColumn="1" w:lastColumn="0" w:noHBand="0" w:noVBand="1"/>
      </w:tblPr>
      <w:tblGrid>
        <w:gridCol w:w="5584"/>
        <w:gridCol w:w="772"/>
        <w:gridCol w:w="1350"/>
        <w:gridCol w:w="752"/>
        <w:gridCol w:w="1514"/>
      </w:tblGrid>
      <w:tr w:rsidR="00F77FE5" w:rsidRPr="00F77FE5" w14:paraId="3033DF30" w14:textId="77777777" w:rsidTr="005A7CAD">
        <w:trPr>
          <w:trHeight w:val="300"/>
          <w:jc w:val="center"/>
        </w:trPr>
        <w:tc>
          <w:tcPr>
            <w:tcW w:w="5000" w:type="pct"/>
            <w:gridSpan w:val="5"/>
            <w:tcBorders>
              <w:top w:val="nil"/>
              <w:left w:val="nil"/>
              <w:bottom w:val="nil"/>
              <w:right w:val="nil"/>
            </w:tcBorders>
            <w:shd w:val="clear" w:color="000000" w:fill="EAF1DD"/>
            <w:noWrap/>
            <w:vAlign w:val="center"/>
            <w:hideMark/>
          </w:tcPr>
          <w:p w14:paraId="62B0B59B" w14:textId="77777777" w:rsidR="00F77FE5" w:rsidRPr="00F77FE5" w:rsidRDefault="00F77FE5" w:rsidP="00F77FE5">
            <w:pPr>
              <w:spacing w:after="0"/>
              <w:jc w:val="center"/>
              <w:rPr>
                <w:rFonts w:eastAsia="Times New Roman" w:cs="Calibri"/>
                <w:color w:val="000000"/>
                <w:sz w:val="18"/>
                <w:szCs w:val="18"/>
                <w:lang w:val="es-MX" w:eastAsia="es-MX"/>
              </w:rPr>
            </w:pPr>
            <w:r w:rsidRPr="00F77FE5">
              <w:rPr>
                <w:rFonts w:eastAsia="Times New Roman" w:cs="Calibri"/>
                <w:color w:val="000000"/>
                <w:sz w:val="18"/>
                <w:szCs w:val="18"/>
                <w:lang w:val="es-MX" w:eastAsia="es-MX"/>
              </w:rPr>
              <w:t>Tabla 3. Cantidad de ASM</w:t>
            </w:r>
            <w:r w:rsidR="006F4A52">
              <w:rPr>
                <w:rFonts w:eastAsia="Times New Roman" w:cs="Calibri"/>
                <w:color w:val="000000"/>
                <w:sz w:val="18"/>
                <w:szCs w:val="18"/>
                <w:lang w:val="es-MX" w:eastAsia="es-MX"/>
              </w:rPr>
              <w:t xml:space="preserve"> </w:t>
            </w:r>
            <w:r w:rsidRPr="00F77FE5">
              <w:rPr>
                <w:rFonts w:eastAsia="Times New Roman" w:cs="Calibri"/>
                <w:color w:val="000000"/>
                <w:sz w:val="18"/>
                <w:szCs w:val="18"/>
                <w:lang w:val="es-MX" w:eastAsia="es-MX"/>
              </w:rPr>
              <w:t>concluidos por tipo de evaluación al primer trimestre de 2018</w:t>
            </w:r>
          </w:p>
        </w:tc>
      </w:tr>
      <w:tr w:rsidR="00F77FE5" w:rsidRPr="00F77FE5" w14:paraId="4C3C014E" w14:textId="77777777" w:rsidTr="005A7CAD">
        <w:trPr>
          <w:trHeight w:val="315"/>
          <w:jc w:val="center"/>
        </w:trPr>
        <w:tc>
          <w:tcPr>
            <w:tcW w:w="2800" w:type="pct"/>
            <w:tcBorders>
              <w:top w:val="nil"/>
              <w:left w:val="nil"/>
              <w:bottom w:val="single" w:sz="8" w:space="0" w:color="auto"/>
              <w:right w:val="nil"/>
            </w:tcBorders>
            <w:shd w:val="clear" w:color="000000" w:fill="FFFFFF"/>
            <w:noWrap/>
            <w:vAlign w:val="center"/>
            <w:hideMark/>
          </w:tcPr>
          <w:p w14:paraId="51061325" w14:textId="77777777" w:rsidR="00F77FE5" w:rsidRPr="00F77FE5" w:rsidRDefault="00F77FE5" w:rsidP="00F77FE5">
            <w:pPr>
              <w:spacing w:after="0"/>
              <w:rPr>
                <w:rFonts w:eastAsia="Calibri" w:cstheme="minorBidi"/>
                <w:sz w:val="14"/>
                <w:szCs w:val="22"/>
                <w:lang w:val="es-MX" w:eastAsia="es-MX"/>
              </w:rPr>
            </w:pPr>
            <w:r w:rsidRPr="00F77FE5">
              <w:rPr>
                <w:rFonts w:eastAsia="Calibri" w:cstheme="minorBidi"/>
                <w:sz w:val="14"/>
                <w:szCs w:val="22"/>
                <w:lang w:val="es-MX" w:eastAsia="es-MX"/>
              </w:rPr>
              <w:t>Tipo de evaluación (Fuente de información)</w:t>
            </w:r>
          </w:p>
        </w:tc>
        <w:tc>
          <w:tcPr>
            <w:tcW w:w="387" w:type="pct"/>
            <w:tcBorders>
              <w:top w:val="nil"/>
              <w:left w:val="nil"/>
              <w:bottom w:val="single" w:sz="8" w:space="0" w:color="auto"/>
              <w:right w:val="nil"/>
            </w:tcBorders>
            <w:shd w:val="clear" w:color="000000" w:fill="FFFFFF"/>
            <w:noWrap/>
            <w:vAlign w:val="center"/>
            <w:hideMark/>
          </w:tcPr>
          <w:p w14:paraId="7119630E"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SHCP</w:t>
            </w:r>
          </w:p>
        </w:tc>
        <w:tc>
          <w:tcPr>
            <w:tcW w:w="677" w:type="pct"/>
            <w:tcBorders>
              <w:top w:val="nil"/>
              <w:left w:val="nil"/>
              <w:bottom w:val="single" w:sz="8" w:space="0" w:color="auto"/>
              <w:right w:val="nil"/>
            </w:tcBorders>
            <w:shd w:val="clear" w:color="000000" w:fill="FFFFFF"/>
            <w:noWrap/>
            <w:vAlign w:val="center"/>
            <w:hideMark/>
          </w:tcPr>
          <w:p w14:paraId="75FA1083"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CONEVAL</w:t>
            </w:r>
          </w:p>
        </w:tc>
        <w:tc>
          <w:tcPr>
            <w:tcW w:w="377" w:type="pct"/>
            <w:tcBorders>
              <w:top w:val="nil"/>
              <w:left w:val="nil"/>
              <w:bottom w:val="single" w:sz="8" w:space="0" w:color="auto"/>
              <w:right w:val="nil"/>
            </w:tcBorders>
            <w:shd w:val="clear" w:color="000000" w:fill="FFFFFF"/>
            <w:noWrap/>
            <w:vAlign w:val="center"/>
            <w:hideMark/>
          </w:tcPr>
          <w:p w14:paraId="15585852"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Total</w:t>
            </w:r>
          </w:p>
        </w:tc>
        <w:tc>
          <w:tcPr>
            <w:tcW w:w="759" w:type="pct"/>
            <w:tcBorders>
              <w:top w:val="nil"/>
              <w:left w:val="nil"/>
              <w:bottom w:val="single" w:sz="8" w:space="0" w:color="auto"/>
              <w:right w:val="nil"/>
            </w:tcBorders>
            <w:shd w:val="clear" w:color="000000" w:fill="FFFFFF"/>
            <w:noWrap/>
            <w:vAlign w:val="center"/>
            <w:hideMark/>
          </w:tcPr>
          <w:p w14:paraId="7940F676"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 del Total</w:t>
            </w:r>
          </w:p>
        </w:tc>
      </w:tr>
      <w:tr w:rsidR="00F77FE5" w:rsidRPr="00F77FE5" w14:paraId="0E020676" w14:textId="77777777" w:rsidTr="005A7CAD">
        <w:trPr>
          <w:trHeight w:val="300"/>
          <w:jc w:val="center"/>
        </w:trPr>
        <w:tc>
          <w:tcPr>
            <w:tcW w:w="2800" w:type="pct"/>
            <w:tcBorders>
              <w:top w:val="nil"/>
              <w:left w:val="nil"/>
              <w:bottom w:val="nil"/>
              <w:right w:val="nil"/>
            </w:tcBorders>
            <w:shd w:val="clear" w:color="000000" w:fill="FFFFFF"/>
            <w:noWrap/>
            <w:vAlign w:val="center"/>
            <w:hideMark/>
          </w:tcPr>
          <w:p w14:paraId="350AF1AA"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Evaluación Complementaria</w:t>
            </w:r>
          </w:p>
        </w:tc>
        <w:tc>
          <w:tcPr>
            <w:tcW w:w="387" w:type="pct"/>
            <w:tcBorders>
              <w:top w:val="nil"/>
              <w:left w:val="nil"/>
              <w:bottom w:val="nil"/>
              <w:right w:val="nil"/>
            </w:tcBorders>
            <w:shd w:val="clear" w:color="000000" w:fill="FFFFFF"/>
            <w:noWrap/>
            <w:vAlign w:val="center"/>
            <w:hideMark/>
          </w:tcPr>
          <w:p w14:paraId="7FE5E8E9"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77" w:type="pct"/>
            <w:tcBorders>
              <w:top w:val="nil"/>
              <w:left w:val="nil"/>
              <w:bottom w:val="nil"/>
              <w:right w:val="nil"/>
            </w:tcBorders>
            <w:shd w:val="clear" w:color="000000" w:fill="FFFFFF"/>
            <w:noWrap/>
            <w:vAlign w:val="center"/>
            <w:hideMark/>
          </w:tcPr>
          <w:p w14:paraId="322530E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w:t>
            </w:r>
          </w:p>
        </w:tc>
        <w:tc>
          <w:tcPr>
            <w:tcW w:w="377" w:type="pct"/>
            <w:tcBorders>
              <w:top w:val="nil"/>
              <w:left w:val="nil"/>
              <w:bottom w:val="nil"/>
              <w:right w:val="nil"/>
            </w:tcBorders>
            <w:shd w:val="clear" w:color="000000" w:fill="FFFFFF"/>
            <w:noWrap/>
            <w:vAlign w:val="center"/>
            <w:hideMark/>
          </w:tcPr>
          <w:p w14:paraId="57D1C3F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w:t>
            </w:r>
          </w:p>
        </w:tc>
        <w:tc>
          <w:tcPr>
            <w:tcW w:w="759" w:type="pct"/>
            <w:tcBorders>
              <w:top w:val="nil"/>
              <w:left w:val="nil"/>
              <w:bottom w:val="nil"/>
              <w:right w:val="nil"/>
            </w:tcBorders>
            <w:shd w:val="clear" w:color="000000" w:fill="FFFFFF"/>
            <w:noWrap/>
            <w:vAlign w:val="center"/>
            <w:hideMark/>
          </w:tcPr>
          <w:p w14:paraId="2556CCF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3.0</w:t>
            </w:r>
          </w:p>
        </w:tc>
      </w:tr>
      <w:tr w:rsidR="00F77FE5" w:rsidRPr="00F77FE5" w14:paraId="4928DC2A" w14:textId="77777777" w:rsidTr="005A7CAD">
        <w:trPr>
          <w:trHeight w:val="300"/>
          <w:jc w:val="center"/>
        </w:trPr>
        <w:tc>
          <w:tcPr>
            <w:tcW w:w="2800" w:type="pct"/>
            <w:tcBorders>
              <w:top w:val="nil"/>
              <w:left w:val="nil"/>
              <w:bottom w:val="nil"/>
              <w:right w:val="nil"/>
            </w:tcBorders>
            <w:shd w:val="clear" w:color="000000" w:fill="FFFFFF"/>
            <w:noWrap/>
            <w:vAlign w:val="center"/>
            <w:hideMark/>
          </w:tcPr>
          <w:p w14:paraId="7EBE9177"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Evaluación Costo - Efectividad</w:t>
            </w:r>
          </w:p>
        </w:tc>
        <w:tc>
          <w:tcPr>
            <w:tcW w:w="387" w:type="pct"/>
            <w:tcBorders>
              <w:top w:val="nil"/>
              <w:left w:val="nil"/>
              <w:bottom w:val="nil"/>
              <w:right w:val="nil"/>
            </w:tcBorders>
            <w:shd w:val="clear" w:color="000000" w:fill="FFFFFF"/>
            <w:noWrap/>
            <w:vAlign w:val="center"/>
            <w:hideMark/>
          </w:tcPr>
          <w:p w14:paraId="6FDF6FB3"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77" w:type="pct"/>
            <w:tcBorders>
              <w:top w:val="nil"/>
              <w:left w:val="nil"/>
              <w:bottom w:val="nil"/>
              <w:right w:val="nil"/>
            </w:tcBorders>
            <w:shd w:val="clear" w:color="000000" w:fill="FFFFFF"/>
            <w:noWrap/>
            <w:vAlign w:val="center"/>
            <w:hideMark/>
          </w:tcPr>
          <w:p w14:paraId="69CD0E6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377" w:type="pct"/>
            <w:tcBorders>
              <w:top w:val="nil"/>
              <w:left w:val="nil"/>
              <w:bottom w:val="nil"/>
              <w:right w:val="nil"/>
            </w:tcBorders>
            <w:shd w:val="clear" w:color="000000" w:fill="FFFFFF"/>
            <w:noWrap/>
            <w:vAlign w:val="center"/>
            <w:hideMark/>
          </w:tcPr>
          <w:p w14:paraId="7AAE604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759" w:type="pct"/>
            <w:tcBorders>
              <w:top w:val="nil"/>
              <w:left w:val="nil"/>
              <w:bottom w:val="nil"/>
              <w:right w:val="nil"/>
            </w:tcBorders>
            <w:shd w:val="clear" w:color="000000" w:fill="FFFFFF"/>
            <w:noWrap/>
            <w:vAlign w:val="center"/>
            <w:hideMark/>
          </w:tcPr>
          <w:p w14:paraId="0EB176D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0.3</w:t>
            </w:r>
          </w:p>
        </w:tc>
      </w:tr>
      <w:tr w:rsidR="00F77FE5" w:rsidRPr="00F77FE5" w14:paraId="271DCDF9" w14:textId="77777777" w:rsidTr="005A7CAD">
        <w:trPr>
          <w:trHeight w:val="300"/>
          <w:jc w:val="center"/>
        </w:trPr>
        <w:tc>
          <w:tcPr>
            <w:tcW w:w="2800" w:type="pct"/>
            <w:tcBorders>
              <w:top w:val="nil"/>
              <w:left w:val="nil"/>
              <w:bottom w:val="nil"/>
              <w:right w:val="nil"/>
            </w:tcBorders>
            <w:shd w:val="clear" w:color="000000" w:fill="FFFFFF"/>
            <w:noWrap/>
            <w:vAlign w:val="center"/>
            <w:hideMark/>
          </w:tcPr>
          <w:p w14:paraId="3F930ABA"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Evaluación de Consistencia y Resultados</w:t>
            </w:r>
          </w:p>
        </w:tc>
        <w:tc>
          <w:tcPr>
            <w:tcW w:w="387" w:type="pct"/>
            <w:tcBorders>
              <w:top w:val="nil"/>
              <w:left w:val="nil"/>
              <w:bottom w:val="nil"/>
              <w:right w:val="nil"/>
            </w:tcBorders>
            <w:shd w:val="clear" w:color="000000" w:fill="FFFFFF"/>
            <w:noWrap/>
            <w:vAlign w:val="center"/>
            <w:hideMark/>
          </w:tcPr>
          <w:p w14:paraId="070F68C0"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22</w:t>
            </w:r>
          </w:p>
        </w:tc>
        <w:tc>
          <w:tcPr>
            <w:tcW w:w="677" w:type="pct"/>
            <w:tcBorders>
              <w:top w:val="nil"/>
              <w:left w:val="nil"/>
              <w:bottom w:val="nil"/>
              <w:right w:val="nil"/>
            </w:tcBorders>
            <w:shd w:val="clear" w:color="000000" w:fill="FFFFFF"/>
            <w:noWrap/>
            <w:vAlign w:val="center"/>
            <w:hideMark/>
          </w:tcPr>
          <w:p w14:paraId="753245C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15</w:t>
            </w:r>
          </w:p>
        </w:tc>
        <w:tc>
          <w:tcPr>
            <w:tcW w:w="377" w:type="pct"/>
            <w:tcBorders>
              <w:top w:val="nil"/>
              <w:left w:val="nil"/>
              <w:bottom w:val="nil"/>
              <w:right w:val="nil"/>
            </w:tcBorders>
            <w:shd w:val="clear" w:color="000000" w:fill="FFFFFF"/>
            <w:noWrap/>
            <w:vAlign w:val="center"/>
            <w:hideMark/>
          </w:tcPr>
          <w:p w14:paraId="24AC77D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37</w:t>
            </w:r>
          </w:p>
        </w:tc>
        <w:tc>
          <w:tcPr>
            <w:tcW w:w="759" w:type="pct"/>
            <w:tcBorders>
              <w:top w:val="nil"/>
              <w:left w:val="nil"/>
              <w:bottom w:val="nil"/>
              <w:right w:val="nil"/>
            </w:tcBorders>
            <w:shd w:val="clear" w:color="000000" w:fill="FFFFFF"/>
            <w:noWrap/>
            <w:vAlign w:val="center"/>
            <w:hideMark/>
          </w:tcPr>
          <w:p w14:paraId="077ED0D2"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11.2</w:t>
            </w:r>
          </w:p>
        </w:tc>
      </w:tr>
      <w:tr w:rsidR="00F77FE5" w:rsidRPr="00F77FE5" w14:paraId="37D003EC" w14:textId="77777777" w:rsidTr="005A7CAD">
        <w:trPr>
          <w:trHeight w:val="300"/>
          <w:jc w:val="center"/>
        </w:trPr>
        <w:tc>
          <w:tcPr>
            <w:tcW w:w="2800" w:type="pct"/>
            <w:tcBorders>
              <w:top w:val="nil"/>
              <w:left w:val="nil"/>
              <w:bottom w:val="nil"/>
              <w:right w:val="nil"/>
            </w:tcBorders>
            <w:shd w:val="clear" w:color="000000" w:fill="FFFFFF"/>
            <w:noWrap/>
            <w:vAlign w:val="center"/>
            <w:hideMark/>
          </w:tcPr>
          <w:p w14:paraId="3D73A073"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Evaluación de Diseño</w:t>
            </w:r>
          </w:p>
        </w:tc>
        <w:tc>
          <w:tcPr>
            <w:tcW w:w="387" w:type="pct"/>
            <w:tcBorders>
              <w:top w:val="nil"/>
              <w:left w:val="nil"/>
              <w:bottom w:val="nil"/>
              <w:right w:val="nil"/>
            </w:tcBorders>
            <w:shd w:val="clear" w:color="000000" w:fill="FFFFFF"/>
            <w:noWrap/>
            <w:vAlign w:val="center"/>
            <w:hideMark/>
          </w:tcPr>
          <w:p w14:paraId="17DF3133"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28</w:t>
            </w:r>
          </w:p>
        </w:tc>
        <w:tc>
          <w:tcPr>
            <w:tcW w:w="677" w:type="pct"/>
            <w:tcBorders>
              <w:top w:val="nil"/>
              <w:left w:val="nil"/>
              <w:bottom w:val="nil"/>
              <w:right w:val="nil"/>
            </w:tcBorders>
            <w:shd w:val="clear" w:color="000000" w:fill="FFFFFF"/>
            <w:noWrap/>
            <w:vAlign w:val="center"/>
            <w:hideMark/>
          </w:tcPr>
          <w:p w14:paraId="686F27B3"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119</w:t>
            </w:r>
          </w:p>
        </w:tc>
        <w:tc>
          <w:tcPr>
            <w:tcW w:w="377" w:type="pct"/>
            <w:tcBorders>
              <w:top w:val="nil"/>
              <w:left w:val="nil"/>
              <w:bottom w:val="nil"/>
              <w:right w:val="nil"/>
            </w:tcBorders>
            <w:shd w:val="clear" w:color="000000" w:fill="FFFFFF"/>
            <w:noWrap/>
            <w:vAlign w:val="center"/>
            <w:hideMark/>
          </w:tcPr>
          <w:p w14:paraId="0B52E462"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147</w:t>
            </w:r>
          </w:p>
        </w:tc>
        <w:tc>
          <w:tcPr>
            <w:tcW w:w="759" w:type="pct"/>
            <w:tcBorders>
              <w:top w:val="nil"/>
              <w:left w:val="nil"/>
              <w:bottom w:val="nil"/>
              <w:right w:val="nil"/>
            </w:tcBorders>
            <w:shd w:val="clear" w:color="000000" w:fill="FFFFFF"/>
            <w:noWrap/>
            <w:vAlign w:val="center"/>
            <w:hideMark/>
          </w:tcPr>
          <w:p w14:paraId="06103BBA"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44.7</w:t>
            </w:r>
          </w:p>
        </w:tc>
      </w:tr>
      <w:tr w:rsidR="00F77FE5" w:rsidRPr="00F77FE5" w14:paraId="460FCAE5" w14:textId="77777777" w:rsidTr="005A7CAD">
        <w:trPr>
          <w:trHeight w:val="300"/>
          <w:jc w:val="center"/>
        </w:trPr>
        <w:tc>
          <w:tcPr>
            <w:tcW w:w="2800" w:type="pct"/>
            <w:tcBorders>
              <w:top w:val="nil"/>
              <w:left w:val="nil"/>
              <w:bottom w:val="nil"/>
              <w:right w:val="nil"/>
            </w:tcBorders>
            <w:shd w:val="clear" w:color="000000" w:fill="FFFFFF"/>
            <w:noWrap/>
            <w:vAlign w:val="center"/>
            <w:hideMark/>
          </w:tcPr>
          <w:p w14:paraId="423334CC"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Evaluación de Procesos</w:t>
            </w:r>
          </w:p>
        </w:tc>
        <w:tc>
          <w:tcPr>
            <w:tcW w:w="387" w:type="pct"/>
            <w:tcBorders>
              <w:top w:val="nil"/>
              <w:left w:val="nil"/>
              <w:bottom w:val="nil"/>
              <w:right w:val="nil"/>
            </w:tcBorders>
            <w:shd w:val="clear" w:color="000000" w:fill="FFFFFF"/>
            <w:noWrap/>
            <w:vAlign w:val="center"/>
            <w:hideMark/>
          </w:tcPr>
          <w:p w14:paraId="417D5B90"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w:t>
            </w:r>
          </w:p>
        </w:tc>
        <w:tc>
          <w:tcPr>
            <w:tcW w:w="677" w:type="pct"/>
            <w:tcBorders>
              <w:top w:val="nil"/>
              <w:left w:val="nil"/>
              <w:bottom w:val="nil"/>
              <w:right w:val="nil"/>
            </w:tcBorders>
            <w:shd w:val="clear" w:color="000000" w:fill="FFFFFF"/>
            <w:noWrap/>
            <w:vAlign w:val="center"/>
            <w:hideMark/>
          </w:tcPr>
          <w:p w14:paraId="012E7AE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17</w:t>
            </w:r>
          </w:p>
        </w:tc>
        <w:tc>
          <w:tcPr>
            <w:tcW w:w="377" w:type="pct"/>
            <w:tcBorders>
              <w:top w:val="nil"/>
              <w:left w:val="nil"/>
              <w:bottom w:val="nil"/>
              <w:right w:val="nil"/>
            </w:tcBorders>
            <w:shd w:val="clear" w:color="000000" w:fill="FFFFFF"/>
            <w:noWrap/>
            <w:vAlign w:val="center"/>
            <w:hideMark/>
          </w:tcPr>
          <w:p w14:paraId="6F2DD6B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25</w:t>
            </w:r>
          </w:p>
        </w:tc>
        <w:tc>
          <w:tcPr>
            <w:tcW w:w="759" w:type="pct"/>
            <w:tcBorders>
              <w:top w:val="nil"/>
              <w:left w:val="nil"/>
              <w:bottom w:val="nil"/>
              <w:right w:val="nil"/>
            </w:tcBorders>
            <w:shd w:val="clear" w:color="000000" w:fill="FFFFFF"/>
            <w:noWrap/>
            <w:vAlign w:val="center"/>
            <w:hideMark/>
          </w:tcPr>
          <w:p w14:paraId="4C9332C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7.6</w:t>
            </w:r>
          </w:p>
        </w:tc>
      </w:tr>
      <w:tr w:rsidR="00F77FE5" w:rsidRPr="00F77FE5" w14:paraId="1ADBFA66" w14:textId="77777777" w:rsidTr="005A7CAD">
        <w:trPr>
          <w:trHeight w:val="300"/>
          <w:jc w:val="center"/>
        </w:trPr>
        <w:tc>
          <w:tcPr>
            <w:tcW w:w="2800" w:type="pct"/>
            <w:tcBorders>
              <w:top w:val="nil"/>
              <w:left w:val="nil"/>
              <w:bottom w:val="nil"/>
              <w:right w:val="nil"/>
            </w:tcBorders>
            <w:shd w:val="clear" w:color="000000" w:fill="FFFFFF"/>
            <w:noWrap/>
            <w:vAlign w:val="center"/>
            <w:hideMark/>
          </w:tcPr>
          <w:p w14:paraId="66E77B6C"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Evaluación Específica</w:t>
            </w:r>
          </w:p>
        </w:tc>
        <w:tc>
          <w:tcPr>
            <w:tcW w:w="387" w:type="pct"/>
            <w:tcBorders>
              <w:top w:val="nil"/>
              <w:left w:val="nil"/>
              <w:bottom w:val="nil"/>
              <w:right w:val="nil"/>
            </w:tcBorders>
            <w:shd w:val="clear" w:color="000000" w:fill="FFFFFF"/>
            <w:noWrap/>
            <w:vAlign w:val="center"/>
            <w:hideMark/>
          </w:tcPr>
          <w:p w14:paraId="5976BBF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677" w:type="pct"/>
            <w:tcBorders>
              <w:top w:val="nil"/>
              <w:left w:val="nil"/>
              <w:bottom w:val="nil"/>
              <w:right w:val="nil"/>
            </w:tcBorders>
            <w:shd w:val="clear" w:color="000000" w:fill="FFFFFF"/>
            <w:noWrap/>
            <w:vAlign w:val="center"/>
            <w:hideMark/>
          </w:tcPr>
          <w:p w14:paraId="3B15FBDA" w14:textId="77777777" w:rsidR="00F77FE5" w:rsidRPr="00F77FE5" w:rsidRDefault="00F77FE5" w:rsidP="00F77FE5">
            <w:pPr>
              <w:spacing w:after="0"/>
              <w:jc w:val="center"/>
              <w:rPr>
                <w:rFonts w:eastAsia="Times New Roman" w:cs="Calibri"/>
                <w:color w:val="000000"/>
                <w:sz w:val="12"/>
                <w:szCs w:val="12"/>
                <w:lang w:val="es-MX" w:eastAsia="es-MX"/>
              </w:rPr>
            </w:pPr>
          </w:p>
        </w:tc>
        <w:tc>
          <w:tcPr>
            <w:tcW w:w="377" w:type="pct"/>
            <w:tcBorders>
              <w:top w:val="nil"/>
              <w:left w:val="nil"/>
              <w:bottom w:val="nil"/>
              <w:right w:val="nil"/>
            </w:tcBorders>
            <w:shd w:val="clear" w:color="000000" w:fill="FFFFFF"/>
            <w:noWrap/>
            <w:vAlign w:val="center"/>
            <w:hideMark/>
          </w:tcPr>
          <w:p w14:paraId="556B9D1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759" w:type="pct"/>
            <w:tcBorders>
              <w:top w:val="nil"/>
              <w:left w:val="nil"/>
              <w:bottom w:val="nil"/>
              <w:right w:val="nil"/>
            </w:tcBorders>
            <w:shd w:val="clear" w:color="000000" w:fill="FFFFFF"/>
            <w:noWrap/>
            <w:vAlign w:val="center"/>
            <w:hideMark/>
          </w:tcPr>
          <w:p w14:paraId="1C76F685"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0.9</w:t>
            </w:r>
          </w:p>
        </w:tc>
      </w:tr>
      <w:tr w:rsidR="00F77FE5" w:rsidRPr="00F77FE5" w14:paraId="15C4E7F4" w14:textId="77777777" w:rsidTr="005A7CAD">
        <w:trPr>
          <w:trHeight w:val="300"/>
          <w:jc w:val="center"/>
        </w:trPr>
        <w:tc>
          <w:tcPr>
            <w:tcW w:w="2800" w:type="pct"/>
            <w:tcBorders>
              <w:top w:val="nil"/>
              <w:left w:val="nil"/>
              <w:bottom w:val="nil"/>
              <w:right w:val="nil"/>
            </w:tcBorders>
            <w:shd w:val="clear" w:color="000000" w:fill="FFFFFF"/>
            <w:noWrap/>
            <w:vAlign w:val="center"/>
            <w:hideMark/>
          </w:tcPr>
          <w:p w14:paraId="0421E9BC"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Evaluación Específica de Desempeño</w:t>
            </w:r>
          </w:p>
        </w:tc>
        <w:tc>
          <w:tcPr>
            <w:tcW w:w="387" w:type="pct"/>
            <w:tcBorders>
              <w:top w:val="nil"/>
              <w:left w:val="nil"/>
              <w:bottom w:val="nil"/>
              <w:right w:val="nil"/>
            </w:tcBorders>
            <w:shd w:val="clear" w:color="000000" w:fill="FFFFFF"/>
            <w:noWrap/>
            <w:vAlign w:val="center"/>
            <w:hideMark/>
          </w:tcPr>
          <w:p w14:paraId="24107A23"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77" w:type="pct"/>
            <w:tcBorders>
              <w:top w:val="nil"/>
              <w:left w:val="nil"/>
              <w:bottom w:val="nil"/>
              <w:right w:val="nil"/>
            </w:tcBorders>
            <w:shd w:val="clear" w:color="000000" w:fill="FFFFFF"/>
            <w:noWrap/>
            <w:vAlign w:val="center"/>
            <w:hideMark/>
          </w:tcPr>
          <w:p w14:paraId="272A43F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13</w:t>
            </w:r>
          </w:p>
        </w:tc>
        <w:tc>
          <w:tcPr>
            <w:tcW w:w="377" w:type="pct"/>
            <w:tcBorders>
              <w:top w:val="nil"/>
              <w:left w:val="nil"/>
              <w:bottom w:val="nil"/>
              <w:right w:val="nil"/>
            </w:tcBorders>
            <w:shd w:val="clear" w:color="000000" w:fill="FFFFFF"/>
            <w:noWrap/>
            <w:vAlign w:val="center"/>
            <w:hideMark/>
          </w:tcPr>
          <w:p w14:paraId="1B7E3DD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13</w:t>
            </w:r>
          </w:p>
        </w:tc>
        <w:tc>
          <w:tcPr>
            <w:tcW w:w="759" w:type="pct"/>
            <w:tcBorders>
              <w:top w:val="nil"/>
              <w:left w:val="nil"/>
              <w:bottom w:val="nil"/>
              <w:right w:val="nil"/>
            </w:tcBorders>
            <w:shd w:val="clear" w:color="000000" w:fill="FFFFFF"/>
            <w:noWrap/>
            <w:vAlign w:val="center"/>
            <w:hideMark/>
          </w:tcPr>
          <w:p w14:paraId="551806A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4.0</w:t>
            </w:r>
          </w:p>
        </w:tc>
      </w:tr>
      <w:tr w:rsidR="00F77FE5" w:rsidRPr="00F77FE5" w14:paraId="7686532C" w14:textId="77777777" w:rsidTr="005A7CAD">
        <w:trPr>
          <w:trHeight w:val="300"/>
          <w:jc w:val="center"/>
        </w:trPr>
        <w:tc>
          <w:tcPr>
            <w:tcW w:w="2800" w:type="pct"/>
            <w:tcBorders>
              <w:top w:val="nil"/>
              <w:left w:val="nil"/>
              <w:bottom w:val="nil"/>
              <w:right w:val="nil"/>
            </w:tcBorders>
            <w:shd w:val="clear" w:color="000000" w:fill="FFFFFF"/>
            <w:noWrap/>
            <w:vAlign w:val="center"/>
            <w:hideMark/>
          </w:tcPr>
          <w:p w14:paraId="3E032B98" w14:textId="77777777" w:rsidR="00F77FE5" w:rsidRPr="00F77FE5" w:rsidRDefault="00F77FE5" w:rsidP="00CD68A2">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xml:space="preserve">Otros Informes </w:t>
            </w:r>
          </w:p>
        </w:tc>
        <w:tc>
          <w:tcPr>
            <w:tcW w:w="387" w:type="pct"/>
            <w:tcBorders>
              <w:top w:val="nil"/>
              <w:left w:val="nil"/>
              <w:bottom w:val="nil"/>
              <w:right w:val="nil"/>
            </w:tcBorders>
            <w:shd w:val="clear" w:color="000000" w:fill="FFFFFF"/>
            <w:noWrap/>
            <w:vAlign w:val="center"/>
            <w:hideMark/>
          </w:tcPr>
          <w:p w14:paraId="1AAC49A7"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77" w:type="pct"/>
            <w:tcBorders>
              <w:top w:val="nil"/>
              <w:left w:val="nil"/>
              <w:bottom w:val="nil"/>
              <w:right w:val="nil"/>
            </w:tcBorders>
            <w:shd w:val="clear" w:color="000000" w:fill="FFFFFF"/>
            <w:noWrap/>
            <w:vAlign w:val="center"/>
            <w:hideMark/>
          </w:tcPr>
          <w:p w14:paraId="5E92409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93</w:t>
            </w:r>
          </w:p>
        </w:tc>
        <w:tc>
          <w:tcPr>
            <w:tcW w:w="377" w:type="pct"/>
            <w:tcBorders>
              <w:top w:val="nil"/>
              <w:left w:val="nil"/>
              <w:bottom w:val="nil"/>
              <w:right w:val="nil"/>
            </w:tcBorders>
            <w:shd w:val="clear" w:color="000000" w:fill="FFFFFF"/>
            <w:noWrap/>
            <w:vAlign w:val="center"/>
            <w:hideMark/>
          </w:tcPr>
          <w:p w14:paraId="2BC3DDA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93</w:t>
            </w:r>
          </w:p>
        </w:tc>
        <w:tc>
          <w:tcPr>
            <w:tcW w:w="759" w:type="pct"/>
            <w:tcBorders>
              <w:top w:val="nil"/>
              <w:left w:val="nil"/>
              <w:bottom w:val="nil"/>
              <w:right w:val="nil"/>
            </w:tcBorders>
            <w:shd w:val="clear" w:color="000000" w:fill="FFFFFF"/>
            <w:noWrap/>
            <w:vAlign w:val="center"/>
            <w:hideMark/>
          </w:tcPr>
          <w:p w14:paraId="141B4DDA"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28.3</w:t>
            </w:r>
          </w:p>
        </w:tc>
      </w:tr>
      <w:tr w:rsidR="00F77FE5" w:rsidRPr="00F77FE5" w14:paraId="38A739AA" w14:textId="77777777" w:rsidTr="005A7CAD">
        <w:trPr>
          <w:trHeight w:val="300"/>
          <w:jc w:val="center"/>
        </w:trPr>
        <w:tc>
          <w:tcPr>
            <w:tcW w:w="2800" w:type="pct"/>
            <w:tcBorders>
              <w:top w:val="nil"/>
              <w:left w:val="nil"/>
              <w:bottom w:val="nil"/>
              <w:right w:val="nil"/>
            </w:tcBorders>
            <w:shd w:val="clear" w:color="000000" w:fill="FFFFFF"/>
            <w:noWrap/>
            <w:vAlign w:val="center"/>
            <w:hideMark/>
          </w:tcPr>
          <w:p w14:paraId="1A31BAEB" w14:textId="77777777" w:rsidR="00F77FE5" w:rsidRPr="00F77FE5" w:rsidRDefault="00F77FE5" w:rsidP="00F77FE5">
            <w:pPr>
              <w:spacing w:after="0"/>
              <w:jc w:val="both"/>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Total</w:t>
            </w:r>
          </w:p>
        </w:tc>
        <w:tc>
          <w:tcPr>
            <w:tcW w:w="387" w:type="pct"/>
            <w:tcBorders>
              <w:top w:val="nil"/>
              <w:left w:val="nil"/>
              <w:bottom w:val="nil"/>
              <w:right w:val="nil"/>
            </w:tcBorders>
            <w:shd w:val="clear" w:color="000000" w:fill="FFFFFF"/>
            <w:noWrap/>
            <w:vAlign w:val="center"/>
            <w:hideMark/>
          </w:tcPr>
          <w:p w14:paraId="00DC8DA3"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61</w:t>
            </w:r>
          </w:p>
        </w:tc>
        <w:tc>
          <w:tcPr>
            <w:tcW w:w="677" w:type="pct"/>
            <w:tcBorders>
              <w:top w:val="nil"/>
              <w:left w:val="nil"/>
              <w:bottom w:val="nil"/>
              <w:right w:val="nil"/>
            </w:tcBorders>
            <w:shd w:val="clear" w:color="000000" w:fill="FFFFFF"/>
            <w:noWrap/>
            <w:vAlign w:val="center"/>
            <w:hideMark/>
          </w:tcPr>
          <w:p w14:paraId="28324589"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268</w:t>
            </w:r>
          </w:p>
        </w:tc>
        <w:tc>
          <w:tcPr>
            <w:tcW w:w="377" w:type="pct"/>
            <w:tcBorders>
              <w:top w:val="nil"/>
              <w:left w:val="nil"/>
              <w:bottom w:val="nil"/>
              <w:right w:val="nil"/>
            </w:tcBorders>
            <w:shd w:val="clear" w:color="000000" w:fill="FFFFFF"/>
            <w:noWrap/>
            <w:vAlign w:val="center"/>
            <w:hideMark/>
          </w:tcPr>
          <w:p w14:paraId="2BA26FC4"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329</w:t>
            </w:r>
          </w:p>
        </w:tc>
        <w:tc>
          <w:tcPr>
            <w:tcW w:w="759" w:type="pct"/>
            <w:tcBorders>
              <w:top w:val="nil"/>
              <w:left w:val="nil"/>
              <w:bottom w:val="nil"/>
              <w:right w:val="nil"/>
            </w:tcBorders>
            <w:shd w:val="clear" w:color="000000" w:fill="FFFFFF"/>
            <w:noWrap/>
            <w:vAlign w:val="center"/>
            <w:hideMark/>
          </w:tcPr>
          <w:p w14:paraId="11A66CC3"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100</w:t>
            </w:r>
          </w:p>
        </w:tc>
      </w:tr>
      <w:tr w:rsidR="00F77FE5" w:rsidRPr="00F77FE5" w14:paraId="0B611CAA" w14:textId="77777777" w:rsidTr="005A7CAD">
        <w:trPr>
          <w:trHeight w:val="315"/>
          <w:jc w:val="center"/>
        </w:trPr>
        <w:tc>
          <w:tcPr>
            <w:tcW w:w="2800" w:type="pct"/>
            <w:tcBorders>
              <w:top w:val="nil"/>
              <w:left w:val="nil"/>
              <w:bottom w:val="single" w:sz="12" w:space="0" w:color="auto"/>
              <w:right w:val="nil"/>
            </w:tcBorders>
            <w:shd w:val="clear" w:color="000000" w:fill="FFFFFF"/>
            <w:noWrap/>
            <w:vAlign w:val="center"/>
            <w:hideMark/>
          </w:tcPr>
          <w:p w14:paraId="025BEF2A" w14:textId="77777777" w:rsidR="00F77FE5" w:rsidRPr="00F77FE5" w:rsidRDefault="00F77FE5" w:rsidP="00F77FE5">
            <w:pPr>
              <w:spacing w:after="0"/>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 del Total</w:t>
            </w:r>
          </w:p>
        </w:tc>
        <w:tc>
          <w:tcPr>
            <w:tcW w:w="387" w:type="pct"/>
            <w:tcBorders>
              <w:top w:val="nil"/>
              <w:left w:val="nil"/>
              <w:bottom w:val="single" w:sz="12" w:space="0" w:color="auto"/>
              <w:right w:val="nil"/>
            </w:tcBorders>
            <w:shd w:val="clear" w:color="000000" w:fill="FFFFFF"/>
            <w:noWrap/>
            <w:vAlign w:val="center"/>
            <w:hideMark/>
          </w:tcPr>
          <w:p w14:paraId="1BF2C320"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18.5</w:t>
            </w:r>
          </w:p>
        </w:tc>
        <w:tc>
          <w:tcPr>
            <w:tcW w:w="677" w:type="pct"/>
            <w:tcBorders>
              <w:top w:val="nil"/>
              <w:left w:val="nil"/>
              <w:bottom w:val="single" w:sz="12" w:space="0" w:color="auto"/>
              <w:right w:val="nil"/>
            </w:tcBorders>
            <w:shd w:val="clear" w:color="000000" w:fill="FFFFFF"/>
            <w:noWrap/>
            <w:vAlign w:val="center"/>
            <w:hideMark/>
          </w:tcPr>
          <w:p w14:paraId="4B346430"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81.5</w:t>
            </w:r>
          </w:p>
        </w:tc>
        <w:tc>
          <w:tcPr>
            <w:tcW w:w="377" w:type="pct"/>
            <w:tcBorders>
              <w:top w:val="nil"/>
              <w:left w:val="nil"/>
              <w:bottom w:val="single" w:sz="12" w:space="0" w:color="auto"/>
              <w:right w:val="nil"/>
            </w:tcBorders>
            <w:shd w:val="clear" w:color="000000" w:fill="FFFFFF"/>
            <w:noWrap/>
            <w:vAlign w:val="center"/>
            <w:hideMark/>
          </w:tcPr>
          <w:p w14:paraId="33F473CF"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100</w:t>
            </w:r>
          </w:p>
        </w:tc>
        <w:tc>
          <w:tcPr>
            <w:tcW w:w="759" w:type="pct"/>
            <w:tcBorders>
              <w:top w:val="nil"/>
              <w:left w:val="nil"/>
              <w:bottom w:val="single" w:sz="12" w:space="0" w:color="auto"/>
              <w:right w:val="nil"/>
            </w:tcBorders>
            <w:shd w:val="clear" w:color="000000" w:fill="FFFFFF"/>
            <w:noWrap/>
            <w:vAlign w:val="center"/>
            <w:hideMark/>
          </w:tcPr>
          <w:p w14:paraId="440B9508" w14:textId="77777777" w:rsidR="00F77FE5" w:rsidRPr="00F77FE5" w:rsidRDefault="00F77FE5" w:rsidP="00F77FE5">
            <w:pPr>
              <w:spacing w:after="0"/>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 </w:t>
            </w:r>
          </w:p>
        </w:tc>
      </w:tr>
      <w:tr w:rsidR="00F77FE5" w:rsidRPr="00F77FE5" w14:paraId="29B22BC5" w14:textId="77777777" w:rsidTr="005A7CAD">
        <w:trPr>
          <w:trHeight w:val="232"/>
          <w:jc w:val="center"/>
        </w:trPr>
        <w:tc>
          <w:tcPr>
            <w:tcW w:w="5000" w:type="pct"/>
            <w:gridSpan w:val="5"/>
            <w:tcBorders>
              <w:top w:val="single" w:sz="8" w:space="0" w:color="auto"/>
              <w:left w:val="nil"/>
              <w:bottom w:val="nil"/>
              <w:right w:val="nil"/>
            </w:tcBorders>
            <w:shd w:val="clear" w:color="000000" w:fill="FFFFFF"/>
            <w:vAlign w:val="center"/>
            <w:hideMark/>
          </w:tcPr>
          <w:p w14:paraId="2795678C" w14:textId="77777777" w:rsidR="00F77FE5" w:rsidRPr="00F77FE5" w:rsidRDefault="00F77FE5" w:rsidP="00F77FE5">
            <w:pPr>
              <w:spacing w:after="240"/>
              <w:rPr>
                <w:rFonts w:eastAsia="Times New Roman" w:cs="Calibri"/>
                <w:color w:val="000000"/>
                <w:sz w:val="12"/>
                <w:szCs w:val="12"/>
                <w:lang w:val="es-MX" w:eastAsia="es-MX"/>
              </w:rPr>
            </w:pPr>
            <w:r w:rsidRPr="00F77FE5">
              <w:rPr>
                <w:rFonts w:eastAsia="Times New Roman" w:cs="Calibri"/>
                <w:color w:val="000000"/>
                <w:sz w:val="12"/>
                <w:szCs w:val="12"/>
                <w:lang w:val="es-MX" w:eastAsia="es-MX"/>
              </w:rPr>
              <w:t>Fuente: Unidad de Evaluación del Desempeño, con información proporcionada por las dependencias y entidades de la APF a las instancias coordinadoras.</w:t>
            </w:r>
          </w:p>
        </w:tc>
      </w:tr>
    </w:tbl>
    <w:p w14:paraId="3345EA1A" w14:textId="77777777" w:rsidR="00F77FE5" w:rsidRPr="00F77FE5" w:rsidRDefault="00F77FE5" w:rsidP="00F77FE5">
      <w:pPr>
        <w:jc w:val="both"/>
        <w:rPr>
          <w:rFonts w:eastAsia="Times New Roman" w:cs="Arial"/>
          <w:szCs w:val="22"/>
          <w:lang w:val="es-MX"/>
        </w:rPr>
      </w:pPr>
    </w:p>
    <w:p w14:paraId="1C32B081" w14:textId="77777777" w:rsidR="00F77FE5" w:rsidRPr="00F77FE5" w:rsidRDefault="00F77FE5" w:rsidP="00F77FE5">
      <w:pPr>
        <w:jc w:val="both"/>
        <w:rPr>
          <w:rFonts w:eastAsia="Times New Roman" w:cs="Arial"/>
          <w:szCs w:val="22"/>
          <w:lang w:val="es-ES"/>
        </w:rPr>
      </w:pPr>
      <w:r w:rsidRPr="00F77FE5">
        <w:rPr>
          <w:rFonts w:eastAsia="Times New Roman" w:cs="Arial"/>
          <w:szCs w:val="22"/>
          <w:lang w:val="es-MX"/>
        </w:rPr>
        <w:t xml:space="preserve">De igual forma, </w:t>
      </w:r>
      <w:r w:rsidRPr="00F77FE5">
        <w:rPr>
          <w:rFonts w:eastAsia="Times New Roman" w:cs="Arial"/>
          <w:szCs w:val="22"/>
          <w:lang w:val="es-ES"/>
        </w:rPr>
        <w:t xml:space="preserve">los tres principales temas sobre los cuales se han instrumentado los ASM fueron: </w:t>
      </w:r>
      <w:r w:rsidRPr="00F77FE5">
        <w:rPr>
          <w:rFonts w:eastAsia="Times New Roman" w:cs="Arial"/>
          <w:szCs w:val="20"/>
          <w:lang w:val="es-ES"/>
        </w:rPr>
        <w:t>Diseño,</w:t>
      </w:r>
      <w:r w:rsidRPr="00F77FE5">
        <w:rPr>
          <w:rFonts w:eastAsia="Times New Roman" w:cs="Arial"/>
          <w:szCs w:val="22"/>
          <w:lang w:val="es-ES"/>
        </w:rPr>
        <w:t xml:space="preserve"> </w:t>
      </w:r>
      <w:r w:rsidRPr="00F77FE5">
        <w:rPr>
          <w:rFonts w:eastAsia="Times New Roman" w:cs="Arial"/>
          <w:szCs w:val="20"/>
          <w:lang w:val="es-ES"/>
        </w:rPr>
        <w:t xml:space="preserve">enfocado en la consistencia y lógica interna de los programas, </w:t>
      </w:r>
      <w:r w:rsidRPr="00F77FE5">
        <w:rPr>
          <w:rFonts w:eastAsia="Times New Roman" w:cs="Arial"/>
          <w:szCs w:val="22"/>
          <w:lang w:val="es-ES"/>
        </w:rPr>
        <w:t xml:space="preserve">con 69 ASM (29.4%); </w:t>
      </w:r>
      <w:r w:rsidRPr="00F77FE5">
        <w:rPr>
          <w:rFonts w:eastAsia="Times New Roman" w:cs="Arial"/>
          <w:szCs w:val="20"/>
          <w:lang w:val="es-ES"/>
        </w:rPr>
        <w:t>Operación,</w:t>
      </w:r>
      <w:r w:rsidRPr="00F77FE5">
        <w:rPr>
          <w:rFonts w:eastAsia="Times New Roman" w:cs="Arial"/>
          <w:szCs w:val="22"/>
          <w:lang w:val="es-ES"/>
        </w:rPr>
        <w:t xml:space="preserve"> relacionado</w:t>
      </w:r>
      <w:r w:rsidR="006F4A52">
        <w:rPr>
          <w:rFonts w:eastAsia="Times New Roman" w:cs="Arial"/>
          <w:szCs w:val="22"/>
          <w:lang w:val="es-ES"/>
        </w:rPr>
        <w:t xml:space="preserve"> </w:t>
      </w:r>
      <w:r w:rsidRPr="00F77FE5">
        <w:rPr>
          <w:rFonts w:eastAsia="Times New Roman" w:cs="Arial"/>
          <w:szCs w:val="22"/>
          <w:lang w:val="es-ES"/>
        </w:rPr>
        <w:t xml:space="preserve">con las acciones de mejora y simplificación regulatoria, los mecanismos de organización y gestión y la administración financiera de los recursos, con 41 ASM (17.4%); y Cobertura, que se enfoca principalmente a la estrategia de cobertura y focalización, así como al funcionamiento de los mecanismos de selección de los </w:t>
      </w:r>
      <w:proofErr w:type="spellStart"/>
      <w:r w:rsidRPr="00F77FE5">
        <w:rPr>
          <w:rFonts w:eastAsia="Times New Roman" w:cs="Arial"/>
          <w:szCs w:val="22"/>
          <w:lang w:val="es-ES"/>
        </w:rPr>
        <w:t>Pp</w:t>
      </w:r>
      <w:proofErr w:type="spellEnd"/>
      <w:r w:rsidRPr="00F77FE5">
        <w:rPr>
          <w:rFonts w:eastAsia="Times New Roman" w:cs="Arial"/>
          <w:szCs w:val="22"/>
          <w:lang w:val="es-ES"/>
        </w:rPr>
        <w:t>, con 27 ASM (11.5%).</w:t>
      </w:r>
    </w:p>
    <w:p w14:paraId="5FA9FC29" w14:textId="77777777" w:rsidR="00F77FE5" w:rsidRPr="00F77FE5" w:rsidRDefault="00F77FE5" w:rsidP="00F77FE5">
      <w:pPr>
        <w:jc w:val="both"/>
        <w:rPr>
          <w:rFonts w:eastAsia="Times New Roman" w:cs="Arial"/>
          <w:szCs w:val="22"/>
          <w:lang w:val="es-ES"/>
        </w:rPr>
      </w:pPr>
    </w:p>
    <w:tbl>
      <w:tblPr>
        <w:tblW w:w="5000" w:type="pct"/>
        <w:tblCellMar>
          <w:left w:w="70" w:type="dxa"/>
          <w:right w:w="70" w:type="dxa"/>
        </w:tblCellMar>
        <w:tblLook w:val="04A0" w:firstRow="1" w:lastRow="0" w:firstColumn="1" w:lastColumn="0" w:noHBand="0" w:noVBand="1"/>
      </w:tblPr>
      <w:tblGrid>
        <w:gridCol w:w="3034"/>
        <w:gridCol w:w="981"/>
        <w:gridCol w:w="1358"/>
        <w:gridCol w:w="957"/>
        <w:gridCol w:w="1205"/>
        <w:gridCol w:w="2437"/>
      </w:tblGrid>
      <w:tr w:rsidR="00F77FE5" w:rsidRPr="00F77FE5" w14:paraId="6290DC9B" w14:textId="77777777" w:rsidTr="005A7CAD">
        <w:trPr>
          <w:trHeight w:val="300"/>
          <w:tblHeader/>
        </w:trPr>
        <w:tc>
          <w:tcPr>
            <w:tcW w:w="5000" w:type="pct"/>
            <w:gridSpan w:val="6"/>
            <w:tcBorders>
              <w:top w:val="nil"/>
              <w:left w:val="nil"/>
              <w:bottom w:val="nil"/>
              <w:right w:val="nil"/>
            </w:tcBorders>
            <w:shd w:val="clear" w:color="000000" w:fill="EAF1DD"/>
            <w:noWrap/>
            <w:vAlign w:val="center"/>
            <w:hideMark/>
          </w:tcPr>
          <w:p w14:paraId="173B8CAF" w14:textId="77777777" w:rsidR="00F77FE5" w:rsidRPr="00F77FE5" w:rsidRDefault="00F77FE5" w:rsidP="00F77FE5">
            <w:pPr>
              <w:spacing w:after="0"/>
              <w:jc w:val="center"/>
              <w:rPr>
                <w:rFonts w:eastAsia="Times New Roman" w:cs="Calibri"/>
                <w:color w:val="000000"/>
                <w:sz w:val="18"/>
                <w:szCs w:val="18"/>
                <w:lang w:val="es-MX" w:eastAsia="es-MX"/>
              </w:rPr>
            </w:pPr>
            <w:r w:rsidRPr="00F77FE5">
              <w:rPr>
                <w:rFonts w:eastAsia="Times New Roman" w:cs="Calibri"/>
                <w:color w:val="000000"/>
                <w:sz w:val="18"/>
                <w:szCs w:val="18"/>
                <w:lang w:val="es-MX" w:eastAsia="es-MX"/>
              </w:rPr>
              <w:t>Tabla 4.</w:t>
            </w:r>
            <w:r w:rsidR="006F4A52">
              <w:rPr>
                <w:rFonts w:eastAsia="Times New Roman" w:cs="Calibri"/>
                <w:color w:val="000000"/>
                <w:sz w:val="18"/>
                <w:szCs w:val="18"/>
                <w:lang w:val="es-MX" w:eastAsia="es-MX"/>
              </w:rPr>
              <w:t xml:space="preserve"> </w:t>
            </w:r>
            <w:r w:rsidRPr="00F77FE5">
              <w:rPr>
                <w:rFonts w:eastAsia="Times New Roman" w:cs="Calibri"/>
                <w:color w:val="000000"/>
                <w:sz w:val="18"/>
                <w:szCs w:val="18"/>
                <w:lang w:val="es-MX" w:eastAsia="es-MX"/>
              </w:rPr>
              <w:t>Temas a los que van dirigidos los ASM concluidos al primer trimestre de 2018</w:t>
            </w:r>
          </w:p>
        </w:tc>
      </w:tr>
      <w:tr w:rsidR="00F77FE5" w:rsidRPr="00F77FE5" w14:paraId="4059DB46" w14:textId="77777777" w:rsidTr="005A7CAD">
        <w:trPr>
          <w:trHeight w:val="315"/>
          <w:tblHeader/>
        </w:trPr>
        <w:tc>
          <w:tcPr>
            <w:tcW w:w="1521" w:type="pct"/>
            <w:tcBorders>
              <w:top w:val="nil"/>
              <w:left w:val="nil"/>
              <w:bottom w:val="single" w:sz="12" w:space="0" w:color="auto"/>
              <w:right w:val="nil"/>
            </w:tcBorders>
            <w:shd w:val="clear" w:color="000000" w:fill="FFFFFF"/>
            <w:noWrap/>
            <w:vAlign w:val="center"/>
            <w:hideMark/>
          </w:tcPr>
          <w:p w14:paraId="6A6C07A3"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Tema</w:t>
            </w:r>
          </w:p>
        </w:tc>
        <w:tc>
          <w:tcPr>
            <w:tcW w:w="492" w:type="pct"/>
            <w:tcBorders>
              <w:top w:val="nil"/>
              <w:left w:val="nil"/>
              <w:bottom w:val="single" w:sz="12" w:space="0" w:color="auto"/>
              <w:right w:val="nil"/>
            </w:tcBorders>
            <w:shd w:val="clear" w:color="000000" w:fill="FFFFFF"/>
            <w:noWrap/>
            <w:vAlign w:val="center"/>
            <w:hideMark/>
          </w:tcPr>
          <w:p w14:paraId="4D6DF68B"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Baja</w:t>
            </w:r>
          </w:p>
        </w:tc>
        <w:tc>
          <w:tcPr>
            <w:tcW w:w="681" w:type="pct"/>
            <w:tcBorders>
              <w:top w:val="nil"/>
              <w:left w:val="nil"/>
              <w:bottom w:val="single" w:sz="12" w:space="0" w:color="auto"/>
              <w:right w:val="nil"/>
            </w:tcBorders>
            <w:shd w:val="clear" w:color="000000" w:fill="FFFFFF"/>
            <w:noWrap/>
            <w:vAlign w:val="center"/>
            <w:hideMark/>
          </w:tcPr>
          <w:p w14:paraId="0E9815C8"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Media</w:t>
            </w:r>
          </w:p>
        </w:tc>
        <w:tc>
          <w:tcPr>
            <w:tcW w:w="480" w:type="pct"/>
            <w:tcBorders>
              <w:top w:val="nil"/>
              <w:left w:val="nil"/>
              <w:bottom w:val="single" w:sz="12" w:space="0" w:color="auto"/>
              <w:right w:val="nil"/>
            </w:tcBorders>
            <w:shd w:val="clear" w:color="000000" w:fill="FFFFFF"/>
            <w:noWrap/>
            <w:vAlign w:val="center"/>
            <w:hideMark/>
          </w:tcPr>
          <w:p w14:paraId="7B88409E"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Alta</w:t>
            </w:r>
          </w:p>
        </w:tc>
        <w:tc>
          <w:tcPr>
            <w:tcW w:w="604" w:type="pct"/>
            <w:tcBorders>
              <w:top w:val="nil"/>
              <w:left w:val="nil"/>
              <w:bottom w:val="single" w:sz="12" w:space="0" w:color="auto"/>
              <w:right w:val="nil"/>
            </w:tcBorders>
            <w:shd w:val="clear" w:color="000000" w:fill="FFFFFF"/>
            <w:noWrap/>
            <w:vAlign w:val="center"/>
            <w:hideMark/>
          </w:tcPr>
          <w:p w14:paraId="3523D89F"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Total</w:t>
            </w:r>
          </w:p>
        </w:tc>
        <w:tc>
          <w:tcPr>
            <w:tcW w:w="1222" w:type="pct"/>
            <w:tcBorders>
              <w:top w:val="nil"/>
              <w:left w:val="nil"/>
              <w:bottom w:val="single" w:sz="12" w:space="0" w:color="auto"/>
              <w:right w:val="nil"/>
            </w:tcBorders>
            <w:shd w:val="clear" w:color="000000" w:fill="FFFFFF"/>
            <w:noWrap/>
            <w:vAlign w:val="center"/>
            <w:hideMark/>
          </w:tcPr>
          <w:p w14:paraId="3B3A22E7"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 del Total</w:t>
            </w:r>
          </w:p>
        </w:tc>
      </w:tr>
      <w:tr w:rsidR="00F77FE5" w:rsidRPr="00F77FE5" w14:paraId="08D0098F" w14:textId="77777777" w:rsidTr="005A7CAD">
        <w:trPr>
          <w:trHeight w:val="315"/>
        </w:trPr>
        <w:tc>
          <w:tcPr>
            <w:tcW w:w="1521" w:type="pct"/>
            <w:tcBorders>
              <w:top w:val="nil"/>
              <w:left w:val="nil"/>
              <w:bottom w:val="nil"/>
              <w:right w:val="nil"/>
            </w:tcBorders>
            <w:shd w:val="clear" w:color="000000" w:fill="FFFFFF"/>
            <w:noWrap/>
            <w:vAlign w:val="center"/>
            <w:hideMark/>
          </w:tcPr>
          <w:p w14:paraId="523DE0B9"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Coberturas</w:t>
            </w:r>
          </w:p>
        </w:tc>
        <w:tc>
          <w:tcPr>
            <w:tcW w:w="492" w:type="pct"/>
            <w:tcBorders>
              <w:top w:val="nil"/>
              <w:left w:val="nil"/>
              <w:bottom w:val="nil"/>
              <w:right w:val="nil"/>
            </w:tcBorders>
            <w:shd w:val="clear" w:color="000000" w:fill="FFFFFF"/>
            <w:noWrap/>
            <w:vAlign w:val="center"/>
            <w:hideMark/>
          </w:tcPr>
          <w:p w14:paraId="2AE3004F"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w:t>
            </w:r>
          </w:p>
        </w:tc>
        <w:tc>
          <w:tcPr>
            <w:tcW w:w="681" w:type="pct"/>
            <w:tcBorders>
              <w:top w:val="nil"/>
              <w:left w:val="nil"/>
              <w:bottom w:val="nil"/>
              <w:right w:val="nil"/>
            </w:tcBorders>
            <w:shd w:val="clear" w:color="000000" w:fill="FFFFFF"/>
            <w:noWrap/>
            <w:vAlign w:val="center"/>
            <w:hideMark/>
          </w:tcPr>
          <w:p w14:paraId="618FAE2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5</w:t>
            </w:r>
          </w:p>
        </w:tc>
        <w:tc>
          <w:tcPr>
            <w:tcW w:w="480" w:type="pct"/>
            <w:tcBorders>
              <w:top w:val="nil"/>
              <w:left w:val="nil"/>
              <w:bottom w:val="nil"/>
              <w:right w:val="nil"/>
            </w:tcBorders>
            <w:shd w:val="clear" w:color="000000" w:fill="FFFFFF"/>
            <w:noWrap/>
            <w:vAlign w:val="center"/>
            <w:hideMark/>
          </w:tcPr>
          <w:p w14:paraId="601873F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11</w:t>
            </w:r>
          </w:p>
        </w:tc>
        <w:tc>
          <w:tcPr>
            <w:tcW w:w="604" w:type="pct"/>
            <w:tcBorders>
              <w:top w:val="nil"/>
              <w:left w:val="nil"/>
              <w:bottom w:val="nil"/>
              <w:right w:val="nil"/>
            </w:tcBorders>
            <w:shd w:val="clear" w:color="000000" w:fill="FFFFFF"/>
            <w:noWrap/>
            <w:vAlign w:val="center"/>
            <w:hideMark/>
          </w:tcPr>
          <w:p w14:paraId="2524CEBA"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24</w:t>
            </w:r>
          </w:p>
        </w:tc>
        <w:tc>
          <w:tcPr>
            <w:tcW w:w="1222" w:type="pct"/>
            <w:tcBorders>
              <w:top w:val="nil"/>
              <w:left w:val="nil"/>
              <w:bottom w:val="nil"/>
              <w:right w:val="nil"/>
            </w:tcBorders>
            <w:shd w:val="clear" w:color="000000" w:fill="FFFFFF"/>
            <w:noWrap/>
            <w:vAlign w:val="center"/>
            <w:hideMark/>
          </w:tcPr>
          <w:p w14:paraId="101B77CF"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7.3</w:t>
            </w:r>
          </w:p>
        </w:tc>
      </w:tr>
      <w:tr w:rsidR="00F77FE5" w:rsidRPr="00F77FE5" w14:paraId="6892CB24" w14:textId="77777777" w:rsidTr="005A7CAD">
        <w:trPr>
          <w:trHeight w:val="300"/>
        </w:trPr>
        <w:tc>
          <w:tcPr>
            <w:tcW w:w="1521" w:type="pct"/>
            <w:tcBorders>
              <w:top w:val="nil"/>
              <w:left w:val="nil"/>
              <w:bottom w:val="nil"/>
              <w:right w:val="nil"/>
            </w:tcBorders>
            <w:shd w:val="clear" w:color="000000" w:fill="FFFFFF"/>
            <w:noWrap/>
            <w:vAlign w:val="center"/>
            <w:hideMark/>
          </w:tcPr>
          <w:p w14:paraId="300B5FC2"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Diseño</w:t>
            </w:r>
          </w:p>
        </w:tc>
        <w:tc>
          <w:tcPr>
            <w:tcW w:w="492" w:type="pct"/>
            <w:tcBorders>
              <w:top w:val="nil"/>
              <w:left w:val="nil"/>
              <w:bottom w:val="nil"/>
              <w:right w:val="nil"/>
            </w:tcBorders>
            <w:shd w:val="clear" w:color="000000" w:fill="FFFFFF"/>
            <w:noWrap/>
            <w:vAlign w:val="center"/>
            <w:hideMark/>
          </w:tcPr>
          <w:p w14:paraId="3F6560C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30</w:t>
            </w:r>
          </w:p>
        </w:tc>
        <w:tc>
          <w:tcPr>
            <w:tcW w:w="681" w:type="pct"/>
            <w:tcBorders>
              <w:top w:val="nil"/>
              <w:left w:val="nil"/>
              <w:bottom w:val="nil"/>
              <w:right w:val="nil"/>
            </w:tcBorders>
            <w:shd w:val="clear" w:color="000000" w:fill="FFFFFF"/>
            <w:noWrap/>
            <w:vAlign w:val="center"/>
            <w:hideMark/>
          </w:tcPr>
          <w:p w14:paraId="2F3EA130"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16</w:t>
            </w:r>
          </w:p>
        </w:tc>
        <w:tc>
          <w:tcPr>
            <w:tcW w:w="480" w:type="pct"/>
            <w:tcBorders>
              <w:top w:val="nil"/>
              <w:left w:val="nil"/>
              <w:bottom w:val="nil"/>
              <w:right w:val="nil"/>
            </w:tcBorders>
            <w:shd w:val="clear" w:color="000000" w:fill="FFFFFF"/>
            <w:noWrap/>
            <w:vAlign w:val="center"/>
            <w:hideMark/>
          </w:tcPr>
          <w:p w14:paraId="10BA81B0"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18</w:t>
            </w:r>
          </w:p>
        </w:tc>
        <w:tc>
          <w:tcPr>
            <w:tcW w:w="604" w:type="pct"/>
            <w:tcBorders>
              <w:top w:val="nil"/>
              <w:left w:val="nil"/>
              <w:bottom w:val="nil"/>
              <w:right w:val="nil"/>
            </w:tcBorders>
            <w:shd w:val="clear" w:color="000000" w:fill="FFFFFF"/>
            <w:noWrap/>
            <w:vAlign w:val="center"/>
            <w:hideMark/>
          </w:tcPr>
          <w:p w14:paraId="5E0DE8D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64</w:t>
            </w:r>
          </w:p>
        </w:tc>
        <w:tc>
          <w:tcPr>
            <w:tcW w:w="1222" w:type="pct"/>
            <w:tcBorders>
              <w:top w:val="nil"/>
              <w:left w:val="nil"/>
              <w:bottom w:val="nil"/>
              <w:right w:val="nil"/>
            </w:tcBorders>
            <w:shd w:val="clear" w:color="000000" w:fill="FFFFFF"/>
            <w:noWrap/>
            <w:vAlign w:val="center"/>
            <w:hideMark/>
          </w:tcPr>
          <w:p w14:paraId="56AA913E"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19.5</w:t>
            </w:r>
          </w:p>
        </w:tc>
      </w:tr>
      <w:tr w:rsidR="00F77FE5" w:rsidRPr="00F77FE5" w14:paraId="7A04DC5C" w14:textId="77777777" w:rsidTr="005A7CAD">
        <w:trPr>
          <w:trHeight w:val="300"/>
        </w:trPr>
        <w:tc>
          <w:tcPr>
            <w:tcW w:w="1521" w:type="pct"/>
            <w:tcBorders>
              <w:top w:val="nil"/>
              <w:left w:val="nil"/>
              <w:bottom w:val="nil"/>
              <w:right w:val="nil"/>
            </w:tcBorders>
            <w:shd w:val="clear" w:color="000000" w:fill="FFFFFF"/>
            <w:noWrap/>
            <w:vAlign w:val="center"/>
            <w:hideMark/>
          </w:tcPr>
          <w:p w14:paraId="62881930"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Ejecución</w:t>
            </w:r>
          </w:p>
        </w:tc>
        <w:tc>
          <w:tcPr>
            <w:tcW w:w="492" w:type="pct"/>
            <w:tcBorders>
              <w:top w:val="nil"/>
              <w:left w:val="nil"/>
              <w:bottom w:val="nil"/>
              <w:right w:val="nil"/>
            </w:tcBorders>
            <w:shd w:val="clear" w:color="000000" w:fill="FFFFFF"/>
            <w:noWrap/>
            <w:vAlign w:val="center"/>
            <w:hideMark/>
          </w:tcPr>
          <w:p w14:paraId="1A3B42F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681" w:type="pct"/>
            <w:tcBorders>
              <w:top w:val="nil"/>
              <w:left w:val="nil"/>
              <w:bottom w:val="nil"/>
              <w:right w:val="nil"/>
            </w:tcBorders>
            <w:shd w:val="clear" w:color="000000" w:fill="FFFFFF"/>
            <w:noWrap/>
            <w:vAlign w:val="center"/>
            <w:hideMark/>
          </w:tcPr>
          <w:p w14:paraId="6E84F99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480" w:type="pct"/>
            <w:tcBorders>
              <w:top w:val="nil"/>
              <w:left w:val="nil"/>
              <w:bottom w:val="nil"/>
              <w:right w:val="nil"/>
            </w:tcBorders>
            <w:shd w:val="clear" w:color="000000" w:fill="FFFFFF"/>
            <w:noWrap/>
            <w:vAlign w:val="center"/>
            <w:hideMark/>
          </w:tcPr>
          <w:p w14:paraId="7E67D2FE" w14:textId="77777777" w:rsidR="00F77FE5" w:rsidRPr="00F77FE5" w:rsidRDefault="00F77FE5" w:rsidP="00F77FE5">
            <w:pPr>
              <w:spacing w:after="0"/>
              <w:jc w:val="center"/>
              <w:rPr>
                <w:rFonts w:eastAsia="Times New Roman" w:cs="Calibri"/>
                <w:color w:val="000000"/>
                <w:sz w:val="12"/>
                <w:szCs w:val="12"/>
                <w:lang w:val="es-MX" w:eastAsia="es-MX"/>
              </w:rPr>
            </w:pPr>
          </w:p>
        </w:tc>
        <w:tc>
          <w:tcPr>
            <w:tcW w:w="604" w:type="pct"/>
            <w:tcBorders>
              <w:top w:val="nil"/>
              <w:left w:val="nil"/>
              <w:bottom w:val="nil"/>
              <w:right w:val="nil"/>
            </w:tcBorders>
            <w:shd w:val="clear" w:color="000000" w:fill="FFFFFF"/>
            <w:noWrap/>
            <w:vAlign w:val="center"/>
            <w:hideMark/>
          </w:tcPr>
          <w:p w14:paraId="701662D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1222" w:type="pct"/>
            <w:tcBorders>
              <w:top w:val="nil"/>
              <w:left w:val="nil"/>
              <w:bottom w:val="nil"/>
              <w:right w:val="nil"/>
            </w:tcBorders>
            <w:shd w:val="clear" w:color="000000" w:fill="FFFFFF"/>
            <w:noWrap/>
            <w:vAlign w:val="center"/>
            <w:hideMark/>
          </w:tcPr>
          <w:p w14:paraId="25DBBD9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1.2</w:t>
            </w:r>
          </w:p>
        </w:tc>
      </w:tr>
      <w:tr w:rsidR="00F77FE5" w:rsidRPr="00F77FE5" w14:paraId="427A206E" w14:textId="77777777" w:rsidTr="005A7CAD">
        <w:trPr>
          <w:trHeight w:val="300"/>
        </w:trPr>
        <w:tc>
          <w:tcPr>
            <w:tcW w:w="1521" w:type="pct"/>
            <w:tcBorders>
              <w:top w:val="nil"/>
              <w:left w:val="nil"/>
              <w:bottom w:val="nil"/>
              <w:right w:val="nil"/>
            </w:tcBorders>
            <w:shd w:val="clear" w:color="000000" w:fill="FFFFFF"/>
            <w:noWrap/>
            <w:vAlign w:val="center"/>
            <w:hideMark/>
          </w:tcPr>
          <w:p w14:paraId="2786B075"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Evaluación</w:t>
            </w:r>
          </w:p>
        </w:tc>
        <w:tc>
          <w:tcPr>
            <w:tcW w:w="492" w:type="pct"/>
            <w:tcBorders>
              <w:top w:val="nil"/>
              <w:left w:val="nil"/>
              <w:bottom w:val="nil"/>
              <w:right w:val="nil"/>
            </w:tcBorders>
            <w:shd w:val="clear" w:color="000000" w:fill="FFFFFF"/>
            <w:noWrap/>
            <w:vAlign w:val="center"/>
            <w:hideMark/>
          </w:tcPr>
          <w:p w14:paraId="752C35DE"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5</w:t>
            </w:r>
          </w:p>
        </w:tc>
        <w:tc>
          <w:tcPr>
            <w:tcW w:w="681" w:type="pct"/>
            <w:tcBorders>
              <w:top w:val="nil"/>
              <w:left w:val="nil"/>
              <w:bottom w:val="nil"/>
              <w:right w:val="nil"/>
            </w:tcBorders>
            <w:shd w:val="clear" w:color="000000" w:fill="FFFFFF"/>
            <w:noWrap/>
            <w:vAlign w:val="center"/>
            <w:hideMark/>
          </w:tcPr>
          <w:p w14:paraId="3C1B7CC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480" w:type="pct"/>
            <w:tcBorders>
              <w:top w:val="nil"/>
              <w:left w:val="nil"/>
              <w:bottom w:val="nil"/>
              <w:right w:val="nil"/>
            </w:tcBorders>
            <w:shd w:val="clear" w:color="000000" w:fill="FFFFFF"/>
            <w:noWrap/>
            <w:vAlign w:val="center"/>
            <w:hideMark/>
          </w:tcPr>
          <w:p w14:paraId="058EFDA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w:t>
            </w:r>
          </w:p>
        </w:tc>
        <w:tc>
          <w:tcPr>
            <w:tcW w:w="604" w:type="pct"/>
            <w:tcBorders>
              <w:top w:val="nil"/>
              <w:left w:val="nil"/>
              <w:bottom w:val="nil"/>
              <w:right w:val="nil"/>
            </w:tcBorders>
            <w:shd w:val="clear" w:color="000000" w:fill="FFFFFF"/>
            <w:noWrap/>
            <w:vAlign w:val="center"/>
            <w:hideMark/>
          </w:tcPr>
          <w:p w14:paraId="59A64A02"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14</w:t>
            </w:r>
          </w:p>
        </w:tc>
        <w:tc>
          <w:tcPr>
            <w:tcW w:w="1222" w:type="pct"/>
            <w:tcBorders>
              <w:top w:val="nil"/>
              <w:left w:val="nil"/>
              <w:bottom w:val="nil"/>
              <w:right w:val="nil"/>
            </w:tcBorders>
            <w:shd w:val="clear" w:color="000000" w:fill="FFFFFF"/>
            <w:noWrap/>
            <w:vAlign w:val="center"/>
            <w:hideMark/>
          </w:tcPr>
          <w:p w14:paraId="5B72141A"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4.3</w:t>
            </w:r>
          </w:p>
        </w:tc>
      </w:tr>
      <w:tr w:rsidR="00F77FE5" w:rsidRPr="00F77FE5" w14:paraId="594A9C5A" w14:textId="77777777" w:rsidTr="005A7CAD">
        <w:trPr>
          <w:trHeight w:val="300"/>
        </w:trPr>
        <w:tc>
          <w:tcPr>
            <w:tcW w:w="1521" w:type="pct"/>
            <w:tcBorders>
              <w:top w:val="nil"/>
              <w:left w:val="nil"/>
              <w:bottom w:val="nil"/>
              <w:right w:val="nil"/>
            </w:tcBorders>
            <w:shd w:val="clear" w:color="000000" w:fill="FFFFFF"/>
            <w:noWrap/>
            <w:vAlign w:val="center"/>
            <w:hideMark/>
          </w:tcPr>
          <w:p w14:paraId="623B06E2"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Indicadores</w:t>
            </w:r>
          </w:p>
        </w:tc>
        <w:tc>
          <w:tcPr>
            <w:tcW w:w="492" w:type="pct"/>
            <w:tcBorders>
              <w:top w:val="nil"/>
              <w:left w:val="nil"/>
              <w:bottom w:val="nil"/>
              <w:right w:val="nil"/>
            </w:tcBorders>
            <w:shd w:val="clear" w:color="000000" w:fill="FFFFFF"/>
            <w:noWrap/>
            <w:vAlign w:val="center"/>
            <w:hideMark/>
          </w:tcPr>
          <w:p w14:paraId="0D83EDA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w:t>
            </w:r>
          </w:p>
        </w:tc>
        <w:tc>
          <w:tcPr>
            <w:tcW w:w="681" w:type="pct"/>
            <w:tcBorders>
              <w:top w:val="nil"/>
              <w:left w:val="nil"/>
              <w:bottom w:val="nil"/>
              <w:right w:val="nil"/>
            </w:tcBorders>
            <w:shd w:val="clear" w:color="000000" w:fill="FFFFFF"/>
            <w:noWrap/>
            <w:vAlign w:val="center"/>
            <w:hideMark/>
          </w:tcPr>
          <w:p w14:paraId="194132E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9</w:t>
            </w:r>
          </w:p>
        </w:tc>
        <w:tc>
          <w:tcPr>
            <w:tcW w:w="480" w:type="pct"/>
            <w:tcBorders>
              <w:top w:val="nil"/>
              <w:left w:val="nil"/>
              <w:bottom w:val="nil"/>
              <w:right w:val="nil"/>
            </w:tcBorders>
            <w:shd w:val="clear" w:color="000000" w:fill="FFFFFF"/>
            <w:noWrap/>
            <w:vAlign w:val="center"/>
            <w:hideMark/>
          </w:tcPr>
          <w:p w14:paraId="754A9ED5"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12</w:t>
            </w:r>
          </w:p>
        </w:tc>
        <w:tc>
          <w:tcPr>
            <w:tcW w:w="604" w:type="pct"/>
            <w:tcBorders>
              <w:top w:val="nil"/>
              <w:left w:val="nil"/>
              <w:bottom w:val="nil"/>
              <w:right w:val="nil"/>
            </w:tcBorders>
            <w:shd w:val="clear" w:color="000000" w:fill="FFFFFF"/>
            <w:noWrap/>
            <w:vAlign w:val="center"/>
            <w:hideMark/>
          </w:tcPr>
          <w:p w14:paraId="4ABC463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29</w:t>
            </w:r>
          </w:p>
        </w:tc>
        <w:tc>
          <w:tcPr>
            <w:tcW w:w="1222" w:type="pct"/>
            <w:tcBorders>
              <w:top w:val="nil"/>
              <w:left w:val="nil"/>
              <w:bottom w:val="nil"/>
              <w:right w:val="nil"/>
            </w:tcBorders>
            <w:shd w:val="clear" w:color="000000" w:fill="FFFFFF"/>
            <w:noWrap/>
            <w:vAlign w:val="center"/>
            <w:hideMark/>
          </w:tcPr>
          <w:p w14:paraId="33DDA68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8.8</w:t>
            </w:r>
          </w:p>
        </w:tc>
      </w:tr>
      <w:tr w:rsidR="00F77FE5" w:rsidRPr="00F77FE5" w14:paraId="2BD1702B" w14:textId="77777777" w:rsidTr="005A7CAD">
        <w:trPr>
          <w:trHeight w:val="300"/>
        </w:trPr>
        <w:tc>
          <w:tcPr>
            <w:tcW w:w="1521" w:type="pct"/>
            <w:tcBorders>
              <w:top w:val="nil"/>
              <w:left w:val="nil"/>
              <w:bottom w:val="nil"/>
              <w:right w:val="nil"/>
            </w:tcBorders>
            <w:shd w:val="clear" w:color="000000" w:fill="FFFFFF"/>
            <w:noWrap/>
            <w:vAlign w:val="center"/>
            <w:hideMark/>
          </w:tcPr>
          <w:p w14:paraId="1E5D0695"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Operación</w:t>
            </w:r>
          </w:p>
        </w:tc>
        <w:tc>
          <w:tcPr>
            <w:tcW w:w="492" w:type="pct"/>
            <w:tcBorders>
              <w:top w:val="nil"/>
              <w:left w:val="nil"/>
              <w:bottom w:val="nil"/>
              <w:right w:val="nil"/>
            </w:tcBorders>
            <w:shd w:val="clear" w:color="000000" w:fill="FFFFFF"/>
            <w:noWrap/>
            <w:vAlign w:val="center"/>
            <w:hideMark/>
          </w:tcPr>
          <w:p w14:paraId="71D24C7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21</w:t>
            </w:r>
          </w:p>
        </w:tc>
        <w:tc>
          <w:tcPr>
            <w:tcW w:w="681" w:type="pct"/>
            <w:tcBorders>
              <w:top w:val="nil"/>
              <w:left w:val="nil"/>
              <w:bottom w:val="nil"/>
              <w:right w:val="nil"/>
            </w:tcBorders>
            <w:shd w:val="clear" w:color="000000" w:fill="FFFFFF"/>
            <w:noWrap/>
            <w:vAlign w:val="center"/>
            <w:hideMark/>
          </w:tcPr>
          <w:p w14:paraId="2BCC058A"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24</w:t>
            </w:r>
          </w:p>
        </w:tc>
        <w:tc>
          <w:tcPr>
            <w:tcW w:w="480" w:type="pct"/>
            <w:tcBorders>
              <w:top w:val="nil"/>
              <w:left w:val="nil"/>
              <w:bottom w:val="nil"/>
              <w:right w:val="nil"/>
            </w:tcBorders>
            <w:shd w:val="clear" w:color="000000" w:fill="FFFFFF"/>
            <w:noWrap/>
            <w:vAlign w:val="center"/>
            <w:hideMark/>
          </w:tcPr>
          <w:p w14:paraId="4CFD3B4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26</w:t>
            </w:r>
          </w:p>
        </w:tc>
        <w:tc>
          <w:tcPr>
            <w:tcW w:w="604" w:type="pct"/>
            <w:tcBorders>
              <w:top w:val="nil"/>
              <w:left w:val="nil"/>
              <w:bottom w:val="nil"/>
              <w:right w:val="nil"/>
            </w:tcBorders>
            <w:shd w:val="clear" w:color="000000" w:fill="FFFFFF"/>
            <w:noWrap/>
            <w:vAlign w:val="center"/>
            <w:hideMark/>
          </w:tcPr>
          <w:p w14:paraId="29D8CD5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71</w:t>
            </w:r>
          </w:p>
        </w:tc>
        <w:tc>
          <w:tcPr>
            <w:tcW w:w="1222" w:type="pct"/>
            <w:tcBorders>
              <w:top w:val="nil"/>
              <w:left w:val="nil"/>
              <w:bottom w:val="nil"/>
              <w:right w:val="nil"/>
            </w:tcBorders>
            <w:shd w:val="clear" w:color="000000" w:fill="FFFFFF"/>
            <w:noWrap/>
            <w:vAlign w:val="center"/>
            <w:hideMark/>
          </w:tcPr>
          <w:p w14:paraId="7D4A70A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21.6</w:t>
            </w:r>
          </w:p>
        </w:tc>
      </w:tr>
      <w:tr w:rsidR="00F77FE5" w:rsidRPr="00F77FE5" w14:paraId="1B6B758A" w14:textId="77777777" w:rsidTr="005A7CAD">
        <w:trPr>
          <w:trHeight w:val="300"/>
        </w:trPr>
        <w:tc>
          <w:tcPr>
            <w:tcW w:w="1521" w:type="pct"/>
            <w:tcBorders>
              <w:top w:val="nil"/>
              <w:left w:val="nil"/>
              <w:bottom w:val="nil"/>
              <w:right w:val="nil"/>
            </w:tcBorders>
            <w:shd w:val="clear" w:color="000000" w:fill="FFFFFF"/>
            <w:noWrap/>
            <w:vAlign w:val="center"/>
            <w:hideMark/>
          </w:tcPr>
          <w:p w14:paraId="1CC8FADD"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Planeación</w:t>
            </w:r>
          </w:p>
        </w:tc>
        <w:tc>
          <w:tcPr>
            <w:tcW w:w="492" w:type="pct"/>
            <w:tcBorders>
              <w:top w:val="nil"/>
              <w:left w:val="nil"/>
              <w:bottom w:val="nil"/>
              <w:right w:val="nil"/>
            </w:tcBorders>
            <w:shd w:val="clear" w:color="000000" w:fill="FFFFFF"/>
            <w:noWrap/>
            <w:vAlign w:val="center"/>
            <w:hideMark/>
          </w:tcPr>
          <w:p w14:paraId="654CB092"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18</w:t>
            </w:r>
          </w:p>
        </w:tc>
        <w:tc>
          <w:tcPr>
            <w:tcW w:w="681" w:type="pct"/>
            <w:tcBorders>
              <w:top w:val="nil"/>
              <w:left w:val="nil"/>
              <w:bottom w:val="nil"/>
              <w:right w:val="nil"/>
            </w:tcBorders>
            <w:shd w:val="clear" w:color="000000" w:fill="FFFFFF"/>
            <w:noWrap/>
            <w:vAlign w:val="center"/>
            <w:hideMark/>
          </w:tcPr>
          <w:p w14:paraId="4A1ECB6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5</w:t>
            </w:r>
          </w:p>
        </w:tc>
        <w:tc>
          <w:tcPr>
            <w:tcW w:w="480" w:type="pct"/>
            <w:tcBorders>
              <w:top w:val="nil"/>
              <w:left w:val="nil"/>
              <w:bottom w:val="nil"/>
              <w:right w:val="nil"/>
            </w:tcBorders>
            <w:shd w:val="clear" w:color="000000" w:fill="FFFFFF"/>
            <w:noWrap/>
            <w:vAlign w:val="center"/>
            <w:hideMark/>
          </w:tcPr>
          <w:p w14:paraId="1A6DD34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9</w:t>
            </w:r>
          </w:p>
        </w:tc>
        <w:tc>
          <w:tcPr>
            <w:tcW w:w="604" w:type="pct"/>
            <w:tcBorders>
              <w:top w:val="nil"/>
              <w:left w:val="nil"/>
              <w:bottom w:val="nil"/>
              <w:right w:val="nil"/>
            </w:tcBorders>
            <w:shd w:val="clear" w:color="000000" w:fill="FFFFFF"/>
            <w:noWrap/>
            <w:vAlign w:val="center"/>
            <w:hideMark/>
          </w:tcPr>
          <w:p w14:paraId="024F591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32</w:t>
            </w:r>
          </w:p>
        </w:tc>
        <w:tc>
          <w:tcPr>
            <w:tcW w:w="1222" w:type="pct"/>
            <w:tcBorders>
              <w:top w:val="nil"/>
              <w:left w:val="nil"/>
              <w:bottom w:val="nil"/>
              <w:right w:val="nil"/>
            </w:tcBorders>
            <w:shd w:val="clear" w:color="000000" w:fill="FFFFFF"/>
            <w:noWrap/>
            <w:vAlign w:val="center"/>
            <w:hideMark/>
          </w:tcPr>
          <w:p w14:paraId="391951FF"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9.7</w:t>
            </w:r>
          </w:p>
        </w:tc>
      </w:tr>
      <w:tr w:rsidR="00F77FE5" w:rsidRPr="00F77FE5" w14:paraId="11DEF423" w14:textId="77777777" w:rsidTr="005A7CAD">
        <w:trPr>
          <w:trHeight w:val="300"/>
        </w:trPr>
        <w:tc>
          <w:tcPr>
            <w:tcW w:w="1521" w:type="pct"/>
            <w:tcBorders>
              <w:top w:val="nil"/>
              <w:left w:val="nil"/>
              <w:bottom w:val="nil"/>
              <w:right w:val="nil"/>
            </w:tcBorders>
            <w:shd w:val="clear" w:color="000000" w:fill="FFFFFF"/>
            <w:noWrap/>
            <w:vAlign w:val="center"/>
            <w:hideMark/>
          </w:tcPr>
          <w:p w14:paraId="0488E7B5"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Productos</w:t>
            </w:r>
          </w:p>
        </w:tc>
        <w:tc>
          <w:tcPr>
            <w:tcW w:w="492" w:type="pct"/>
            <w:tcBorders>
              <w:top w:val="nil"/>
              <w:left w:val="nil"/>
              <w:bottom w:val="nil"/>
              <w:right w:val="nil"/>
            </w:tcBorders>
            <w:shd w:val="clear" w:color="000000" w:fill="FFFFFF"/>
            <w:noWrap/>
            <w:vAlign w:val="center"/>
            <w:hideMark/>
          </w:tcPr>
          <w:p w14:paraId="132DC38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681" w:type="pct"/>
            <w:tcBorders>
              <w:top w:val="nil"/>
              <w:left w:val="nil"/>
              <w:bottom w:val="nil"/>
              <w:right w:val="nil"/>
            </w:tcBorders>
            <w:shd w:val="clear" w:color="000000" w:fill="FFFFFF"/>
            <w:noWrap/>
            <w:vAlign w:val="center"/>
            <w:hideMark/>
          </w:tcPr>
          <w:p w14:paraId="5DB3C5E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480" w:type="pct"/>
            <w:tcBorders>
              <w:top w:val="nil"/>
              <w:left w:val="nil"/>
              <w:bottom w:val="nil"/>
              <w:right w:val="nil"/>
            </w:tcBorders>
            <w:shd w:val="clear" w:color="000000" w:fill="FFFFFF"/>
            <w:noWrap/>
            <w:vAlign w:val="center"/>
            <w:hideMark/>
          </w:tcPr>
          <w:p w14:paraId="54BCD66F"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w:t>
            </w:r>
          </w:p>
        </w:tc>
        <w:tc>
          <w:tcPr>
            <w:tcW w:w="604" w:type="pct"/>
            <w:tcBorders>
              <w:top w:val="nil"/>
              <w:left w:val="nil"/>
              <w:bottom w:val="nil"/>
              <w:right w:val="nil"/>
            </w:tcBorders>
            <w:shd w:val="clear" w:color="000000" w:fill="FFFFFF"/>
            <w:noWrap/>
            <w:vAlign w:val="center"/>
            <w:hideMark/>
          </w:tcPr>
          <w:p w14:paraId="6B7B492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12</w:t>
            </w:r>
          </w:p>
        </w:tc>
        <w:tc>
          <w:tcPr>
            <w:tcW w:w="1222" w:type="pct"/>
            <w:tcBorders>
              <w:top w:val="nil"/>
              <w:left w:val="nil"/>
              <w:bottom w:val="nil"/>
              <w:right w:val="nil"/>
            </w:tcBorders>
            <w:shd w:val="clear" w:color="000000" w:fill="FFFFFF"/>
            <w:noWrap/>
            <w:vAlign w:val="center"/>
            <w:hideMark/>
          </w:tcPr>
          <w:p w14:paraId="73B21510"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3.6</w:t>
            </w:r>
          </w:p>
        </w:tc>
      </w:tr>
      <w:tr w:rsidR="00F77FE5" w:rsidRPr="00F77FE5" w14:paraId="620C8444" w14:textId="77777777" w:rsidTr="005A7CAD">
        <w:trPr>
          <w:trHeight w:val="300"/>
        </w:trPr>
        <w:tc>
          <w:tcPr>
            <w:tcW w:w="1521" w:type="pct"/>
            <w:tcBorders>
              <w:top w:val="nil"/>
              <w:left w:val="nil"/>
              <w:bottom w:val="nil"/>
              <w:right w:val="nil"/>
            </w:tcBorders>
            <w:shd w:val="clear" w:color="000000" w:fill="FFFFFF"/>
            <w:noWrap/>
            <w:vAlign w:val="center"/>
            <w:hideMark/>
          </w:tcPr>
          <w:p w14:paraId="314896CB"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lastRenderedPageBreak/>
              <w:t>Resultado</w:t>
            </w:r>
          </w:p>
        </w:tc>
        <w:tc>
          <w:tcPr>
            <w:tcW w:w="492" w:type="pct"/>
            <w:tcBorders>
              <w:top w:val="nil"/>
              <w:left w:val="nil"/>
              <w:bottom w:val="nil"/>
              <w:right w:val="nil"/>
            </w:tcBorders>
            <w:shd w:val="clear" w:color="000000" w:fill="FFFFFF"/>
            <w:noWrap/>
            <w:vAlign w:val="center"/>
            <w:hideMark/>
          </w:tcPr>
          <w:p w14:paraId="48CDA670"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681" w:type="pct"/>
            <w:tcBorders>
              <w:top w:val="nil"/>
              <w:left w:val="nil"/>
              <w:bottom w:val="nil"/>
              <w:right w:val="nil"/>
            </w:tcBorders>
            <w:shd w:val="clear" w:color="000000" w:fill="FFFFFF"/>
            <w:noWrap/>
            <w:vAlign w:val="center"/>
            <w:hideMark/>
          </w:tcPr>
          <w:p w14:paraId="1476F57A" w14:textId="77777777" w:rsidR="00F77FE5" w:rsidRPr="00F77FE5" w:rsidRDefault="00F77FE5" w:rsidP="00F77FE5">
            <w:pPr>
              <w:spacing w:after="0"/>
              <w:jc w:val="center"/>
              <w:rPr>
                <w:rFonts w:eastAsia="Times New Roman" w:cs="Calibri"/>
                <w:color w:val="000000"/>
                <w:sz w:val="12"/>
                <w:szCs w:val="12"/>
                <w:lang w:val="es-MX" w:eastAsia="es-MX"/>
              </w:rPr>
            </w:pPr>
          </w:p>
        </w:tc>
        <w:tc>
          <w:tcPr>
            <w:tcW w:w="480" w:type="pct"/>
            <w:tcBorders>
              <w:top w:val="nil"/>
              <w:left w:val="nil"/>
              <w:bottom w:val="nil"/>
              <w:right w:val="nil"/>
            </w:tcBorders>
            <w:shd w:val="clear" w:color="000000" w:fill="FFFFFF"/>
            <w:noWrap/>
            <w:vAlign w:val="center"/>
            <w:hideMark/>
          </w:tcPr>
          <w:p w14:paraId="32B3F42E"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604" w:type="pct"/>
            <w:tcBorders>
              <w:top w:val="nil"/>
              <w:left w:val="nil"/>
              <w:bottom w:val="nil"/>
              <w:right w:val="nil"/>
            </w:tcBorders>
            <w:shd w:val="clear" w:color="000000" w:fill="FFFFFF"/>
            <w:noWrap/>
            <w:vAlign w:val="center"/>
            <w:hideMark/>
          </w:tcPr>
          <w:p w14:paraId="3CAB5EA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7</w:t>
            </w:r>
          </w:p>
        </w:tc>
        <w:tc>
          <w:tcPr>
            <w:tcW w:w="1222" w:type="pct"/>
            <w:tcBorders>
              <w:top w:val="nil"/>
              <w:left w:val="nil"/>
              <w:bottom w:val="nil"/>
              <w:right w:val="nil"/>
            </w:tcBorders>
            <w:shd w:val="clear" w:color="000000" w:fill="FFFFFF"/>
            <w:noWrap/>
            <w:vAlign w:val="center"/>
            <w:hideMark/>
          </w:tcPr>
          <w:p w14:paraId="155B139F"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2.1</w:t>
            </w:r>
          </w:p>
        </w:tc>
      </w:tr>
      <w:tr w:rsidR="00F77FE5" w:rsidRPr="00F77FE5" w14:paraId="40C10CB1" w14:textId="77777777" w:rsidTr="005A7CAD">
        <w:trPr>
          <w:trHeight w:val="300"/>
        </w:trPr>
        <w:tc>
          <w:tcPr>
            <w:tcW w:w="1521" w:type="pct"/>
            <w:tcBorders>
              <w:top w:val="nil"/>
              <w:left w:val="nil"/>
              <w:bottom w:val="nil"/>
              <w:right w:val="nil"/>
            </w:tcBorders>
            <w:shd w:val="clear" w:color="000000" w:fill="FFFFFF"/>
            <w:noWrap/>
            <w:vAlign w:val="center"/>
            <w:hideMark/>
          </w:tcPr>
          <w:p w14:paraId="153B05D0"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Más de un Tema</w:t>
            </w:r>
          </w:p>
        </w:tc>
        <w:tc>
          <w:tcPr>
            <w:tcW w:w="492" w:type="pct"/>
            <w:tcBorders>
              <w:top w:val="nil"/>
              <w:left w:val="nil"/>
              <w:bottom w:val="nil"/>
              <w:right w:val="nil"/>
            </w:tcBorders>
            <w:shd w:val="clear" w:color="000000" w:fill="FFFFFF"/>
            <w:noWrap/>
            <w:vAlign w:val="center"/>
            <w:hideMark/>
          </w:tcPr>
          <w:p w14:paraId="145ABFA0"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36</w:t>
            </w:r>
          </w:p>
        </w:tc>
        <w:tc>
          <w:tcPr>
            <w:tcW w:w="681" w:type="pct"/>
            <w:tcBorders>
              <w:top w:val="nil"/>
              <w:left w:val="nil"/>
              <w:bottom w:val="nil"/>
              <w:right w:val="nil"/>
            </w:tcBorders>
            <w:shd w:val="clear" w:color="000000" w:fill="FFFFFF"/>
            <w:noWrap/>
            <w:vAlign w:val="center"/>
            <w:hideMark/>
          </w:tcPr>
          <w:p w14:paraId="7876266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7</w:t>
            </w:r>
          </w:p>
        </w:tc>
        <w:tc>
          <w:tcPr>
            <w:tcW w:w="480" w:type="pct"/>
            <w:tcBorders>
              <w:top w:val="nil"/>
              <w:left w:val="nil"/>
              <w:bottom w:val="nil"/>
              <w:right w:val="nil"/>
            </w:tcBorders>
            <w:shd w:val="clear" w:color="000000" w:fill="FFFFFF"/>
            <w:noWrap/>
            <w:vAlign w:val="center"/>
            <w:hideMark/>
          </w:tcPr>
          <w:p w14:paraId="67AC2FF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29</w:t>
            </w:r>
          </w:p>
        </w:tc>
        <w:tc>
          <w:tcPr>
            <w:tcW w:w="604" w:type="pct"/>
            <w:tcBorders>
              <w:top w:val="nil"/>
              <w:left w:val="nil"/>
              <w:bottom w:val="nil"/>
              <w:right w:val="nil"/>
            </w:tcBorders>
            <w:shd w:val="clear" w:color="000000" w:fill="FFFFFF"/>
            <w:noWrap/>
            <w:vAlign w:val="center"/>
            <w:hideMark/>
          </w:tcPr>
          <w:p w14:paraId="53B9A60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72</w:t>
            </w:r>
          </w:p>
        </w:tc>
        <w:tc>
          <w:tcPr>
            <w:tcW w:w="1222" w:type="pct"/>
            <w:tcBorders>
              <w:top w:val="nil"/>
              <w:left w:val="nil"/>
              <w:bottom w:val="nil"/>
              <w:right w:val="nil"/>
            </w:tcBorders>
            <w:shd w:val="clear" w:color="000000" w:fill="FFFFFF"/>
            <w:noWrap/>
            <w:vAlign w:val="center"/>
            <w:hideMark/>
          </w:tcPr>
          <w:p w14:paraId="1423E97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21.9</w:t>
            </w:r>
          </w:p>
        </w:tc>
      </w:tr>
      <w:tr w:rsidR="00F77FE5" w:rsidRPr="00F77FE5" w14:paraId="65890368" w14:textId="77777777" w:rsidTr="005A7CAD">
        <w:trPr>
          <w:trHeight w:val="300"/>
        </w:trPr>
        <w:tc>
          <w:tcPr>
            <w:tcW w:w="1521" w:type="pct"/>
            <w:tcBorders>
              <w:top w:val="nil"/>
              <w:left w:val="nil"/>
              <w:bottom w:val="nil"/>
              <w:right w:val="nil"/>
            </w:tcBorders>
            <w:shd w:val="clear" w:color="000000" w:fill="FFFFFF"/>
            <w:noWrap/>
            <w:vAlign w:val="center"/>
            <w:hideMark/>
          </w:tcPr>
          <w:p w14:paraId="4910C98D" w14:textId="77777777" w:rsidR="00F77FE5" w:rsidRPr="00F77FE5" w:rsidRDefault="00F77FE5" w:rsidP="00F77FE5">
            <w:pPr>
              <w:spacing w:after="0"/>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Total</w:t>
            </w:r>
          </w:p>
        </w:tc>
        <w:tc>
          <w:tcPr>
            <w:tcW w:w="492" w:type="pct"/>
            <w:tcBorders>
              <w:top w:val="nil"/>
              <w:left w:val="nil"/>
              <w:bottom w:val="nil"/>
              <w:right w:val="nil"/>
            </w:tcBorders>
            <w:shd w:val="clear" w:color="000000" w:fill="FFFFFF"/>
            <w:noWrap/>
            <w:vAlign w:val="center"/>
            <w:hideMark/>
          </w:tcPr>
          <w:p w14:paraId="24110B9A"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134</w:t>
            </w:r>
          </w:p>
        </w:tc>
        <w:tc>
          <w:tcPr>
            <w:tcW w:w="681" w:type="pct"/>
            <w:tcBorders>
              <w:top w:val="nil"/>
              <w:left w:val="nil"/>
              <w:bottom w:val="nil"/>
              <w:right w:val="nil"/>
            </w:tcBorders>
            <w:shd w:val="clear" w:color="000000" w:fill="FFFFFF"/>
            <w:noWrap/>
            <w:vAlign w:val="center"/>
            <w:hideMark/>
          </w:tcPr>
          <w:p w14:paraId="3CF6E392"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70</w:t>
            </w:r>
          </w:p>
        </w:tc>
        <w:tc>
          <w:tcPr>
            <w:tcW w:w="480" w:type="pct"/>
            <w:tcBorders>
              <w:top w:val="nil"/>
              <w:left w:val="nil"/>
              <w:bottom w:val="nil"/>
              <w:right w:val="nil"/>
            </w:tcBorders>
            <w:shd w:val="clear" w:color="000000" w:fill="FFFFFF"/>
            <w:noWrap/>
            <w:vAlign w:val="center"/>
            <w:hideMark/>
          </w:tcPr>
          <w:p w14:paraId="66851C99"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125</w:t>
            </w:r>
          </w:p>
        </w:tc>
        <w:tc>
          <w:tcPr>
            <w:tcW w:w="604" w:type="pct"/>
            <w:tcBorders>
              <w:top w:val="nil"/>
              <w:left w:val="nil"/>
              <w:bottom w:val="nil"/>
              <w:right w:val="nil"/>
            </w:tcBorders>
            <w:shd w:val="clear" w:color="000000" w:fill="FFFFFF"/>
            <w:noWrap/>
            <w:vAlign w:val="center"/>
            <w:hideMark/>
          </w:tcPr>
          <w:p w14:paraId="1BA6FB24"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329</w:t>
            </w:r>
          </w:p>
        </w:tc>
        <w:tc>
          <w:tcPr>
            <w:tcW w:w="1222" w:type="pct"/>
            <w:tcBorders>
              <w:top w:val="nil"/>
              <w:left w:val="nil"/>
              <w:bottom w:val="nil"/>
              <w:right w:val="nil"/>
            </w:tcBorders>
            <w:shd w:val="clear" w:color="000000" w:fill="FFFFFF"/>
            <w:noWrap/>
            <w:vAlign w:val="center"/>
            <w:hideMark/>
          </w:tcPr>
          <w:p w14:paraId="6FFD5A95"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100</w:t>
            </w:r>
          </w:p>
        </w:tc>
      </w:tr>
      <w:tr w:rsidR="00F77FE5" w:rsidRPr="00F77FE5" w14:paraId="4F3E9560" w14:textId="77777777" w:rsidTr="005A7CAD">
        <w:trPr>
          <w:trHeight w:val="315"/>
        </w:trPr>
        <w:tc>
          <w:tcPr>
            <w:tcW w:w="1521" w:type="pct"/>
            <w:tcBorders>
              <w:top w:val="nil"/>
              <w:left w:val="nil"/>
              <w:bottom w:val="single" w:sz="12" w:space="0" w:color="auto"/>
              <w:right w:val="nil"/>
            </w:tcBorders>
            <w:shd w:val="clear" w:color="000000" w:fill="FFFFFF"/>
            <w:noWrap/>
            <w:vAlign w:val="center"/>
            <w:hideMark/>
          </w:tcPr>
          <w:p w14:paraId="5454A198" w14:textId="77777777" w:rsidR="00F77FE5" w:rsidRPr="00F77FE5" w:rsidRDefault="00F77FE5" w:rsidP="00F77FE5">
            <w:pPr>
              <w:spacing w:after="0"/>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 del Total</w:t>
            </w:r>
          </w:p>
        </w:tc>
        <w:tc>
          <w:tcPr>
            <w:tcW w:w="492" w:type="pct"/>
            <w:tcBorders>
              <w:top w:val="nil"/>
              <w:left w:val="nil"/>
              <w:bottom w:val="single" w:sz="12" w:space="0" w:color="auto"/>
              <w:right w:val="nil"/>
            </w:tcBorders>
            <w:shd w:val="clear" w:color="000000" w:fill="FFFFFF"/>
            <w:noWrap/>
            <w:vAlign w:val="center"/>
            <w:hideMark/>
          </w:tcPr>
          <w:p w14:paraId="4DC824E0"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40.7</w:t>
            </w:r>
          </w:p>
        </w:tc>
        <w:tc>
          <w:tcPr>
            <w:tcW w:w="681" w:type="pct"/>
            <w:tcBorders>
              <w:top w:val="nil"/>
              <w:left w:val="nil"/>
              <w:bottom w:val="single" w:sz="12" w:space="0" w:color="auto"/>
              <w:right w:val="nil"/>
            </w:tcBorders>
            <w:shd w:val="clear" w:color="000000" w:fill="FFFFFF"/>
            <w:noWrap/>
            <w:vAlign w:val="center"/>
            <w:hideMark/>
          </w:tcPr>
          <w:p w14:paraId="123B8B5B"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21.3</w:t>
            </w:r>
          </w:p>
        </w:tc>
        <w:tc>
          <w:tcPr>
            <w:tcW w:w="480" w:type="pct"/>
            <w:tcBorders>
              <w:top w:val="nil"/>
              <w:left w:val="nil"/>
              <w:bottom w:val="single" w:sz="12" w:space="0" w:color="auto"/>
              <w:right w:val="nil"/>
            </w:tcBorders>
            <w:shd w:val="clear" w:color="000000" w:fill="FFFFFF"/>
            <w:noWrap/>
            <w:vAlign w:val="center"/>
            <w:hideMark/>
          </w:tcPr>
          <w:p w14:paraId="115DDDB4"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38.0</w:t>
            </w:r>
          </w:p>
        </w:tc>
        <w:tc>
          <w:tcPr>
            <w:tcW w:w="604" w:type="pct"/>
            <w:tcBorders>
              <w:top w:val="nil"/>
              <w:left w:val="nil"/>
              <w:bottom w:val="single" w:sz="12" w:space="0" w:color="auto"/>
              <w:right w:val="nil"/>
            </w:tcBorders>
            <w:shd w:val="clear" w:color="000000" w:fill="FFFFFF"/>
            <w:noWrap/>
            <w:vAlign w:val="center"/>
            <w:hideMark/>
          </w:tcPr>
          <w:p w14:paraId="590F0C58"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100</w:t>
            </w:r>
          </w:p>
        </w:tc>
        <w:tc>
          <w:tcPr>
            <w:tcW w:w="1222" w:type="pct"/>
            <w:tcBorders>
              <w:top w:val="nil"/>
              <w:left w:val="nil"/>
              <w:bottom w:val="single" w:sz="12" w:space="0" w:color="auto"/>
              <w:right w:val="nil"/>
            </w:tcBorders>
            <w:shd w:val="clear" w:color="000000" w:fill="FFFFFF"/>
            <w:noWrap/>
            <w:vAlign w:val="center"/>
            <w:hideMark/>
          </w:tcPr>
          <w:p w14:paraId="31597086"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 </w:t>
            </w:r>
          </w:p>
        </w:tc>
      </w:tr>
      <w:tr w:rsidR="00F77FE5" w:rsidRPr="00F77FE5" w14:paraId="19B3BDA4" w14:textId="77777777" w:rsidTr="005A7CAD">
        <w:trPr>
          <w:trHeight w:val="630"/>
        </w:trPr>
        <w:tc>
          <w:tcPr>
            <w:tcW w:w="5000" w:type="pct"/>
            <w:gridSpan w:val="6"/>
            <w:tcBorders>
              <w:top w:val="single" w:sz="12" w:space="0" w:color="auto"/>
              <w:left w:val="nil"/>
              <w:bottom w:val="nil"/>
              <w:right w:val="nil"/>
            </w:tcBorders>
            <w:shd w:val="clear" w:color="000000" w:fill="FFFFFF"/>
            <w:vAlign w:val="center"/>
            <w:hideMark/>
          </w:tcPr>
          <w:p w14:paraId="2EF575C4"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Fuente: Unidad de Evaluación del Desempeño, con información proporcionada por las dependencias y entidades de la APF a las instancias coordinadoras.</w:t>
            </w:r>
          </w:p>
        </w:tc>
      </w:tr>
    </w:tbl>
    <w:p w14:paraId="1F7F0376" w14:textId="77777777" w:rsidR="00F77FE5" w:rsidRPr="00F77FE5" w:rsidRDefault="00F77FE5" w:rsidP="00F77FE5">
      <w:pPr>
        <w:jc w:val="both"/>
        <w:rPr>
          <w:b/>
        </w:rPr>
      </w:pPr>
    </w:p>
    <w:p w14:paraId="66B49943" w14:textId="77777777" w:rsidR="00F77FE5" w:rsidRPr="00F77FE5" w:rsidRDefault="00F77FE5" w:rsidP="00F77FE5">
      <w:pPr>
        <w:jc w:val="both"/>
        <w:rPr>
          <w:rFonts w:eastAsia="Times New Roman" w:cs="Arial"/>
          <w:b/>
          <w:szCs w:val="20"/>
          <w:lang w:val="es-ES"/>
        </w:rPr>
      </w:pPr>
      <w:r w:rsidRPr="00F77FE5">
        <w:rPr>
          <w:rFonts w:eastAsia="Times New Roman" w:cs="Arial"/>
          <w:b/>
          <w:szCs w:val="20"/>
          <w:lang w:val="es-ES"/>
        </w:rPr>
        <w:t xml:space="preserve">ASM derivados de las evaluaciones externas realizadas a </w:t>
      </w:r>
      <w:proofErr w:type="spellStart"/>
      <w:r w:rsidRPr="00F77FE5">
        <w:rPr>
          <w:rFonts w:eastAsia="Times New Roman" w:cs="Arial"/>
          <w:b/>
          <w:szCs w:val="20"/>
          <w:lang w:val="es-ES"/>
        </w:rPr>
        <w:t>Pp</w:t>
      </w:r>
      <w:proofErr w:type="spellEnd"/>
      <w:r w:rsidRPr="00F77FE5">
        <w:rPr>
          <w:rFonts w:eastAsia="Times New Roman" w:cs="Arial"/>
          <w:b/>
          <w:szCs w:val="20"/>
          <w:lang w:val="es-ES"/>
        </w:rPr>
        <w:t xml:space="preserve"> con recursos federales transferidos a entidades federativas y municipios</w:t>
      </w:r>
    </w:p>
    <w:p w14:paraId="39687F8C"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ES"/>
        </w:rPr>
        <w:t xml:space="preserve">Para el primer trimestre de 2018, las dependencias y entidades instrumentaron acciones correspondientes a 127 ASM derivados de informes y evaluaciones externas realizadas a </w:t>
      </w:r>
      <w:proofErr w:type="spellStart"/>
      <w:r w:rsidRPr="00F77FE5">
        <w:rPr>
          <w:rFonts w:eastAsia="Times New Roman" w:cs="Arial"/>
          <w:szCs w:val="20"/>
          <w:lang w:val="es-ES"/>
        </w:rPr>
        <w:t>Pp</w:t>
      </w:r>
      <w:proofErr w:type="spellEnd"/>
      <w:r w:rsidRPr="00F77FE5">
        <w:rPr>
          <w:rFonts w:eastAsia="Times New Roman" w:cs="Arial"/>
          <w:szCs w:val="20"/>
          <w:lang w:val="es-ES"/>
        </w:rPr>
        <w:t xml:space="preserve"> que transfieren recursos a las entidades federativas y municipios a través de aportaciones federales, subsidios o convenios. La información se presenta con fundamento en la Línea de Acción 2.4.2 “</w:t>
      </w:r>
      <w:r w:rsidRPr="00F77FE5">
        <w:rPr>
          <w:rFonts w:eastAsia="Times New Roman" w:cs="Arial"/>
          <w:i/>
          <w:szCs w:val="20"/>
          <w:lang w:val="es-ES"/>
        </w:rPr>
        <w:t>Identificar y transparentar ASM en la aplicación del gasto federalizado</w:t>
      </w:r>
      <w:r w:rsidRPr="00F77FE5">
        <w:rPr>
          <w:rFonts w:eastAsia="Times New Roman" w:cs="Arial"/>
          <w:szCs w:val="20"/>
          <w:lang w:val="es-ES"/>
        </w:rPr>
        <w:t>”, incluida en la Estrategia 2.4 “</w:t>
      </w:r>
      <w:r w:rsidRPr="00F77FE5">
        <w:rPr>
          <w:rFonts w:eastAsia="Times New Roman" w:cs="Arial"/>
          <w:i/>
          <w:szCs w:val="20"/>
          <w:lang w:val="es-ES"/>
        </w:rPr>
        <w:t>Mejorar la calidad del gasto federalizado con base en los preceptos del SED</w:t>
      </w:r>
      <w:r w:rsidRPr="00F77FE5">
        <w:rPr>
          <w:rFonts w:eastAsia="Times New Roman" w:cs="Arial"/>
          <w:szCs w:val="20"/>
          <w:lang w:val="es-ES"/>
        </w:rPr>
        <w:t>” del Programa para un Gobierno Cercano y Moderno 2013-2018.</w:t>
      </w:r>
    </w:p>
    <w:p w14:paraId="78F20063"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ES"/>
        </w:rPr>
        <w:t xml:space="preserve">Los 127 ASM corresponden a 29 </w:t>
      </w:r>
      <w:proofErr w:type="spellStart"/>
      <w:r w:rsidRPr="00F77FE5">
        <w:rPr>
          <w:rFonts w:eastAsia="Times New Roman" w:cs="Arial"/>
          <w:szCs w:val="20"/>
          <w:lang w:val="es-ES"/>
        </w:rPr>
        <w:t>Pp</w:t>
      </w:r>
      <w:proofErr w:type="spellEnd"/>
      <w:r w:rsidRPr="00F77FE5">
        <w:rPr>
          <w:rFonts w:eastAsia="Times New Roman" w:cs="Arial"/>
          <w:szCs w:val="20"/>
          <w:lang w:val="es-ES"/>
        </w:rPr>
        <w:t xml:space="preserve"> de ocho dependencias y entidades, y se describen a continuación: </w:t>
      </w:r>
    </w:p>
    <w:p w14:paraId="7705D0B2" w14:textId="77777777" w:rsidR="00F77FE5" w:rsidRPr="00F77FE5" w:rsidRDefault="00F77FE5" w:rsidP="00F77FE5">
      <w:pPr>
        <w:jc w:val="both"/>
        <w:rPr>
          <w:rFonts w:eastAsia="Times New Roman" w:cs="Arial"/>
          <w:b/>
          <w:szCs w:val="20"/>
          <w:lang w:val="es-MX"/>
        </w:rPr>
      </w:pPr>
      <w:r w:rsidRPr="00F77FE5" w:rsidDel="00552E03">
        <w:rPr>
          <w:rFonts w:eastAsia="Times New Roman"/>
          <w:color w:val="000000"/>
          <w:sz w:val="18"/>
          <w:szCs w:val="18"/>
          <w:lang w:val="es-MX" w:eastAsia="es-MX"/>
        </w:rPr>
        <w:t xml:space="preserve"> </w:t>
      </w:r>
    </w:p>
    <w:tbl>
      <w:tblPr>
        <w:tblW w:w="5000" w:type="pct"/>
        <w:tblLayout w:type="fixed"/>
        <w:tblCellMar>
          <w:left w:w="70" w:type="dxa"/>
          <w:right w:w="70" w:type="dxa"/>
        </w:tblCellMar>
        <w:tblLook w:val="04A0" w:firstRow="1" w:lastRow="0" w:firstColumn="1" w:lastColumn="0" w:noHBand="0" w:noVBand="1"/>
      </w:tblPr>
      <w:tblGrid>
        <w:gridCol w:w="592"/>
        <w:gridCol w:w="991"/>
        <w:gridCol w:w="710"/>
        <w:gridCol w:w="1843"/>
        <w:gridCol w:w="2547"/>
        <w:gridCol w:w="1681"/>
        <w:gridCol w:w="730"/>
        <w:gridCol w:w="878"/>
      </w:tblGrid>
      <w:tr w:rsidR="00F77FE5" w:rsidRPr="00F77FE5" w14:paraId="478E016F" w14:textId="77777777" w:rsidTr="005A7CAD">
        <w:trPr>
          <w:trHeight w:val="660"/>
          <w:tblHeader/>
        </w:trPr>
        <w:tc>
          <w:tcPr>
            <w:tcW w:w="5000" w:type="pct"/>
            <w:gridSpan w:val="8"/>
            <w:tcBorders>
              <w:top w:val="nil"/>
              <w:left w:val="nil"/>
              <w:bottom w:val="nil"/>
              <w:right w:val="nil"/>
            </w:tcBorders>
            <w:shd w:val="clear" w:color="000000" w:fill="EAF1DD"/>
            <w:vAlign w:val="center"/>
            <w:hideMark/>
          </w:tcPr>
          <w:p w14:paraId="35242AE2" w14:textId="77777777" w:rsidR="00F77FE5" w:rsidRPr="00F77FE5" w:rsidRDefault="00F77FE5" w:rsidP="00F77FE5">
            <w:pPr>
              <w:spacing w:after="0"/>
              <w:jc w:val="center"/>
              <w:rPr>
                <w:rFonts w:eastAsia="Times New Roman" w:cs="Calibri"/>
                <w:color w:val="000000"/>
                <w:sz w:val="18"/>
                <w:szCs w:val="18"/>
                <w:lang w:val="es-MX" w:eastAsia="es-MX"/>
              </w:rPr>
            </w:pPr>
            <w:r w:rsidRPr="00F77FE5">
              <w:rPr>
                <w:rFonts w:eastAsia="Times New Roman" w:cs="Calibri"/>
                <w:color w:val="000000"/>
                <w:sz w:val="18"/>
                <w:szCs w:val="18"/>
                <w:lang w:val="es-MX" w:eastAsia="es-MX"/>
              </w:rPr>
              <w:t xml:space="preserve">Tabla 5. Avance de ASM de </w:t>
            </w:r>
            <w:proofErr w:type="spellStart"/>
            <w:r w:rsidRPr="00F77FE5">
              <w:rPr>
                <w:rFonts w:eastAsia="Times New Roman" w:cs="Calibri"/>
                <w:color w:val="000000"/>
                <w:sz w:val="18"/>
                <w:szCs w:val="18"/>
                <w:lang w:val="es-MX" w:eastAsia="es-MX"/>
              </w:rPr>
              <w:t>Pp</w:t>
            </w:r>
            <w:proofErr w:type="spellEnd"/>
            <w:r w:rsidRPr="00F77FE5">
              <w:rPr>
                <w:rFonts w:eastAsia="Times New Roman" w:cs="Calibri"/>
                <w:color w:val="000000"/>
                <w:sz w:val="18"/>
                <w:szCs w:val="18"/>
                <w:lang w:val="es-MX" w:eastAsia="es-MX"/>
              </w:rPr>
              <w:t xml:space="preserve"> que realizan trasferencias de recursos</w:t>
            </w:r>
            <w:r w:rsidR="006F4A52">
              <w:rPr>
                <w:rFonts w:eastAsia="Times New Roman" w:cs="Calibri"/>
                <w:color w:val="000000"/>
                <w:sz w:val="18"/>
                <w:szCs w:val="18"/>
                <w:lang w:val="es-MX" w:eastAsia="es-MX"/>
              </w:rPr>
              <w:t xml:space="preserve"> </w:t>
            </w:r>
            <w:r w:rsidRPr="00F77FE5">
              <w:rPr>
                <w:rFonts w:eastAsia="Times New Roman" w:cs="Calibri"/>
                <w:color w:val="000000"/>
                <w:sz w:val="18"/>
                <w:szCs w:val="18"/>
                <w:lang w:val="es-MX" w:eastAsia="es-MX"/>
              </w:rPr>
              <w:t>federales a entidades federativas o municipios por dependencia o entidad al primer trimestre 2018</w:t>
            </w:r>
          </w:p>
        </w:tc>
      </w:tr>
      <w:tr w:rsidR="00F77FE5" w:rsidRPr="00F77FE5" w14:paraId="47CF56F8" w14:textId="77777777" w:rsidTr="005A7CAD">
        <w:trPr>
          <w:trHeight w:val="345"/>
          <w:tblHeader/>
        </w:trPr>
        <w:tc>
          <w:tcPr>
            <w:tcW w:w="297" w:type="pct"/>
            <w:tcBorders>
              <w:top w:val="nil"/>
              <w:left w:val="nil"/>
              <w:bottom w:val="single" w:sz="12" w:space="0" w:color="auto"/>
              <w:right w:val="nil"/>
            </w:tcBorders>
            <w:shd w:val="clear" w:color="000000" w:fill="FFFFFF"/>
            <w:noWrap/>
            <w:vAlign w:val="center"/>
            <w:hideMark/>
          </w:tcPr>
          <w:p w14:paraId="2DD9D74B" w14:textId="77777777" w:rsidR="00F77FE5" w:rsidRPr="00F77FE5" w:rsidRDefault="00F77FE5" w:rsidP="00F77FE5">
            <w:pPr>
              <w:spacing w:after="0"/>
              <w:jc w:val="center"/>
              <w:rPr>
                <w:rFonts w:eastAsia="Calibri" w:cstheme="minorBidi"/>
                <w:sz w:val="14"/>
                <w:szCs w:val="22"/>
                <w:lang w:val="es-MX"/>
              </w:rPr>
            </w:pPr>
            <w:r w:rsidRPr="00F77FE5">
              <w:rPr>
                <w:rFonts w:eastAsia="Calibri" w:cstheme="minorBidi"/>
                <w:sz w:val="14"/>
                <w:szCs w:val="22"/>
                <w:lang w:val="es-MX"/>
              </w:rPr>
              <w:t>Ramo</w:t>
            </w:r>
          </w:p>
        </w:tc>
        <w:tc>
          <w:tcPr>
            <w:tcW w:w="497" w:type="pct"/>
            <w:tcBorders>
              <w:top w:val="nil"/>
              <w:left w:val="nil"/>
              <w:bottom w:val="single" w:sz="12" w:space="0" w:color="auto"/>
              <w:right w:val="nil"/>
            </w:tcBorders>
            <w:shd w:val="clear" w:color="000000" w:fill="FFFFFF"/>
            <w:noWrap/>
            <w:vAlign w:val="center"/>
            <w:hideMark/>
          </w:tcPr>
          <w:p w14:paraId="1925152A" w14:textId="77777777" w:rsidR="00F77FE5" w:rsidRPr="00F77FE5" w:rsidRDefault="00F77FE5" w:rsidP="00F77FE5">
            <w:pPr>
              <w:spacing w:after="0"/>
              <w:jc w:val="center"/>
              <w:rPr>
                <w:rFonts w:eastAsia="Calibri" w:cstheme="minorBidi"/>
                <w:sz w:val="14"/>
                <w:szCs w:val="22"/>
                <w:lang w:val="es-MX"/>
              </w:rPr>
            </w:pPr>
            <w:r w:rsidRPr="00F77FE5">
              <w:rPr>
                <w:rFonts w:eastAsia="Calibri" w:cstheme="minorBidi"/>
                <w:sz w:val="14"/>
                <w:szCs w:val="22"/>
                <w:lang w:val="es-MX"/>
              </w:rPr>
              <w:t>Dependencia</w:t>
            </w:r>
          </w:p>
        </w:tc>
        <w:tc>
          <w:tcPr>
            <w:tcW w:w="356" w:type="pct"/>
            <w:tcBorders>
              <w:top w:val="nil"/>
              <w:left w:val="nil"/>
              <w:bottom w:val="single" w:sz="12" w:space="0" w:color="auto"/>
              <w:right w:val="nil"/>
            </w:tcBorders>
            <w:shd w:val="clear" w:color="000000" w:fill="FFFFFF"/>
            <w:vAlign w:val="center"/>
            <w:hideMark/>
          </w:tcPr>
          <w:p w14:paraId="3EA9B996" w14:textId="77777777" w:rsidR="00F77FE5" w:rsidRPr="00F77FE5" w:rsidRDefault="00F77FE5" w:rsidP="00F77FE5">
            <w:pPr>
              <w:spacing w:after="0"/>
              <w:jc w:val="center"/>
              <w:rPr>
                <w:rFonts w:eastAsia="Calibri" w:cstheme="minorBidi"/>
                <w:sz w:val="14"/>
                <w:szCs w:val="22"/>
                <w:lang w:val="es-MX"/>
              </w:rPr>
            </w:pPr>
            <w:proofErr w:type="spellStart"/>
            <w:r w:rsidRPr="00F77FE5">
              <w:rPr>
                <w:rFonts w:eastAsia="Calibri" w:cstheme="minorBidi"/>
                <w:sz w:val="14"/>
                <w:szCs w:val="22"/>
                <w:lang w:val="es-MX"/>
              </w:rPr>
              <w:t>Mod</w:t>
            </w:r>
            <w:proofErr w:type="spellEnd"/>
            <w:r w:rsidRPr="00F77FE5">
              <w:rPr>
                <w:rFonts w:eastAsia="Calibri" w:cstheme="minorBidi"/>
                <w:sz w:val="14"/>
                <w:szCs w:val="22"/>
                <w:lang w:val="es-MX"/>
              </w:rPr>
              <w:t xml:space="preserve"> y</w:t>
            </w:r>
            <w:r w:rsidR="006F4A52">
              <w:rPr>
                <w:rFonts w:eastAsia="Calibri" w:cstheme="minorBidi"/>
                <w:sz w:val="14"/>
                <w:szCs w:val="22"/>
                <w:lang w:val="es-MX"/>
              </w:rPr>
              <w:t xml:space="preserve"> </w:t>
            </w:r>
            <w:r w:rsidRPr="00F77FE5">
              <w:rPr>
                <w:rFonts w:eastAsia="Calibri" w:cstheme="minorBidi"/>
                <w:sz w:val="14"/>
                <w:szCs w:val="22"/>
                <w:lang w:val="es-MX"/>
              </w:rPr>
              <w:t>Clave</w:t>
            </w:r>
          </w:p>
        </w:tc>
        <w:tc>
          <w:tcPr>
            <w:tcW w:w="924" w:type="pct"/>
            <w:tcBorders>
              <w:top w:val="nil"/>
              <w:left w:val="nil"/>
              <w:bottom w:val="single" w:sz="12" w:space="0" w:color="auto"/>
              <w:right w:val="nil"/>
            </w:tcBorders>
            <w:shd w:val="clear" w:color="000000" w:fill="FFFFFF"/>
            <w:noWrap/>
            <w:vAlign w:val="center"/>
            <w:hideMark/>
          </w:tcPr>
          <w:p w14:paraId="1041745B" w14:textId="77777777" w:rsidR="00F77FE5" w:rsidRPr="00F77FE5" w:rsidRDefault="00F77FE5" w:rsidP="00F77FE5">
            <w:pPr>
              <w:spacing w:after="0"/>
              <w:jc w:val="center"/>
              <w:rPr>
                <w:rFonts w:eastAsia="Calibri" w:cstheme="minorBidi"/>
                <w:sz w:val="14"/>
                <w:szCs w:val="22"/>
                <w:lang w:val="es-MX"/>
              </w:rPr>
            </w:pPr>
            <w:r w:rsidRPr="00F77FE5">
              <w:rPr>
                <w:rFonts w:eastAsia="Calibri" w:cstheme="minorBidi"/>
                <w:sz w:val="14"/>
                <w:szCs w:val="22"/>
                <w:lang w:val="es-MX"/>
              </w:rPr>
              <w:t>Nombre del Programa</w:t>
            </w:r>
          </w:p>
        </w:tc>
        <w:tc>
          <w:tcPr>
            <w:tcW w:w="1277" w:type="pct"/>
            <w:tcBorders>
              <w:top w:val="nil"/>
              <w:left w:val="nil"/>
              <w:bottom w:val="single" w:sz="12" w:space="0" w:color="auto"/>
              <w:right w:val="nil"/>
            </w:tcBorders>
            <w:shd w:val="clear" w:color="000000" w:fill="FFFFFF"/>
            <w:noWrap/>
            <w:vAlign w:val="center"/>
            <w:hideMark/>
          </w:tcPr>
          <w:p w14:paraId="3A1977C3" w14:textId="77777777" w:rsidR="00F77FE5" w:rsidRPr="00F77FE5" w:rsidRDefault="00F77FE5" w:rsidP="00F77FE5">
            <w:pPr>
              <w:spacing w:after="0"/>
              <w:jc w:val="center"/>
              <w:rPr>
                <w:rFonts w:eastAsia="Calibri" w:cstheme="minorBidi"/>
                <w:sz w:val="14"/>
                <w:szCs w:val="22"/>
                <w:lang w:val="es-MX"/>
              </w:rPr>
            </w:pPr>
            <w:r w:rsidRPr="00F77FE5">
              <w:rPr>
                <w:rFonts w:eastAsia="Calibri" w:cstheme="minorBidi"/>
                <w:sz w:val="14"/>
                <w:szCs w:val="22"/>
                <w:lang w:val="es-MX"/>
              </w:rPr>
              <w:t>Aspecto Susceptible de Mejora</w:t>
            </w:r>
          </w:p>
        </w:tc>
        <w:tc>
          <w:tcPr>
            <w:tcW w:w="843" w:type="pct"/>
            <w:tcBorders>
              <w:top w:val="nil"/>
              <w:left w:val="nil"/>
              <w:bottom w:val="single" w:sz="12" w:space="0" w:color="auto"/>
              <w:right w:val="nil"/>
            </w:tcBorders>
            <w:shd w:val="clear" w:color="000000" w:fill="FFFFFF"/>
            <w:noWrap/>
            <w:vAlign w:val="center"/>
            <w:hideMark/>
          </w:tcPr>
          <w:p w14:paraId="7E145039" w14:textId="77777777" w:rsidR="00F77FE5" w:rsidRPr="00F77FE5" w:rsidRDefault="00F77FE5" w:rsidP="00F77FE5">
            <w:pPr>
              <w:spacing w:after="0"/>
              <w:jc w:val="center"/>
              <w:rPr>
                <w:rFonts w:eastAsia="Calibri" w:cstheme="minorBidi"/>
                <w:sz w:val="14"/>
                <w:szCs w:val="22"/>
                <w:lang w:val="es-MX"/>
              </w:rPr>
            </w:pPr>
            <w:r w:rsidRPr="00F77FE5">
              <w:rPr>
                <w:rFonts w:eastAsia="Calibri" w:cstheme="minorBidi"/>
                <w:sz w:val="14"/>
                <w:szCs w:val="22"/>
                <w:lang w:val="es-MX"/>
              </w:rPr>
              <w:t>Tipo de Aspecto</w:t>
            </w:r>
          </w:p>
        </w:tc>
        <w:tc>
          <w:tcPr>
            <w:tcW w:w="366" w:type="pct"/>
            <w:tcBorders>
              <w:top w:val="nil"/>
              <w:left w:val="nil"/>
              <w:bottom w:val="single" w:sz="12" w:space="0" w:color="auto"/>
              <w:right w:val="nil"/>
            </w:tcBorders>
            <w:shd w:val="clear" w:color="000000" w:fill="FFFFFF"/>
            <w:noWrap/>
            <w:vAlign w:val="center"/>
            <w:hideMark/>
          </w:tcPr>
          <w:p w14:paraId="6C56997C" w14:textId="77777777" w:rsidR="00F77FE5" w:rsidRPr="00F77FE5" w:rsidRDefault="00F77FE5" w:rsidP="00F77FE5">
            <w:pPr>
              <w:spacing w:after="0"/>
              <w:jc w:val="center"/>
              <w:rPr>
                <w:rFonts w:eastAsia="Calibri" w:cstheme="minorBidi"/>
                <w:sz w:val="14"/>
                <w:szCs w:val="22"/>
                <w:lang w:val="es-MX"/>
              </w:rPr>
            </w:pPr>
            <w:r w:rsidRPr="00F77FE5">
              <w:rPr>
                <w:rFonts w:eastAsia="Calibri" w:cstheme="minorBidi"/>
                <w:sz w:val="14"/>
                <w:szCs w:val="22"/>
                <w:lang w:val="es-MX"/>
              </w:rPr>
              <w:t>Nivel de Prioridad</w:t>
            </w:r>
          </w:p>
        </w:tc>
        <w:tc>
          <w:tcPr>
            <w:tcW w:w="440" w:type="pct"/>
            <w:tcBorders>
              <w:top w:val="nil"/>
              <w:left w:val="nil"/>
              <w:bottom w:val="single" w:sz="12" w:space="0" w:color="auto"/>
              <w:right w:val="nil"/>
            </w:tcBorders>
            <w:shd w:val="clear" w:color="000000" w:fill="FFFFFF"/>
            <w:vAlign w:val="center"/>
            <w:hideMark/>
          </w:tcPr>
          <w:p w14:paraId="514B10C6" w14:textId="77777777" w:rsidR="00F77FE5" w:rsidRPr="00F77FE5" w:rsidRDefault="00F77FE5" w:rsidP="00F77FE5">
            <w:pPr>
              <w:spacing w:after="0"/>
              <w:jc w:val="center"/>
              <w:rPr>
                <w:rFonts w:eastAsia="Calibri" w:cstheme="minorBidi"/>
                <w:sz w:val="14"/>
                <w:szCs w:val="22"/>
                <w:lang w:val="es-MX"/>
              </w:rPr>
            </w:pPr>
            <w:r w:rsidRPr="00F77FE5">
              <w:rPr>
                <w:rFonts w:eastAsia="Calibri" w:cstheme="minorBidi"/>
                <w:sz w:val="14"/>
                <w:szCs w:val="22"/>
                <w:lang w:val="es-MX"/>
              </w:rPr>
              <w:t>Avance promedio del Aspecto</w:t>
            </w:r>
          </w:p>
        </w:tc>
      </w:tr>
      <w:tr w:rsidR="00F77FE5" w:rsidRPr="00F77FE5" w14:paraId="7250B5A0" w14:textId="77777777" w:rsidTr="005A7CAD">
        <w:trPr>
          <w:trHeight w:val="315"/>
        </w:trPr>
        <w:tc>
          <w:tcPr>
            <w:tcW w:w="297" w:type="pct"/>
            <w:tcBorders>
              <w:top w:val="nil"/>
              <w:left w:val="nil"/>
              <w:bottom w:val="nil"/>
              <w:right w:val="nil"/>
            </w:tcBorders>
            <w:shd w:val="clear" w:color="auto" w:fill="auto"/>
            <w:noWrap/>
            <w:vAlign w:val="center"/>
            <w:hideMark/>
          </w:tcPr>
          <w:p w14:paraId="7848362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04</w:t>
            </w:r>
          </w:p>
        </w:tc>
        <w:tc>
          <w:tcPr>
            <w:tcW w:w="497" w:type="pct"/>
            <w:tcBorders>
              <w:top w:val="nil"/>
              <w:left w:val="nil"/>
              <w:bottom w:val="nil"/>
              <w:right w:val="nil"/>
            </w:tcBorders>
            <w:shd w:val="clear" w:color="auto" w:fill="auto"/>
            <w:noWrap/>
            <w:vAlign w:val="center"/>
            <w:hideMark/>
          </w:tcPr>
          <w:p w14:paraId="0552F3C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CONAVIM</w:t>
            </w:r>
          </w:p>
        </w:tc>
        <w:tc>
          <w:tcPr>
            <w:tcW w:w="356" w:type="pct"/>
            <w:tcBorders>
              <w:top w:val="nil"/>
              <w:left w:val="nil"/>
              <w:bottom w:val="nil"/>
              <w:right w:val="nil"/>
            </w:tcBorders>
            <w:shd w:val="clear" w:color="auto" w:fill="auto"/>
            <w:noWrap/>
            <w:vAlign w:val="center"/>
            <w:hideMark/>
          </w:tcPr>
          <w:p w14:paraId="5A5FD3C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E015</w:t>
            </w:r>
          </w:p>
        </w:tc>
        <w:tc>
          <w:tcPr>
            <w:tcW w:w="924" w:type="pct"/>
            <w:tcBorders>
              <w:top w:val="nil"/>
              <w:left w:val="nil"/>
              <w:bottom w:val="nil"/>
              <w:right w:val="nil"/>
            </w:tcBorders>
            <w:shd w:val="clear" w:color="auto" w:fill="auto"/>
            <w:noWrap/>
            <w:vAlign w:val="center"/>
            <w:hideMark/>
          </w:tcPr>
          <w:p w14:paraId="294BED4E"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Promover la atención y prevención de la violencia contra las mujeres</w:t>
            </w:r>
          </w:p>
        </w:tc>
        <w:tc>
          <w:tcPr>
            <w:tcW w:w="1277" w:type="pct"/>
            <w:tcBorders>
              <w:top w:val="nil"/>
              <w:left w:val="nil"/>
              <w:bottom w:val="nil"/>
              <w:right w:val="nil"/>
            </w:tcBorders>
            <w:shd w:val="clear" w:color="auto" w:fill="auto"/>
            <w:noWrap/>
            <w:vAlign w:val="center"/>
            <w:hideMark/>
          </w:tcPr>
          <w:p w14:paraId="60DBA0C7"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 xml:space="preserve">Contratación externa </w:t>
            </w:r>
            <w:r w:rsidRPr="00F77FE5">
              <w:rPr>
                <w:rFonts w:eastAsia="Times New Roman"/>
                <w:sz w:val="12"/>
                <w:szCs w:val="20"/>
                <w:lang w:val="es-ES" w:eastAsia="en-US"/>
              </w:rPr>
              <w:br/>
              <w:t>[Para la definición de la población potencial y objetivo].</w:t>
            </w:r>
            <w:r w:rsidRPr="00F77FE5">
              <w:rPr>
                <w:rFonts w:eastAsia="Times New Roman"/>
                <w:sz w:val="12"/>
                <w:szCs w:val="20"/>
                <w:vertAlign w:val="superscript"/>
                <w:lang w:val="es-ES" w:eastAsia="en-US"/>
              </w:rPr>
              <w:t>A_/</w:t>
            </w:r>
          </w:p>
        </w:tc>
        <w:tc>
          <w:tcPr>
            <w:tcW w:w="843" w:type="pct"/>
            <w:tcBorders>
              <w:top w:val="nil"/>
              <w:left w:val="nil"/>
              <w:bottom w:val="nil"/>
              <w:right w:val="nil"/>
            </w:tcBorders>
            <w:shd w:val="clear" w:color="auto" w:fill="auto"/>
            <w:noWrap/>
            <w:vAlign w:val="center"/>
            <w:hideMark/>
          </w:tcPr>
          <w:p w14:paraId="64B3CB2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6085A7B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027F8CF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w:t>
            </w:r>
          </w:p>
        </w:tc>
      </w:tr>
      <w:tr w:rsidR="00F77FE5" w:rsidRPr="00F77FE5" w14:paraId="7A63C390" w14:textId="77777777" w:rsidTr="005A7CAD">
        <w:trPr>
          <w:trHeight w:val="300"/>
        </w:trPr>
        <w:tc>
          <w:tcPr>
            <w:tcW w:w="297" w:type="pct"/>
            <w:tcBorders>
              <w:top w:val="nil"/>
              <w:left w:val="nil"/>
              <w:bottom w:val="nil"/>
              <w:right w:val="nil"/>
            </w:tcBorders>
            <w:shd w:val="clear" w:color="auto" w:fill="auto"/>
            <w:noWrap/>
            <w:vAlign w:val="center"/>
            <w:hideMark/>
          </w:tcPr>
          <w:p w14:paraId="1D54B4A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04</w:t>
            </w:r>
          </w:p>
        </w:tc>
        <w:tc>
          <w:tcPr>
            <w:tcW w:w="497" w:type="pct"/>
            <w:tcBorders>
              <w:top w:val="nil"/>
              <w:left w:val="nil"/>
              <w:bottom w:val="nil"/>
              <w:right w:val="nil"/>
            </w:tcBorders>
            <w:shd w:val="clear" w:color="auto" w:fill="auto"/>
            <w:noWrap/>
            <w:vAlign w:val="center"/>
            <w:hideMark/>
          </w:tcPr>
          <w:p w14:paraId="55A399C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CONAVIM</w:t>
            </w:r>
          </w:p>
        </w:tc>
        <w:tc>
          <w:tcPr>
            <w:tcW w:w="356" w:type="pct"/>
            <w:tcBorders>
              <w:top w:val="nil"/>
              <w:left w:val="nil"/>
              <w:bottom w:val="nil"/>
              <w:right w:val="nil"/>
            </w:tcBorders>
            <w:shd w:val="clear" w:color="auto" w:fill="auto"/>
            <w:noWrap/>
            <w:vAlign w:val="center"/>
            <w:hideMark/>
          </w:tcPr>
          <w:p w14:paraId="004F2DB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E015</w:t>
            </w:r>
          </w:p>
        </w:tc>
        <w:tc>
          <w:tcPr>
            <w:tcW w:w="924" w:type="pct"/>
            <w:tcBorders>
              <w:top w:val="nil"/>
              <w:left w:val="nil"/>
              <w:bottom w:val="nil"/>
              <w:right w:val="nil"/>
            </w:tcBorders>
            <w:shd w:val="clear" w:color="auto" w:fill="auto"/>
            <w:noWrap/>
            <w:vAlign w:val="center"/>
            <w:hideMark/>
          </w:tcPr>
          <w:p w14:paraId="789A0884"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Promover la atención y prevención de la violencia contra las mujeres</w:t>
            </w:r>
          </w:p>
        </w:tc>
        <w:tc>
          <w:tcPr>
            <w:tcW w:w="1277" w:type="pct"/>
            <w:tcBorders>
              <w:top w:val="nil"/>
              <w:left w:val="nil"/>
              <w:bottom w:val="nil"/>
              <w:right w:val="nil"/>
            </w:tcBorders>
            <w:shd w:val="clear" w:color="auto" w:fill="auto"/>
            <w:noWrap/>
            <w:vAlign w:val="center"/>
            <w:hideMark/>
          </w:tcPr>
          <w:p w14:paraId="4845A8E3"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Dada su complejidad, se proyecta trabajarlo con apoyo del INEGI.</w:t>
            </w:r>
            <w:r w:rsidRPr="00F77FE5">
              <w:rPr>
                <w:rFonts w:eastAsia="Times New Roman"/>
                <w:sz w:val="12"/>
                <w:szCs w:val="20"/>
                <w:lang w:val="es-ES" w:eastAsia="en-US"/>
              </w:rPr>
              <w:br/>
              <w:t>[Definir a la población potencial y a la población objetivo, así como la metodología para su cuantificación].</w:t>
            </w:r>
            <w:r w:rsidRPr="00F77FE5">
              <w:rPr>
                <w:rFonts w:eastAsia="Times New Roman"/>
                <w:sz w:val="12"/>
                <w:szCs w:val="20"/>
                <w:vertAlign w:val="superscript"/>
                <w:lang w:val="es-ES" w:eastAsia="en-US"/>
              </w:rPr>
              <w:t xml:space="preserve"> A_/</w:t>
            </w:r>
          </w:p>
        </w:tc>
        <w:tc>
          <w:tcPr>
            <w:tcW w:w="843" w:type="pct"/>
            <w:tcBorders>
              <w:top w:val="nil"/>
              <w:left w:val="nil"/>
              <w:bottom w:val="nil"/>
              <w:right w:val="nil"/>
            </w:tcBorders>
            <w:shd w:val="clear" w:color="auto" w:fill="auto"/>
            <w:noWrap/>
            <w:vAlign w:val="center"/>
            <w:hideMark/>
          </w:tcPr>
          <w:p w14:paraId="336CFB2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76EB2C0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3705F3B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w:t>
            </w:r>
          </w:p>
        </w:tc>
      </w:tr>
      <w:tr w:rsidR="00F77FE5" w:rsidRPr="00F77FE5" w14:paraId="4CAD11A6" w14:textId="77777777" w:rsidTr="005A7CAD">
        <w:trPr>
          <w:trHeight w:val="300"/>
        </w:trPr>
        <w:tc>
          <w:tcPr>
            <w:tcW w:w="297" w:type="pct"/>
            <w:tcBorders>
              <w:top w:val="nil"/>
              <w:left w:val="nil"/>
              <w:bottom w:val="nil"/>
              <w:right w:val="nil"/>
            </w:tcBorders>
            <w:shd w:val="clear" w:color="auto" w:fill="auto"/>
            <w:noWrap/>
            <w:vAlign w:val="center"/>
            <w:hideMark/>
          </w:tcPr>
          <w:p w14:paraId="605276D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04</w:t>
            </w:r>
          </w:p>
        </w:tc>
        <w:tc>
          <w:tcPr>
            <w:tcW w:w="497" w:type="pct"/>
            <w:tcBorders>
              <w:top w:val="nil"/>
              <w:left w:val="nil"/>
              <w:bottom w:val="nil"/>
              <w:right w:val="nil"/>
            </w:tcBorders>
            <w:shd w:val="clear" w:color="auto" w:fill="auto"/>
            <w:noWrap/>
            <w:vAlign w:val="center"/>
            <w:hideMark/>
          </w:tcPr>
          <w:p w14:paraId="56A5853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CONAVIM</w:t>
            </w:r>
          </w:p>
        </w:tc>
        <w:tc>
          <w:tcPr>
            <w:tcW w:w="356" w:type="pct"/>
            <w:tcBorders>
              <w:top w:val="nil"/>
              <w:left w:val="nil"/>
              <w:bottom w:val="nil"/>
              <w:right w:val="nil"/>
            </w:tcBorders>
            <w:shd w:val="clear" w:color="auto" w:fill="auto"/>
            <w:noWrap/>
            <w:vAlign w:val="center"/>
            <w:hideMark/>
          </w:tcPr>
          <w:p w14:paraId="26F5A0B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E015</w:t>
            </w:r>
          </w:p>
        </w:tc>
        <w:tc>
          <w:tcPr>
            <w:tcW w:w="924" w:type="pct"/>
            <w:tcBorders>
              <w:top w:val="nil"/>
              <w:left w:val="nil"/>
              <w:bottom w:val="nil"/>
              <w:right w:val="nil"/>
            </w:tcBorders>
            <w:shd w:val="clear" w:color="auto" w:fill="auto"/>
            <w:noWrap/>
            <w:vAlign w:val="center"/>
            <w:hideMark/>
          </w:tcPr>
          <w:p w14:paraId="38249794"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Promover la atención y prevención de la violencia contra las mujeres</w:t>
            </w:r>
          </w:p>
        </w:tc>
        <w:tc>
          <w:tcPr>
            <w:tcW w:w="1277" w:type="pct"/>
            <w:tcBorders>
              <w:top w:val="nil"/>
              <w:left w:val="nil"/>
              <w:bottom w:val="nil"/>
              <w:right w:val="nil"/>
            </w:tcBorders>
            <w:shd w:val="clear" w:color="auto" w:fill="auto"/>
            <w:noWrap/>
            <w:vAlign w:val="center"/>
            <w:hideMark/>
          </w:tcPr>
          <w:p w14:paraId="6ED7DA96"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Especificar la meta del indicador del Fin: prevalencia de la violencia contra las mujeres para el sexenio.</w:t>
            </w:r>
          </w:p>
        </w:tc>
        <w:tc>
          <w:tcPr>
            <w:tcW w:w="843" w:type="pct"/>
            <w:tcBorders>
              <w:top w:val="nil"/>
              <w:left w:val="nil"/>
              <w:bottom w:val="nil"/>
              <w:right w:val="nil"/>
            </w:tcBorders>
            <w:shd w:val="clear" w:color="auto" w:fill="auto"/>
            <w:noWrap/>
            <w:vAlign w:val="center"/>
            <w:hideMark/>
          </w:tcPr>
          <w:p w14:paraId="69E993D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40D8A55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524C1AC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71B38640" w14:textId="77777777" w:rsidTr="005A7CAD">
        <w:trPr>
          <w:trHeight w:val="300"/>
        </w:trPr>
        <w:tc>
          <w:tcPr>
            <w:tcW w:w="297" w:type="pct"/>
            <w:tcBorders>
              <w:top w:val="nil"/>
              <w:left w:val="nil"/>
              <w:bottom w:val="nil"/>
              <w:right w:val="nil"/>
            </w:tcBorders>
            <w:shd w:val="clear" w:color="auto" w:fill="auto"/>
            <w:noWrap/>
            <w:vAlign w:val="center"/>
            <w:hideMark/>
          </w:tcPr>
          <w:p w14:paraId="268AEBB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04</w:t>
            </w:r>
          </w:p>
        </w:tc>
        <w:tc>
          <w:tcPr>
            <w:tcW w:w="497" w:type="pct"/>
            <w:tcBorders>
              <w:top w:val="nil"/>
              <w:left w:val="nil"/>
              <w:bottom w:val="nil"/>
              <w:right w:val="nil"/>
            </w:tcBorders>
            <w:shd w:val="clear" w:color="auto" w:fill="auto"/>
            <w:noWrap/>
            <w:vAlign w:val="center"/>
            <w:hideMark/>
          </w:tcPr>
          <w:p w14:paraId="3A81A03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CONAVIM</w:t>
            </w:r>
          </w:p>
        </w:tc>
        <w:tc>
          <w:tcPr>
            <w:tcW w:w="356" w:type="pct"/>
            <w:tcBorders>
              <w:top w:val="nil"/>
              <w:left w:val="nil"/>
              <w:bottom w:val="nil"/>
              <w:right w:val="nil"/>
            </w:tcBorders>
            <w:shd w:val="clear" w:color="auto" w:fill="auto"/>
            <w:noWrap/>
            <w:vAlign w:val="center"/>
            <w:hideMark/>
          </w:tcPr>
          <w:p w14:paraId="19EC954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E015</w:t>
            </w:r>
          </w:p>
        </w:tc>
        <w:tc>
          <w:tcPr>
            <w:tcW w:w="924" w:type="pct"/>
            <w:tcBorders>
              <w:top w:val="nil"/>
              <w:left w:val="nil"/>
              <w:bottom w:val="nil"/>
              <w:right w:val="nil"/>
            </w:tcBorders>
            <w:shd w:val="clear" w:color="auto" w:fill="auto"/>
            <w:noWrap/>
            <w:vAlign w:val="center"/>
            <w:hideMark/>
          </w:tcPr>
          <w:p w14:paraId="2426C3B2"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Promover la atención y prevención de la violencia contra las mujeres</w:t>
            </w:r>
          </w:p>
        </w:tc>
        <w:tc>
          <w:tcPr>
            <w:tcW w:w="1277" w:type="pct"/>
            <w:tcBorders>
              <w:top w:val="nil"/>
              <w:left w:val="nil"/>
              <w:bottom w:val="nil"/>
              <w:right w:val="nil"/>
            </w:tcBorders>
            <w:shd w:val="clear" w:color="auto" w:fill="auto"/>
            <w:noWrap/>
            <w:vAlign w:val="center"/>
            <w:hideMark/>
          </w:tcPr>
          <w:p w14:paraId="7E2E3869"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 xml:space="preserve">La </w:t>
            </w:r>
            <w:proofErr w:type="spellStart"/>
            <w:r w:rsidRPr="00F77FE5">
              <w:rPr>
                <w:rFonts w:eastAsia="Times New Roman"/>
                <w:sz w:val="12"/>
                <w:szCs w:val="20"/>
                <w:lang w:val="es-ES" w:eastAsia="en-US"/>
              </w:rPr>
              <w:t>Conavim</w:t>
            </w:r>
            <w:proofErr w:type="spellEnd"/>
            <w:r w:rsidRPr="00F77FE5">
              <w:rPr>
                <w:rFonts w:eastAsia="Times New Roman"/>
                <w:sz w:val="12"/>
                <w:szCs w:val="20"/>
                <w:lang w:val="es-ES" w:eastAsia="en-US"/>
              </w:rPr>
              <w:t xml:space="preserve"> mantiene líneas de comunicación constantes con organismos internacionales y busca incorporar su perspectiva y recomendaciones para los diversos proyectos que ejecuta.</w:t>
            </w:r>
          </w:p>
        </w:tc>
        <w:tc>
          <w:tcPr>
            <w:tcW w:w="843" w:type="pct"/>
            <w:tcBorders>
              <w:top w:val="nil"/>
              <w:left w:val="nil"/>
              <w:bottom w:val="nil"/>
              <w:right w:val="nil"/>
            </w:tcBorders>
            <w:shd w:val="clear" w:color="auto" w:fill="auto"/>
            <w:noWrap/>
            <w:vAlign w:val="center"/>
            <w:hideMark/>
          </w:tcPr>
          <w:p w14:paraId="4E370F8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315C745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42E8A29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80</w:t>
            </w:r>
          </w:p>
        </w:tc>
      </w:tr>
      <w:tr w:rsidR="00F77FE5" w:rsidRPr="00F77FE5" w14:paraId="16F49A51" w14:textId="77777777" w:rsidTr="005A7CAD">
        <w:trPr>
          <w:trHeight w:val="300"/>
        </w:trPr>
        <w:tc>
          <w:tcPr>
            <w:tcW w:w="297" w:type="pct"/>
            <w:tcBorders>
              <w:top w:val="nil"/>
              <w:left w:val="nil"/>
              <w:bottom w:val="nil"/>
              <w:right w:val="nil"/>
            </w:tcBorders>
            <w:shd w:val="clear" w:color="auto" w:fill="auto"/>
            <w:noWrap/>
            <w:vAlign w:val="center"/>
            <w:hideMark/>
          </w:tcPr>
          <w:p w14:paraId="0F3232F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04</w:t>
            </w:r>
          </w:p>
        </w:tc>
        <w:tc>
          <w:tcPr>
            <w:tcW w:w="497" w:type="pct"/>
            <w:tcBorders>
              <w:top w:val="nil"/>
              <w:left w:val="nil"/>
              <w:bottom w:val="nil"/>
              <w:right w:val="nil"/>
            </w:tcBorders>
            <w:shd w:val="clear" w:color="auto" w:fill="auto"/>
            <w:noWrap/>
            <w:vAlign w:val="center"/>
            <w:hideMark/>
          </w:tcPr>
          <w:p w14:paraId="13D944C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CONAVIM</w:t>
            </w:r>
          </w:p>
        </w:tc>
        <w:tc>
          <w:tcPr>
            <w:tcW w:w="356" w:type="pct"/>
            <w:tcBorders>
              <w:top w:val="nil"/>
              <w:left w:val="nil"/>
              <w:bottom w:val="nil"/>
              <w:right w:val="nil"/>
            </w:tcBorders>
            <w:shd w:val="clear" w:color="auto" w:fill="auto"/>
            <w:noWrap/>
            <w:vAlign w:val="center"/>
            <w:hideMark/>
          </w:tcPr>
          <w:p w14:paraId="112F8DF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E015</w:t>
            </w:r>
          </w:p>
        </w:tc>
        <w:tc>
          <w:tcPr>
            <w:tcW w:w="924" w:type="pct"/>
            <w:tcBorders>
              <w:top w:val="nil"/>
              <w:left w:val="nil"/>
              <w:bottom w:val="nil"/>
              <w:right w:val="nil"/>
            </w:tcBorders>
            <w:shd w:val="clear" w:color="auto" w:fill="auto"/>
            <w:noWrap/>
            <w:vAlign w:val="center"/>
            <w:hideMark/>
          </w:tcPr>
          <w:p w14:paraId="6865D4C8"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Promover la atención y prevención de la violencia contra las mujeres</w:t>
            </w:r>
          </w:p>
        </w:tc>
        <w:tc>
          <w:tcPr>
            <w:tcW w:w="1277" w:type="pct"/>
            <w:tcBorders>
              <w:top w:val="nil"/>
              <w:left w:val="nil"/>
              <w:bottom w:val="nil"/>
              <w:right w:val="nil"/>
            </w:tcBorders>
            <w:shd w:val="clear" w:color="auto" w:fill="auto"/>
            <w:noWrap/>
            <w:vAlign w:val="center"/>
            <w:hideMark/>
          </w:tcPr>
          <w:p w14:paraId="25A0E243" w14:textId="77777777" w:rsidR="00F77FE5" w:rsidRPr="00F77FE5" w:rsidRDefault="00F77FE5" w:rsidP="007D0E11">
            <w:pPr>
              <w:spacing w:before="20" w:after="0"/>
              <w:jc w:val="both"/>
              <w:rPr>
                <w:rFonts w:eastAsia="Times New Roman"/>
                <w:sz w:val="12"/>
                <w:szCs w:val="20"/>
                <w:lang w:val="es-ES" w:eastAsia="en-US"/>
              </w:rPr>
            </w:pPr>
            <w:r w:rsidRPr="00F77FE5">
              <w:rPr>
                <w:rFonts w:eastAsia="Times New Roman"/>
                <w:sz w:val="12"/>
                <w:szCs w:val="20"/>
                <w:lang w:val="es-ES" w:eastAsia="en-US"/>
              </w:rPr>
              <w:t>Las entidades y dependencias de la APF reportar</w:t>
            </w:r>
            <w:r w:rsidR="007D0E11">
              <w:rPr>
                <w:rFonts w:eastAsia="Times New Roman"/>
                <w:sz w:val="12"/>
                <w:szCs w:val="20"/>
                <w:lang w:val="es-ES" w:eastAsia="en-US"/>
              </w:rPr>
              <w:t>á</w:t>
            </w:r>
            <w:r w:rsidRPr="00F77FE5">
              <w:rPr>
                <w:rFonts w:eastAsia="Times New Roman"/>
                <w:sz w:val="12"/>
                <w:szCs w:val="20"/>
                <w:lang w:val="es-ES" w:eastAsia="en-US"/>
              </w:rPr>
              <w:t>n trimestralmente sus acciones para propiciar una vida libre de violencia para las mujeres.</w:t>
            </w:r>
          </w:p>
        </w:tc>
        <w:tc>
          <w:tcPr>
            <w:tcW w:w="843" w:type="pct"/>
            <w:tcBorders>
              <w:top w:val="nil"/>
              <w:left w:val="nil"/>
              <w:bottom w:val="nil"/>
              <w:right w:val="nil"/>
            </w:tcBorders>
            <w:shd w:val="clear" w:color="auto" w:fill="auto"/>
            <w:noWrap/>
            <w:vAlign w:val="center"/>
            <w:hideMark/>
          </w:tcPr>
          <w:p w14:paraId="2814E38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4468AA6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7E5ED3E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80</w:t>
            </w:r>
          </w:p>
        </w:tc>
      </w:tr>
      <w:tr w:rsidR="00F77FE5" w:rsidRPr="00F77FE5" w14:paraId="663AA55A" w14:textId="77777777" w:rsidTr="005A7CAD">
        <w:trPr>
          <w:trHeight w:val="300"/>
        </w:trPr>
        <w:tc>
          <w:tcPr>
            <w:tcW w:w="297" w:type="pct"/>
            <w:tcBorders>
              <w:top w:val="nil"/>
              <w:left w:val="nil"/>
              <w:bottom w:val="nil"/>
              <w:right w:val="nil"/>
            </w:tcBorders>
            <w:shd w:val="clear" w:color="auto" w:fill="auto"/>
            <w:noWrap/>
            <w:vAlign w:val="center"/>
            <w:hideMark/>
          </w:tcPr>
          <w:p w14:paraId="40D0D4E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04</w:t>
            </w:r>
          </w:p>
        </w:tc>
        <w:tc>
          <w:tcPr>
            <w:tcW w:w="497" w:type="pct"/>
            <w:tcBorders>
              <w:top w:val="nil"/>
              <w:left w:val="nil"/>
              <w:bottom w:val="nil"/>
              <w:right w:val="nil"/>
            </w:tcBorders>
            <w:shd w:val="clear" w:color="auto" w:fill="auto"/>
            <w:noWrap/>
            <w:vAlign w:val="center"/>
            <w:hideMark/>
          </w:tcPr>
          <w:p w14:paraId="268402E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CONAVIM</w:t>
            </w:r>
          </w:p>
        </w:tc>
        <w:tc>
          <w:tcPr>
            <w:tcW w:w="356" w:type="pct"/>
            <w:tcBorders>
              <w:top w:val="nil"/>
              <w:left w:val="nil"/>
              <w:bottom w:val="nil"/>
              <w:right w:val="nil"/>
            </w:tcBorders>
            <w:shd w:val="clear" w:color="auto" w:fill="auto"/>
            <w:noWrap/>
            <w:vAlign w:val="center"/>
            <w:hideMark/>
          </w:tcPr>
          <w:p w14:paraId="317003C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E015</w:t>
            </w:r>
          </w:p>
        </w:tc>
        <w:tc>
          <w:tcPr>
            <w:tcW w:w="924" w:type="pct"/>
            <w:tcBorders>
              <w:top w:val="nil"/>
              <w:left w:val="nil"/>
              <w:bottom w:val="nil"/>
              <w:right w:val="nil"/>
            </w:tcBorders>
            <w:shd w:val="clear" w:color="auto" w:fill="auto"/>
            <w:noWrap/>
            <w:vAlign w:val="center"/>
            <w:hideMark/>
          </w:tcPr>
          <w:p w14:paraId="314CC08E"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Promover la atención y prevención de la violencia contra las mujeres</w:t>
            </w:r>
          </w:p>
        </w:tc>
        <w:tc>
          <w:tcPr>
            <w:tcW w:w="1277" w:type="pct"/>
            <w:tcBorders>
              <w:top w:val="nil"/>
              <w:left w:val="nil"/>
              <w:bottom w:val="nil"/>
              <w:right w:val="nil"/>
            </w:tcBorders>
            <w:shd w:val="clear" w:color="auto" w:fill="auto"/>
            <w:noWrap/>
            <w:vAlign w:val="center"/>
            <w:hideMark/>
          </w:tcPr>
          <w:p w14:paraId="6883DF53"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Llevar a cabo convenios de colaboración con las dependencias y entidades que tengan programas con objetivos y población objetivo similares, con la finalidad de generar sinergias y no duplicar esfuerzos.</w:t>
            </w:r>
          </w:p>
        </w:tc>
        <w:tc>
          <w:tcPr>
            <w:tcW w:w="843" w:type="pct"/>
            <w:tcBorders>
              <w:top w:val="nil"/>
              <w:left w:val="nil"/>
              <w:bottom w:val="nil"/>
              <w:right w:val="nil"/>
            </w:tcBorders>
            <w:shd w:val="clear" w:color="auto" w:fill="auto"/>
            <w:noWrap/>
            <w:vAlign w:val="center"/>
            <w:hideMark/>
          </w:tcPr>
          <w:p w14:paraId="261B67E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046D6F8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755C050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80</w:t>
            </w:r>
          </w:p>
        </w:tc>
      </w:tr>
      <w:tr w:rsidR="00F77FE5" w:rsidRPr="00F77FE5" w14:paraId="0ABEB3D7" w14:textId="77777777" w:rsidTr="005A7CAD">
        <w:trPr>
          <w:trHeight w:val="300"/>
        </w:trPr>
        <w:tc>
          <w:tcPr>
            <w:tcW w:w="297" w:type="pct"/>
            <w:tcBorders>
              <w:top w:val="nil"/>
              <w:left w:val="nil"/>
              <w:bottom w:val="nil"/>
              <w:right w:val="nil"/>
            </w:tcBorders>
            <w:shd w:val="clear" w:color="auto" w:fill="auto"/>
            <w:noWrap/>
            <w:vAlign w:val="center"/>
            <w:hideMark/>
          </w:tcPr>
          <w:p w14:paraId="72E6619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04</w:t>
            </w:r>
          </w:p>
        </w:tc>
        <w:tc>
          <w:tcPr>
            <w:tcW w:w="497" w:type="pct"/>
            <w:tcBorders>
              <w:top w:val="nil"/>
              <w:left w:val="nil"/>
              <w:bottom w:val="nil"/>
              <w:right w:val="nil"/>
            </w:tcBorders>
            <w:shd w:val="clear" w:color="auto" w:fill="auto"/>
            <w:noWrap/>
            <w:vAlign w:val="center"/>
            <w:hideMark/>
          </w:tcPr>
          <w:p w14:paraId="0B3B777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CONAVIM</w:t>
            </w:r>
          </w:p>
        </w:tc>
        <w:tc>
          <w:tcPr>
            <w:tcW w:w="356" w:type="pct"/>
            <w:tcBorders>
              <w:top w:val="nil"/>
              <w:left w:val="nil"/>
              <w:bottom w:val="nil"/>
              <w:right w:val="nil"/>
            </w:tcBorders>
            <w:shd w:val="clear" w:color="auto" w:fill="auto"/>
            <w:noWrap/>
            <w:vAlign w:val="center"/>
            <w:hideMark/>
          </w:tcPr>
          <w:p w14:paraId="0361CE8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E015</w:t>
            </w:r>
          </w:p>
        </w:tc>
        <w:tc>
          <w:tcPr>
            <w:tcW w:w="924" w:type="pct"/>
            <w:tcBorders>
              <w:top w:val="nil"/>
              <w:left w:val="nil"/>
              <w:bottom w:val="nil"/>
              <w:right w:val="nil"/>
            </w:tcBorders>
            <w:shd w:val="clear" w:color="auto" w:fill="auto"/>
            <w:noWrap/>
            <w:vAlign w:val="center"/>
            <w:hideMark/>
          </w:tcPr>
          <w:p w14:paraId="5A3D6F94"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Promover la atención y prevención de la violencia contra las mujeres</w:t>
            </w:r>
          </w:p>
        </w:tc>
        <w:tc>
          <w:tcPr>
            <w:tcW w:w="1277" w:type="pct"/>
            <w:tcBorders>
              <w:top w:val="nil"/>
              <w:left w:val="nil"/>
              <w:bottom w:val="nil"/>
              <w:right w:val="nil"/>
            </w:tcBorders>
            <w:shd w:val="clear" w:color="auto" w:fill="auto"/>
            <w:noWrap/>
            <w:vAlign w:val="center"/>
            <w:hideMark/>
          </w:tcPr>
          <w:p w14:paraId="01EE6CBE"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Realizar la modificación del</w:t>
            </w:r>
            <w:r w:rsidR="006F4A52">
              <w:rPr>
                <w:rFonts w:eastAsia="Times New Roman"/>
                <w:sz w:val="12"/>
                <w:szCs w:val="20"/>
                <w:lang w:val="es-ES" w:eastAsia="en-US"/>
              </w:rPr>
              <w:t xml:space="preserve"> </w:t>
            </w:r>
            <w:r w:rsidRPr="00F77FE5">
              <w:rPr>
                <w:rFonts w:eastAsia="Times New Roman"/>
                <w:sz w:val="12"/>
                <w:szCs w:val="20"/>
                <w:lang w:val="es-ES" w:eastAsia="en-US"/>
              </w:rPr>
              <w:t xml:space="preserve">árbol de problemas de la MIR del </w:t>
            </w:r>
            <w:proofErr w:type="spellStart"/>
            <w:r w:rsidRPr="00F77FE5">
              <w:rPr>
                <w:rFonts w:eastAsia="Times New Roman"/>
                <w:sz w:val="12"/>
                <w:szCs w:val="20"/>
                <w:lang w:val="es-ES" w:eastAsia="en-US"/>
              </w:rPr>
              <w:t>Pp</w:t>
            </w:r>
            <w:proofErr w:type="spellEnd"/>
            <w:r w:rsidRPr="00F77FE5">
              <w:rPr>
                <w:rFonts w:eastAsia="Times New Roman"/>
                <w:sz w:val="12"/>
                <w:szCs w:val="20"/>
                <w:lang w:val="es-ES" w:eastAsia="en-US"/>
              </w:rPr>
              <w:t xml:space="preserve"> E015</w:t>
            </w:r>
          </w:p>
        </w:tc>
        <w:tc>
          <w:tcPr>
            <w:tcW w:w="843" w:type="pct"/>
            <w:tcBorders>
              <w:top w:val="nil"/>
              <w:left w:val="nil"/>
              <w:bottom w:val="nil"/>
              <w:right w:val="nil"/>
            </w:tcBorders>
            <w:shd w:val="clear" w:color="auto" w:fill="auto"/>
            <w:noWrap/>
            <w:vAlign w:val="center"/>
            <w:hideMark/>
          </w:tcPr>
          <w:p w14:paraId="32CE5EA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3213391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268300B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2E791166" w14:textId="77777777" w:rsidTr="005A7CAD">
        <w:trPr>
          <w:trHeight w:val="300"/>
        </w:trPr>
        <w:tc>
          <w:tcPr>
            <w:tcW w:w="297" w:type="pct"/>
            <w:tcBorders>
              <w:top w:val="nil"/>
              <w:left w:val="nil"/>
              <w:bottom w:val="nil"/>
              <w:right w:val="nil"/>
            </w:tcBorders>
            <w:shd w:val="clear" w:color="auto" w:fill="auto"/>
            <w:noWrap/>
            <w:vAlign w:val="center"/>
            <w:hideMark/>
          </w:tcPr>
          <w:p w14:paraId="5105E64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04</w:t>
            </w:r>
          </w:p>
        </w:tc>
        <w:tc>
          <w:tcPr>
            <w:tcW w:w="497" w:type="pct"/>
            <w:tcBorders>
              <w:top w:val="nil"/>
              <w:left w:val="nil"/>
              <w:bottom w:val="nil"/>
              <w:right w:val="nil"/>
            </w:tcBorders>
            <w:shd w:val="clear" w:color="auto" w:fill="auto"/>
            <w:noWrap/>
            <w:vAlign w:val="center"/>
            <w:hideMark/>
          </w:tcPr>
          <w:p w14:paraId="6A60A50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SEGOB</w:t>
            </w:r>
          </w:p>
        </w:tc>
        <w:tc>
          <w:tcPr>
            <w:tcW w:w="356" w:type="pct"/>
            <w:tcBorders>
              <w:top w:val="nil"/>
              <w:left w:val="nil"/>
              <w:bottom w:val="nil"/>
              <w:right w:val="nil"/>
            </w:tcBorders>
            <w:shd w:val="clear" w:color="auto" w:fill="auto"/>
            <w:noWrap/>
            <w:vAlign w:val="center"/>
            <w:hideMark/>
          </w:tcPr>
          <w:p w14:paraId="18A72EC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E012</w:t>
            </w:r>
          </w:p>
        </w:tc>
        <w:tc>
          <w:tcPr>
            <w:tcW w:w="924" w:type="pct"/>
            <w:tcBorders>
              <w:top w:val="nil"/>
              <w:left w:val="nil"/>
              <w:bottom w:val="nil"/>
              <w:right w:val="nil"/>
            </w:tcBorders>
            <w:shd w:val="clear" w:color="auto" w:fill="auto"/>
            <w:noWrap/>
            <w:vAlign w:val="center"/>
            <w:hideMark/>
          </w:tcPr>
          <w:p w14:paraId="60BAFF41"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Registro e Identificación de Población</w:t>
            </w:r>
          </w:p>
        </w:tc>
        <w:tc>
          <w:tcPr>
            <w:tcW w:w="1277" w:type="pct"/>
            <w:tcBorders>
              <w:top w:val="nil"/>
              <w:left w:val="nil"/>
              <w:bottom w:val="nil"/>
              <w:right w:val="nil"/>
            </w:tcBorders>
            <w:shd w:val="clear" w:color="auto" w:fill="auto"/>
            <w:noWrap/>
            <w:vAlign w:val="center"/>
            <w:hideMark/>
          </w:tcPr>
          <w:p w14:paraId="00DF54D5"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 xml:space="preserve">Elaboración del documento normativo. </w:t>
            </w:r>
            <w:r w:rsidRPr="00F77FE5">
              <w:rPr>
                <w:rFonts w:eastAsia="Times New Roman"/>
                <w:sz w:val="12"/>
                <w:szCs w:val="20"/>
                <w:lang w:val="es-ES" w:eastAsia="en-US"/>
              </w:rPr>
              <w:br/>
              <w:t xml:space="preserve">[En el que se integren los objetivos que </w:t>
            </w:r>
            <w:r w:rsidRPr="00F77FE5">
              <w:rPr>
                <w:rFonts w:eastAsia="Times New Roman"/>
                <w:sz w:val="12"/>
                <w:szCs w:val="20"/>
                <w:lang w:val="es-ES" w:eastAsia="en-US"/>
              </w:rPr>
              <w:lastRenderedPageBreak/>
              <w:t xml:space="preserve">persigue el </w:t>
            </w:r>
            <w:proofErr w:type="spellStart"/>
            <w:r w:rsidRPr="00F77FE5">
              <w:rPr>
                <w:rFonts w:eastAsia="Times New Roman"/>
                <w:sz w:val="12"/>
                <w:szCs w:val="20"/>
                <w:lang w:val="es-ES" w:eastAsia="en-US"/>
              </w:rPr>
              <w:t>Pp</w:t>
            </w:r>
            <w:proofErr w:type="spellEnd"/>
            <w:r w:rsidRPr="00F77FE5">
              <w:rPr>
                <w:rFonts w:eastAsia="Times New Roman"/>
                <w:sz w:val="12"/>
                <w:szCs w:val="20"/>
                <w:lang w:val="es-ES" w:eastAsia="en-US"/>
              </w:rPr>
              <w:t xml:space="preserve"> E012 vigente; se establezcan las características y plazos para revisión y actualización de la información y se precise y defina la población potencial y objetivo, así como documentar la cuantificación y la metodología para su determinación]. </w:t>
            </w:r>
            <w:r w:rsidRPr="00F77FE5">
              <w:rPr>
                <w:rFonts w:eastAsia="Times New Roman"/>
                <w:sz w:val="12"/>
                <w:szCs w:val="20"/>
                <w:vertAlign w:val="superscript"/>
                <w:lang w:val="es-ES" w:eastAsia="en-US"/>
              </w:rPr>
              <w:t>A_/</w:t>
            </w:r>
          </w:p>
        </w:tc>
        <w:tc>
          <w:tcPr>
            <w:tcW w:w="843" w:type="pct"/>
            <w:tcBorders>
              <w:top w:val="nil"/>
              <w:left w:val="nil"/>
              <w:bottom w:val="nil"/>
              <w:right w:val="nil"/>
            </w:tcBorders>
            <w:shd w:val="clear" w:color="auto" w:fill="auto"/>
            <w:noWrap/>
            <w:vAlign w:val="center"/>
            <w:hideMark/>
          </w:tcPr>
          <w:p w14:paraId="12C6184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lastRenderedPageBreak/>
              <w:t>Específico</w:t>
            </w:r>
          </w:p>
        </w:tc>
        <w:tc>
          <w:tcPr>
            <w:tcW w:w="366" w:type="pct"/>
            <w:tcBorders>
              <w:top w:val="nil"/>
              <w:left w:val="nil"/>
              <w:bottom w:val="nil"/>
              <w:right w:val="nil"/>
            </w:tcBorders>
            <w:shd w:val="clear" w:color="auto" w:fill="auto"/>
            <w:noWrap/>
            <w:vAlign w:val="center"/>
            <w:hideMark/>
          </w:tcPr>
          <w:p w14:paraId="549EAF7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66BE52B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89.67</w:t>
            </w:r>
          </w:p>
        </w:tc>
      </w:tr>
      <w:tr w:rsidR="00F77FE5" w:rsidRPr="00F77FE5" w14:paraId="72466FD9" w14:textId="77777777" w:rsidTr="005A7CAD">
        <w:trPr>
          <w:trHeight w:val="300"/>
        </w:trPr>
        <w:tc>
          <w:tcPr>
            <w:tcW w:w="297" w:type="pct"/>
            <w:tcBorders>
              <w:top w:val="nil"/>
              <w:left w:val="nil"/>
              <w:bottom w:val="nil"/>
              <w:right w:val="nil"/>
            </w:tcBorders>
            <w:shd w:val="clear" w:color="auto" w:fill="auto"/>
            <w:noWrap/>
            <w:vAlign w:val="center"/>
            <w:hideMark/>
          </w:tcPr>
          <w:p w14:paraId="759D4FB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04</w:t>
            </w:r>
          </w:p>
        </w:tc>
        <w:tc>
          <w:tcPr>
            <w:tcW w:w="497" w:type="pct"/>
            <w:tcBorders>
              <w:top w:val="nil"/>
              <w:left w:val="nil"/>
              <w:bottom w:val="nil"/>
              <w:right w:val="nil"/>
            </w:tcBorders>
            <w:shd w:val="clear" w:color="auto" w:fill="auto"/>
            <w:noWrap/>
            <w:vAlign w:val="center"/>
            <w:hideMark/>
          </w:tcPr>
          <w:p w14:paraId="2F09162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SEGOB</w:t>
            </w:r>
          </w:p>
        </w:tc>
        <w:tc>
          <w:tcPr>
            <w:tcW w:w="356" w:type="pct"/>
            <w:tcBorders>
              <w:top w:val="nil"/>
              <w:left w:val="nil"/>
              <w:bottom w:val="nil"/>
              <w:right w:val="nil"/>
            </w:tcBorders>
            <w:shd w:val="clear" w:color="auto" w:fill="auto"/>
            <w:noWrap/>
            <w:vAlign w:val="center"/>
            <w:hideMark/>
          </w:tcPr>
          <w:p w14:paraId="0AA284E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E012</w:t>
            </w:r>
          </w:p>
        </w:tc>
        <w:tc>
          <w:tcPr>
            <w:tcW w:w="924" w:type="pct"/>
            <w:tcBorders>
              <w:top w:val="nil"/>
              <w:left w:val="nil"/>
              <w:bottom w:val="nil"/>
              <w:right w:val="nil"/>
            </w:tcBorders>
            <w:shd w:val="clear" w:color="auto" w:fill="auto"/>
            <w:noWrap/>
            <w:vAlign w:val="center"/>
            <w:hideMark/>
          </w:tcPr>
          <w:p w14:paraId="17D112AC"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Registro e Identificación de Población</w:t>
            </w:r>
          </w:p>
        </w:tc>
        <w:tc>
          <w:tcPr>
            <w:tcW w:w="1277" w:type="pct"/>
            <w:tcBorders>
              <w:top w:val="nil"/>
              <w:left w:val="nil"/>
              <w:bottom w:val="nil"/>
              <w:right w:val="nil"/>
            </w:tcBorders>
            <w:shd w:val="clear" w:color="auto" w:fill="auto"/>
            <w:noWrap/>
            <w:vAlign w:val="center"/>
            <w:hideMark/>
          </w:tcPr>
          <w:p w14:paraId="4AC5FCEB"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 xml:space="preserve">Modificación del Diagnóstico del </w:t>
            </w:r>
            <w:proofErr w:type="spellStart"/>
            <w:r w:rsidRPr="00F77FE5">
              <w:rPr>
                <w:rFonts w:eastAsia="Times New Roman"/>
                <w:sz w:val="12"/>
                <w:szCs w:val="20"/>
                <w:lang w:val="es-ES" w:eastAsia="en-US"/>
              </w:rPr>
              <w:t>Pp</w:t>
            </w:r>
            <w:proofErr w:type="spellEnd"/>
            <w:r w:rsidRPr="00F77FE5">
              <w:rPr>
                <w:rFonts w:eastAsia="Times New Roman"/>
                <w:sz w:val="12"/>
                <w:szCs w:val="20"/>
                <w:lang w:val="es-ES" w:eastAsia="en-US"/>
              </w:rPr>
              <w:t xml:space="preserve"> E012.</w:t>
            </w:r>
          </w:p>
        </w:tc>
        <w:tc>
          <w:tcPr>
            <w:tcW w:w="843" w:type="pct"/>
            <w:tcBorders>
              <w:top w:val="nil"/>
              <w:left w:val="nil"/>
              <w:bottom w:val="nil"/>
              <w:right w:val="nil"/>
            </w:tcBorders>
            <w:shd w:val="clear" w:color="auto" w:fill="auto"/>
            <w:noWrap/>
            <w:vAlign w:val="center"/>
            <w:hideMark/>
          </w:tcPr>
          <w:p w14:paraId="2884923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00E9654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14E00C5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96</w:t>
            </w:r>
          </w:p>
        </w:tc>
      </w:tr>
      <w:tr w:rsidR="00F77FE5" w:rsidRPr="00F77FE5" w14:paraId="5F5E9AE2" w14:textId="77777777" w:rsidTr="005A7CAD">
        <w:trPr>
          <w:trHeight w:val="300"/>
        </w:trPr>
        <w:tc>
          <w:tcPr>
            <w:tcW w:w="297" w:type="pct"/>
            <w:tcBorders>
              <w:top w:val="nil"/>
              <w:left w:val="nil"/>
              <w:bottom w:val="nil"/>
              <w:right w:val="nil"/>
            </w:tcBorders>
            <w:shd w:val="clear" w:color="auto" w:fill="auto"/>
            <w:noWrap/>
            <w:vAlign w:val="center"/>
            <w:hideMark/>
          </w:tcPr>
          <w:p w14:paraId="133DC20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04</w:t>
            </w:r>
          </w:p>
        </w:tc>
        <w:tc>
          <w:tcPr>
            <w:tcW w:w="497" w:type="pct"/>
            <w:tcBorders>
              <w:top w:val="nil"/>
              <w:left w:val="nil"/>
              <w:bottom w:val="nil"/>
              <w:right w:val="nil"/>
            </w:tcBorders>
            <w:shd w:val="clear" w:color="auto" w:fill="auto"/>
            <w:noWrap/>
            <w:vAlign w:val="center"/>
            <w:hideMark/>
          </w:tcPr>
          <w:p w14:paraId="4349F8F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SEGOB</w:t>
            </w:r>
          </w:p>
        </w:tc>
        <w:tc>
          <w:tcPr>
            <w:tcW w:w="356" w:type="pct"/>
            <w:tcBorders>
              <w:top w:val="nil"/>
              <w:left w:val="nil"/>
              <w:bottom w:val="nil"/>
              <w:right w:val="nil"/>
            </w:tcBorders>
            <w:shd w:val="clear" w:color="auto" w:fill="auto"/>
            <w:noWrap/>
            <w:vAlign w:val="center"/>
            <w:hideMark/>
          </w:tcPr>
          <w:p w14:paraId="07DFD9F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E012</w:t>
            </w:r>
          </w:p>
        </w:tc>
        <w:tc>
          <w:tcPr>
            <w:tcW w:w="924" w:type="pct"/>
            <w:tcBorders>
              <w:top w:val="nil"/>
              <w:left w:val="nil"/>
              <w:bottom w:val="nil"/>
              <w:right w:val="nil"/>
            </w:tcBorders>
            <w:shd w:val="clear" w:color="auto" w:fill="auto"/>
            <w:noWrap/>
            <w:vAlign w:val="center"/>
            <w:hideMark/>
          </w:tcPr>
          <w:p w14:paraId="31B9BD36"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Registro e Identificación de Población</w:t>
            </w:r>
          </w:p>
        </w:tc>
        <w:tc>
          <w:tcPr>
            <w:tcW w:w="1277" w:type="pct"/>
            <w:tcBorders>
              <w:top w:val="nil"/>
              <w:left w:val="nil"/>
              <w:bottom w:val="nil"/>
              <w:right w:val="nil"/>
            </w:tcBorders>
            <w:shd w:val="clear" w:color="auto" w:fill="auto"/>
            <w:noWrap/>
            <w:vAlign w:val="center"/>
            <w:hideMark/>
          </w:tcPr>
          <w:p w14:paraId="3D9C8A59"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 xml:space="preserve">Reestructuración de la MIR del </w:t>
            </w:r>
            <w:proofErr w:type="spellStart"/>
            <w:r w:rsidRPr="00F77FE5">
              <w:rPr>
                <w:rFonts w:eastAsia="Times New Roman"/>
                <w:sz w:val="12"/>
                <w:szCs w:val="20"/>
                <w:lang w:val="es-ES" w:eastAsia="en-US"/>
              </w:rPr>
              <w:t>Pp</w:t>
            </w:r>
            <w:proofErr w:type="spellEnd"/>
            <w:r w:rsidRPr="00F77FE5">
              <w:rPr>
                <w:rFonts w:eastAsia="Times New Roman"/>
                <w:sz w:val="12"/>
                <w:szCs w:val="20"/>
                <w:lang w:val="es-ES" w:eastAsia="en-US"/>
              </w:rPr>
              <w:t xml:space="preserve"> E012.</w:t>
            </w:r>
          </w:p>
        </w:tc>
        <w:tc>
          <w:tcPr>
            <w:tcW w:w="843" w:type="pct"/>
            <w:tcBorders>
              <w:top w:val="nil"/>
              <w:left w:val="nil"/>
              <w:bottom w:val="nil"/>
              <w:right w:val="nil"/>
            </w:tcBorders>
            <w:shd w:val="clear" w:color="auto" w:fill="auto"/>
            <w:noWrap/>
            <w:vAlign w:val="center"/>
            <w:hideMark/>
          </w:tcPr>
          <w:p w14:paraId="397447F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3CFA453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683F4C4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23CFD8DD" w14:textId="77777777" w:rsidTr="005A7CAD">
        <w:trPr>
          <w:trHeight w:val="300"/>
        </w:trPr>
        <w:tc>
          <w:tcPr>
            <w:tcW w:w="297" w:type="pct"/>
            <w:tcBorders>
              <w:top w:val="nil"/>
              <w:left w:val="nil"/>
              <w:bottom w:val="nil"/>
              <w:right w:val="nil"/>
            </w:tcBorders>
            <w:shd w:val="clear" w:color="auto" w:fill="auto"/>
            <w:noWrap/>
            <w:vAlign w:val="center"/>
            <w:hideMark/>
          </w:tcPr>
          <w:p w14:paraId="4B68AE7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04</w:t>
            </w:r>
          </w:p>
        </w:tc>
        <w:tc>
          <w:tcPr>
            <w:tcW w:w="497" w:type="pct"/>
            <w:tcBorders>
              <w:top w:val="nil"/>
              <w:left w:val="nil"/>
              <w:bottom w:val="nil"/>
              <w:right w:val="nil"/>
            </w:tcBorders>
            <w:shd w:val="clear" w:color="auto" w:fill="auto"/>
            <w:noWrap/>
            <w:vAlign w:val="center"/>
            <w:hideMark/>
          </w:tcPr>
          <w:p w14:paraId="09F8CC7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SESNSP</w:t>
            </w:r>
          </w:p>
        </w:tc>
        <w:tc>
          <w:tcPr>
            <w:tcW w:w="356" w:type="pct"/>
            <w:tcBorders>
              <w:top w:val="nil"/>
              <w:left w:val="nil"/>
              <w:bottom w:val="nil"/>
              <w:right w:val="nil"/>
            </w:tcBorders>
            <w:shd w:val="clear" w:color="auto" w:fill="auto"/>
            <w:noWrap/>
            <w:vAlign w:val="center"/>
            <w:hideMark/>
          </w:tcPr>
          <w:p w14:paraId="28C8B98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U007</w:t>
            </w:r>
          </w:p>
        </w:tc>
        <w:tc>
          <w:tcPr>
            <w:tcW w:w="924" w:type="pct"/>
            <w:tcBorders>
              <w:top w:val="nil"/>
              <w:left w:val="nil"/>
              <w:bottom w:val="nil"/>
              <w:right w:val="nil"/>
            </w:tcBorders>
            <w:shd w:val="clear" w:color="auto" w:fill="auto"/>
            <w:noWrap/>
            <w:vAlign w:val="center"/>
            <w:hideMark/>
          </w:tcPr>
          <w:p w14:paraId="3782A179"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Subsidios en materia de seguridad pública</w:t>
            </w:r>
          </w:p>
        </w:tc>
        <w:tc>
          <w:tcPr>
            <w:tcW w:w="1277" w:type="pct"/>
            <w:tcBorders>
              <w:top w:val="nil"/>
              <w:left w:val="nil"/>
              <w:bottom w:val="nil"/>
              <w:right w:val="nil"/>
            </w:tcBorders>
            <w:shd w:val="clear" w:color="auto" w:fill="auto"/>
            <w:noWrap/>
            <w:vAlign w:val="center"/>
            <w:hideMark/>
          </w:tcPr>
          <w:p w14:paraId="29797D98"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Actualizar el diagnóstico del FORTASEG a efecto de precisar la</w:t>
            </w:r>
            <w:r w:rsidR="006F4A52">
              <w:rPr>
                <w:rFonts w:eastAsia="Times New Roman"/>
                <w:sz w:val="12"/>
                <w:szCs w:val="20"/>
                <w:lang w:val="es-ES" w:eastAsia="en-US"/>
              </w:rPr>
              <w:t xml:space="preserve"> </w:t>
            </w:r>
            <w:r w:rsidRPr="00F77FE5">
              <w:rPr>
                <w:rFonts w:eastAsia="Times New Roman"/>
                <w:sz w:val="12"/>
                <w:szCs w:val="20"/>
                <w:lang w:val="es-ES" w:eastAsia="en-US"/>
              </w:rPr>
              <w:t>población potencial.</w:t>
            </w:r>
          </w:p>
        </w:tc>
        <w:tc>
          <w:tcPr>
            <w:tcW w:w="843" w:type="pct"/>
            <w:tcBorders>
              <w:top w:val="nil"/>
              <w:left w:val="nil"/>
              <w:bottom w:val="nil"/>
              <w:right w:val="nil"/>
            </w:tcBorders>
            <w:shd w:val="clear" w:color="auto" w:fill="auto"/>
            <w:noWrap/>
            <w:vAlign w:val="center"/>
            <w:hideMark/>
          </w:tcPr>
          <w:p w14:paraId="34D3F38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42317A0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7F24048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5E213FA2" w14:textId="77777777" w:rsidTr="005A7CAD">
        <w:trPr>
          <w:trHeight w:val="300"/>
        </w:trPr>
        <w:tc>
          <w:tcPr>
            <w:tcW w:w="297" w:type="pct"/>
            <w:tcBorders>
              <w:top w:val="nil"/>
              <w:left w:val="nil"/>
              <w:bottom w:val="nil"/>
              <w:right w:val="nil"/>
            </w:tcBorders>
            <w:shd w:val="clear" w:color="auto" w:fill="auto"/>
            <w:noWrap/>
            <w:vAlign w:val="center"/>
            <w:hideMark/>
          </w:tcPr>
          <w:p w14:paraId="77BF53F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04</w:t>
            </w:r>
          </w:p>
        </w:tc>
        <w:tc>
          <w:tcPr>
            <w:tcW w:w="497" w:type="pct"/>
            <w:tcBorders>
              <w:top w:val="nil"/>
              <w:left w:val="nil"/>
              <w:bottom w:val="nil"/>
              <w:right w:val="nil"/>
            </w:tcBorders>
            <w:shd w:val="clear" w:color="auto" w:fill="auto"/>
            <w:noWrap/>
            <w:vAlign w:val="center"/>
            <w:hideMark/>
          </w:tcPr>
          <w:p w14:paraId="02047DE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SESNSP</w:t>
            </w:r>
          </w:p>
        </w:tc>
        <w:tc>
          <w:tcPr>
            <w:tcW w:w="356" w:type="pct"/>
            <w:tcBorders>
              <w:top w:val="nil"/>
              <w:left w:val="nil"/>
              <w:bottom w:val="nil"/>
              <w:right w:val="nil"/>
            </w:tcBorders>
            <w:shd w:val="clear" w:color="auto" w:fill="auto"/>
            <w:noWrap/>
            <w:vAlign w:val="center"/>
            <w:hideMark/>
          </w:tcPr>
          <w:p w14:paraId="015FAF4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U007</w:t>
            </w:r>
          </w:p>
        </w:tc>
        <w:tc>
          <w:tcPr>
            <w:tcW w:w="924" w:type="pct"/>
            <w:tcBorders>
              <w:top w:val="nil"/>
              <w:left w:val="nil"/>
              <w:bottom w:val="nil"/>
              <w:right w:val="nil"/>
            </w:tcBorders>
            <w:shd w:val="clear" w:color="auto" w:fill="auto"/>
            <w:noWrap/>
            <w:vAlign w:val="center"/>
            <w:hideMark/>
          </w:tcPr>
          <w:p w14:paraId="4ED35FBA"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Subsidios en materia de seguridad pública</w:t>
            </w:r>
          </w:p>
        </w:tc>
        <w:tc>
          <w:tcPr>
            <w:tcW w:w="1277" w:type="pct"/>
            <w:tcBorders>
              <w:top w:val="nil"/>
              <w:left w:val="nil"/>
              <w:bottom w:val="nil"/>
              <w:right w:val="nil"/>
            </w:tcBorders>
            <w:shd w:val="clear" w:color="auto" w:fill="auto"/>
            <w:noWrap/>
            <w:vAlign w:val="center"/>
            <w:hideMark/>
          </w:tcPr>
          <w:p w14:paraId="1E0C50DC"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Es necesario detallar los procedimientos que ya se siguen para la puesta en marcha de los mecanismos de seguimiento en un manual que los documente y contribuya a su estandarización.</w:t>
            </w:r>
            <w:r w:rsidRPr="00F77FE5">
              <w:rPr>
                <w:rFonts w:eastAsia="Times New Roman"/>
                <w:sz w:val="12"/>
                <w:szCs w:val="20"/>
                <w:lang w:val="es-ES" w:eastAsia="en-US"/>
              </w:rPr>
              <w:br/>
            </w:r>
            <w:r w:rsidRPr="00F77FE5">
              <w:rPr>
                <w:rFonts w:eastAsia="Times New Roman"/>
                <w:sz w:val="12"/>
                <w:szCs w:val="20"/>
                <w:lang w:val="es-ES" w:eastAsia="en-US"/>
              </w:rPr>
              <w:br/>
              <w:t xml:space="preserve">Se sugiere reforzar lo establecido en los Lineamientos </w:t>
            </w:r>
            <w:r w:rsidRPr="006A257E">
              <w:rPr>
                <w:rFonts w:eastAsia="Times New Roman"/>
                <w:sz w:val="12"/>
                <w:szCs w:val="20"/>
                <w:lang w:val="es-ES" w:eastAsia="en-US"/>
              </w:rPr>
              <w:t>SPA</w:t>
            </w:r>
            <w:r w:rsidRPr="00F77FE5">
              <w:rPr>
                <w:rFonts w:eastAsia="Times New Roman"/>
                <w:sz w:val="12"/>
                <w:szCs w:val="20"/>
                <w:lang w:val="es-ES" w:eastAsia="en-US"/>
              </w:rPr>
              <w:t xml:space="preserve"> sobre todos los procedimientos que se llevan a cabo como parte de la puesta en marcha del Programa con un manual donde se detallen sus características y pasos a seguir en los diferentes escenarios donde </w:t>
            </w:r>
            <w:r w:rsidR="006A257E">
              <w:rPr>
                <w:rFonts w:eastAsia="Times New Roman"/>
                <w:sz w:val="12"/>
                <w:szCs w:val="20"/>
                <w:lang w:val="es-ES" w:eastAsia="en-US"/>
              </w:rPr>
              <w:t>é</w:t>
            </w:r>
            <w:r w:rsidRPr="00F77FE5">
              <w:rPr>
                <w:rFonts w:eastAsia="Times New Roman"/>
                <w:sz w:val="12"/>
                <w:szCs w:val="20"/>
                <w:lang w:val="es-ES" w:eastAsia="en-US"/>
              </w:rPr>
              <w:t xml:space="preserve">stos puedan desarrollarse. </w:t>
            </w:r>
            <w:r w:rsidRPr="00F77FE5">
              <w:rPr>
                <w:rFonts w:eastAsia="Times New Roman"/>
                <w:sz w:val="12"/>
                <w:szCs w:val="20"/>
                <w:lang w:val="es-ES" w:eastAsia="en-US"/>
              </w:rPr>
              <w:br/>
            </w:r>
            <w:r w:rsidRPr="00F77FE5">
              <w:rPr>
                <w:rFonts w:eastAsia="Times New Roman"/>
                <w:sz w:val="12"/>
                <w:szCs w:val="20"/>
                <w:lang w:val="es-ES" w:eastAsia="en-US"/>
              </w:rPr>
              <w:br/>
              <w:t xml:space="preserve">1) Darle continuidad a la Encuesta, sustentando su aplicación en algún documento normativo o de operación del Programa. </w:t>
            </w:r>
            <w:r w:rsidRPr="00F77FE5">
              <w:rPr>
                <w:rFonts w:eastAsia="Times New Roman"/>
                <w:sz w:val="12"/>
                <w:szCs w:val="20"/>
                <w:lang w:val="es-ES" w:eastAsia="en-US"/>
              </w:rPr>
              <w:br/>
            </w:r>
            <w:r w:rsidRPr="00F77FE5">
              <w:rPr>
                <w:rFonts w:eastAsia="Times New Roman"/>
                <w:sz w:val="12"/>
                <w:szCs w:val="20"/>
                <w:lang w:val="es-ES" w:eastAsia="en-US"/>
              </w:rPr>
              <w:br/>
              <w:t>2) Formular una estrategia de trabajo para que, con base en las áreas de oportunidad detectadas mediante este instrumento, puedan generarse acciones de mejora a los procedimientos de operación del Programa. Esta estrategia debe incluir plazos, responsables, cambios a poner en marcha,</w:t>
            </w:r>
            <w:r w:rsidR="006F4A52">
              <w:rPr>
                <w:rFonts w:eastAsia="Times New Roman"/>
                <w:sz w:val="12"/>
                <w:szCs w:val="20"/>
                <w:lang w:val="es-ES" w:eastAsia="en-US"/>
              </w:rPr>
              <w:t xml:space="preserve"> </w:t>
            </w:r>
            <w:r w:rsidRPr="00F77FE5">
              <w:rPr>
                <w:rFonts w:eastAsia="Times New Roman"/>
                <w:sz w:val="12"/>
                <w:szCs w:val="20"/>
                <w:lang w:val="es-ES" w:eastAsia="en-US"/>
              </w:rPr>
              <w:t>breve descripción de la mejora esperada, etcétera.</w:t>
            </w:r>
          </w:p>
        </w:tc>
        <w:tc>
          <w:tcPr>
            <w:tcW w:w="843" w:type="pct"/>
            <w:tcBorders>
              <w:top w:val="nil"/>
              <w:left w:val="nil"/>
              <w:bottom w:val="nil"/>
              <w:right w:val="nil"/>
            </w:tcBorders>
            <w:shd w:val="clear" w:color="auto" w:fill="auto"/>
            <w:noWrap/>
            <w:vAlign w:val="center"/>
            <w:hideMark/>
          </w:tcPr>
          <w:p w14:paraId="5986DD0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25DAAFA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5191B6D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25DC87B7" w14:textId="77777777" w:rsidTr="005A7CAD">
        <w:trPr>
          <w:trHeight w:val="300"/>
        </w:trPr>
        <w:tc>
          <w:tcPr>
            <w:tcW w:w="297" w:type="pct"/>
            <w:tcBorders>
              <w:top w:val="nil"/>
              <w:left w:val="nil"/>
              <w:bottom w:val="nil"/>
              <w:right w:val="nil"/>
            </w:tcBorders>
            <w:shd w:val="clear" w:color="auto" w:fill="auto"/>
            <w:noWrap/>
            <w:vAlign w:val="center"/>
            <w:hideMark/>
          </w:tcPr>
          <w:p w14:paraId="3C9313A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7165B36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65A13A8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S221</w:t>
            </w:r>
          </w:p>
        </w:tc>
        <w:tc>
          <w:tcPr>
            <w:tcW w:w="924" w:type="pct"/>
            <w:tcBorders>
              <w:top w:val="nil"/>
              <w:left w:val="nil"/>
              <w:bottom w:val="nil"/>
              <w:right w:val="nil"/>
            </w:tcBorders>
            <w:shd w:val="clear" w:color="auto" w:fill="auto"/>
            <w:noWrap/>
            <w:vAlign w:val="center"/>
            <w:hideMark/>
          </w:tcPr>
          <w:p w14:paraId="75505165" w14:textId="77777777" w:rsidR="00F77FE5" w:rsidRPr="00266A9F" w:rsidRDefault="00F77FE5" w:rsidP="00F77FE5">
            <w:pPr>
              <w:spacing w:before="20" w:after="0"/>
              <w:rPr>
                <w:rFonts w:eastAsia="Times New Roman"/>
                <w:sz w:val="12"/>
                <w:szCs w:val="20"/>
                <w:lang w:val="es-ES" w:eastAsia="en-US"/>
              </w:rPr>
            </w:pPr>
            <w:r w:rsidRPr="00266A9F">
              <w:rPr>
                <w:rFonts w:eastAsia="Times New Roman"/>
                <w:sz w:val="12"/>
                <w:szCs w:val="20"/>
                <w:lang w:val="es-ES" w:eastAsia="en-US"/>
              </w:rPr>
              <w:t>Escuelas de Tiempo Completo</w:t>
            </w:r>
          </w:p>
        </w:tc>
        <w:tc>
          <w:tcPr>
            <w:tcW w:w="1277" w:type="pct"/>
            <w:tcBorders>
              <w:top w:val="nil"/>
              <w:left w:val="nil"/>
              <w:bottom w:val="nil"/>
              <w:right w:val="nil"/>
            </w:tcBorders>
            <w:shd w:val="clear" w:color="auto" w:fill="auto"/>
            <w:noWrap/>
            <w:vAlign w:val="center"/>
            <w:hideMark/>
          </w:tcPr>
          <w:p w14:paraId="254F7A8B" w14:textId="77777777" w:rsidR="00F77FE5" w:rsidRPr="00266A9F" w:rsidRDefault="00F77FE5" w:rsidP="00F77FE5">
            <w:pPr>
              <w:spacing w:before="20" w:after="0"/>
              <w:jc w:val="both"/>
              <w:rPr>
                <w:rFonts w:eastAsia="Times New Roman"/>
                <w:sz w:val="12"/>
                <w:szCs w:val="20"/>
                <w:lang w:val="es-ES" w:eastAsia="en-US"/>
              </w:rPr>
            </w:pPr>
            <w:r w:rsidRPr="00266A9F">
              <w:rPr>
                <w:rFonts w:eastAsia="Times New Roman"/>
                <w:sz w:val="12"/>
                <w:szCs w:val="20"/>
                <w:lang w:val="es-ES" w:eastAsia="en-US"/>
              </w:rPr>
              <w:t>A nivel propósito, la meta establecida del indicador está pronto de alcanzarse, siendo una prioridad señalada en las ROP, el 100% debería implementarlo pero la meta del 70% es conservadora. Su metodología no es clara, ni está explícita en el documento de observación, tampoco, menciona los criterios para la determinación de la muestra. Es confuso que el instrumento sea la estrategia para asegurar el objetivo y a la vez sustente el indicador.</w:t>
            </w:r>
          </w:p>
        </w:tc>
        <w:tc>
          <w:tcPr>
            <w:tcW w:w="843" w:type="pct"/>
            <w:tcBorders>
              <w:top w:val="nil"/>
              <w:left w:val="nil"/>
              <w:bottom w:val="nil"/>
              <w:right w:val="nil"/>
            </w:tcBorders>
            <w:shd w:val="clear" w:color="auto" w:fill="auto"/>
            <w:noWrap/>
            <w:vAlign w:val="center"/>
            <w:hideMark/>
          </w:tcPr>
          <w:p w14:paraId="751CDAD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6F05759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3F7C7D3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62C966F3" w14:textId="77777777" w:rsidTr="005A7CAD">
        <w:trPr>
          <w:trHeight w:val="300"/>
        </w:trPr>
        <w:tc>
          <w:tcPr>
            <w:tcW w:w="297" w:type="pct"/>
            <w:tcBorders>
              <w:top w:val="nil"/>
              <w:left w:val="nil"/>
              <w:bottom w:val="nil"/>
              <w:right w:val="nil"/>
            </w:tcBorders>
            <w:shd w:val="clear" w:color="auto" w:fill="auto"/>
            <w:noWrap/>
            <w:vAlign w:val="center"/>
            <w:hideMark/>
          </w:tcPr>
          <w:p w14:paraId="184F3E1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330CC9B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0CA2A25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S221</w:t>
            </w:r>
          </w:p>
        </w:tc>
        <w:tc>
          <w:tcPr>
            <w:tcW w:w="924" w:type="pct"/>
            <w:tcBorders>
              <w:top w:val="nil"/>
              <w:left w:val="nil"/>
              <w:bottom w:val="nil"/>
              <w:right w:val="nil"/>
            </w:tcBorders>
            <w:shd w:val="clear" w:color="auto" w:fill="auto"/>
            <w:noWrap/>
            <w:vAlign w:val="center"/>
            <w:hideMark/>
          </w:tcPr>
          <w:p w14:paraId="563B5E17"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Escuelas de Tiempo Completo</w:t>
            </w:r>
          </w:p>
        </w:tc>
        <w:tc>
          <w:tcPr>
            <w:tcW w:w="1277" w:type="pct"/>
            <w:tcBorders>
              <w:top w:val="nil"/>
              <w:left w:val="nil"/>
              <w:bottom w:val="nil"/>
              <w:right w:val="nil"/>
            </w:tcBorders>
            <w:shd w:val="clear" w:color="auto" w:fill="auto"/>
            <w:noWrap/>
            <w:vAlign w:val="center"/>
            <w:hideMark/>
          </w:tcPr>
          <w:p w14:paraId="3E957AD0"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Las modificaciones derivadas de la nueva Estructura Programática 2016 pueden generar mayores problemas para definir indicadores que reflejen el impacto del Programa y su operación.</w:t>
            </w:r>
          </w:p>
        </w:tc>
        <w:tc>
          <w:tcPr>
            <w:tcW w:w="843" w:type="pct"/>
            <w:tcBorders>
              <w:top w:val="nil"/>
              <w:left w:val="nil"/>
              <w:bottom w:val="nil"/>
              <w:right w:val="nil"/>
            </w:tcBorders>
            <w:shd w:val="clear" w:color="auto" w:fill="auto"/>
            <w:noWrap/>
            <w:vAlign w:val="center"/>
            <w:hideMark/>
          </w:tcPr>
          <w:p w14:paraId="07954AF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0569B19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42CD8DE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1BEEC1DD" w14:textId="77777777" w:rsidTr="005A7CAD">
        <w:trPr>
          <w:trHeight w:val="300"/>
        </w:trPr>
        <w:tc>
          <w:tcPr>
            <w:tcW w:w="297" w:type="pct"/>
            <w:tcBorders>
              <w:top w:val="nil"/>
              <w:left w:val="nil"/>
              <w:bottom w:val="nil"/>
              <w:right w:val="nil"/>
            </w:tcBorders>
            <w:shd w:val="clear" w:color="auto" w:fill="auto"/>
            <w:noWrap/>
            <w:vAlign w:val="center"/>
            <w:hideMark/>
          </w:tcPr>
          <w:p w14:paraId="637F738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2B8020E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6D7AA7A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S244</w:t>
            </w:r>
          </w:p>
        </w:tc>
        <w:tc>
          <w:tcPr>
            <w:tcW w:w="924" w:type="pct"/>
            <w:tcBorders>
              <w:top w:val="nil"/>
              <w:left w:val="nil"/>
              <w:bottom w:val="nil"/>
              <w:right w:val="nil"/>
            </w:tcBorders>
            <w:shd w:val="clear" w:color="auto" w:fill="auto"/>
            <w:noWrap/>
            <w:vAlign w:val="center"/>
            <w:hideMark/>
          </w:tcPr>
          <w:p w14:paraId="157F009F"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para la Inclusión y la Equidad Educativa</w:t>
            </w:r>
          </w:p>
        </w:tc>
        <w:tc>
          <w:tcPr>
            <w:tcW w:w="1277" w:type="pct"/>
            <w:tcBorders>
              <w:top w:val="nil"/>
              <w:left w:val="nil"/>
              <w:bottom w:val="nil"/>
              <w:right w:val="nil"/>
            </w:tcBorders>
            <w:shd w:val="clear" w:color="auto" w:fill="auto"/>
            <w:noWrap/>
            <w:vAlign w:val="center"/>
            <w:hideMark/>
          </w:tcPr>
          <w:p w14:paraId="4447A1E9"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El resumen a nivel del propósito no expresa claramente el cambio esperado en la población que beneficia el programa, lo cual, es una limitante para establecer indicadores pertinentes y relevantes y conocer si se está atendiendo la problemática que se busca solventar o mitigar con los apoyos que entrega el programa.</w:t>
            </w:r>
            <w:r w:rsidR="006F4A52">
              <w:rPr>
                <w:rFonts w:eastAsia="Times New Roman"/>
                <w:sz w:val="12"/>
                <w:szCs w:val="20"/>
                <w:lang w:val="es-ES" w:eastAsia="en-US"/>
              </w:rPr>
              <w:t xml:space="preserve"> </w:t>
            </w:r>
            <w:r w:rsidRPr="00F77FE5">
              <w:rPr>
                <w:rFonts w:eastAsia="Times New Roman"/>
                <w:sz w:val="12"/>
                <w:szCs w:val="20"/>
                <w:lang w:val="es-ES" w:eastAsia="en-US"/>
              </w:rPr>
              <w:t>Dado los diferentes propósitos, operación y alcances en relación a la población que busca atender el programa, es necesario consultar a SHCP la posibilidad de plantear de manera diferenciada la MIR para guardar consistencia con la metodología de marco lógico, una rendición de cuentas más efectiva y pertinencia de las intervenciones de estos niveles educativos.</w:t>
            </w:r>
          </w:p>
        </w:tc>
        <w:tc>
          <w:tcPr>
            <w:tcW w:w="843" w:type="pct"/>
            <w:tcBorders>
              <w:top w:val="nil"/>
              <w:left w:val="nil"/>
              <w:bottom w:val="nil"/>
              <w:right w:val="nil"/>
            </w:tcBorders>
            <w:shd w:val="clear" w:color="auto" w:fill="auto"/>
            <w:noWrap/>
            <w:vAlign w:val="center"/>
            <w:hideMark/>
          </w:tcPr>
          <w:p w14:paraId="0B1B52C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Institucional</w:t>
            </w:r>
          </w:p>
        </w:tc>
        <w:tc>
          <w:tcPr>
            <w:tcW w:w="366" w:type="pct"/>
            <w:tcBorders>
              <w:top w:val="nil"/>
              <w:left w:val="nil"/>
              <w:bottom w:val="nil"/>
              <w:right w:val="nil"/>
            </w:tcBorders>
            <w:shd w:val="clear" w:color="auto" w:fill="auto"/>
            <w:noWrap/>
            <w:vAlign w:val="center"/>
            <w:hideMark/>
          </w:tcPr>
          <w:p w14:paraId="324405D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76A10FF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620B337D" w14:textId="77777777" w:rsidTr="005A7CAD">
        <w:trPr>
          <w:trHeight w:val="300"/>
        </w:trPr>
        <w:tc>
          <w:tcPr>
            <w:tcW w:w="297" w:type="pct"/>
            <w:tcBorders>
              <w:top w:val="nil"/>
              <w:left w:val="nil"/>
              <w:bottom w:val="nil"/>
              <w:right w:val="nil"/>
            </w:tcBorders>
            <w:shd w:val="clear" w:color="auto" w:fill="auto"/>
            <w:noWrap/>
            <w:vAlign w:val="center"/>
            <w:hideMark/>
          </w:tcPr>
          <w:p w14:paraId="318FFF3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lastRenderedPageBreak/>
              <w:t>11</w:t>
            </w:r>
          </w:p>
        </w:tc>
        <w:tc>
          <w:tcPr>
            <w:tcW w:w="497" w:type="pct"/>
            <w:tcBorders>
              <w:top w:val="nil"/>
              <w:left w:val="nil"/>
              <w:bottom w:val="nil"/>
              <w:right w:val="nil"/>
            </w:tcBorders>
            <w:shd w:val="clear" w:color="auto" w:fill="auto"/>
            <w:noWrap/>
            <w:vAlign w:val="center"/>
            <w:hideMark/>
          </w:tcPr>
          <w:p w14:paraId="7C3FE40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3A1CFAE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S244</w:t>
            </w:r>
          </w:p>
        </w:tc>
        <w:tc>
          <w:tcPr>
            <w:tcW w:w="924" w:type="pct"/>
            <w:tcBorders>
              <w:top w:val="nil"/>
              <w:left w:val="nil"/>
              <w:bottom w:val="nil"/>
              <w:right w:val="nil"/>
            </w:tcBorders>
            <w:shd w:val="clear" w:color="auto" w:fill="auto"/>
            <w:noWrap/>
            <w:vAlign w:val="center"/>
            <w:hideMark/>
          </w:tcPr>
          <w:p w14:paraId="04D32A19"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para la Inclusión y la Equidad Educativa</w:t>
            </w:r>
          </w:p>
        </w:tc>
        <w:tc>
          <w:tcPr>
            <w:tcW w:w="1277" w:type="pct"/>
            <w:tcBorders>
              <w:top w:val="nil"/>
              <w:left w:val="nil"/>
              <w:bottom w:val="nil"/>
              <w:right w:val="nil"/>
            </w:tcBorders>
            <w:shd w:val="clear" w:color="auto" w:fill="auto"/>
            <w:noWrap/>
            <w:vAlign w:val="center"/>
            <w:hideMark/>
          </w:tcPr>
          <w:p w14:paraId="3402A5F3"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 xml:space="preserve">Si bien se suman las poblaciones atendidas para informar en la </w:t>
            </w:r>
            <w:proofErr w:type="spellStart"/>
            <w:r w:rsidRPr="00F77FE5">
              <w:rPr>
                <w:rFonts w:eastAsia="Times New Roman"/>
                <w:sz w:val="12"/>
                <w:szCs w:val="20"/>
                <w:lang w:val="es-ES" w:eastAsia="en-US"/>
              </w:rPr>
              <w:t>FMyE</w:t>
            </w:r>
            <w:proofErr w:type="spellEnd"/>
            <w:r w:rsidRPr="00F77FE5">
              <w:rPr>
                <w:rFonts w:eastAsia="Times New Roman"/>
                <w:sz w:val="12"/>
                <w:szCs w:val="20"/>
                <w:lang w:val="es-ES" w:eastAsia="en-US"/>
              </w:rPr>
              <w:t xml:space="preserve"> puede resultar poco pertinente dada las características de cada población y los apoyos que entrega, cuando se revisan por nivel educativo se observa que persiste inexactitud en la cuantificación de las poblaciones a nivel de Educación Media Superior, para Educación básica hasta el ciclo escolar 2015-2016 se incluye información por Escuelas. En cuanto a Educación Superior podría revisarse para alcanzar mayor precisión, por lo cual, aún no es clara la estrategia ni la evolución de la cobertura del programa en general.</w:t>
            </w:r>
          </w:p>
        </w:tc>
        <w:tc>
          <w:tcPr>
            <w:tcW w:w="843" w:type="pct"/>
            <w:tcBorders>
              <w:top w:val="nil"/>
              <w:left w:val="nil"/>
              <w:bottom w:val="nil"/>
              <w:right w:val="nil"/>
            </w:tcBorders>
            <w:shd w:val="clear" w:color="auto" w:fill="auto"/>
            <w:noWrap/>
            <w:vAlign w:val="center"/>
            <w:hideMark/>
          </w:tcPr>
          <w:p w14:paraId="64A51CD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2D503B7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7A0662D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54D54C56" w14:textId="77777777" w:rsidTr="005A7CAD">
        <w:trPr>
          <w:trHeight w:val="300"/>
        </w:trPr>
        <w:tc>
          <w:tcPr>
            <w:tcW w:w="297" w:type="pct"/>
            <w:tcBorders>
              <w:top w:val="nil"/>
              <w:left w:val="nil"/>
              <w:bottom w:val="nil"/>
              <w:right w:val="nil"/>
            </w:tcBorders>
            <w:shd w:val="clear" w:color="auto" w:fill="auto"/>
            <w:noWrap/>
            <w:vAlign w:val="center"/>
            <w:hideMark/>
          </w:tcPr>
          <w:p w14:paraId="62C32AA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74477C1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7570662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S247</w:t>
            </w:r>
          </w:p>
        </w:tc>
        <w:tc>
          <w:tcPr>
            <w:tcW w:w="924" w:type="pct"/>
            <w:tcBorders>
              <w:top w:val="nil"/>
              <w:left w:val="nil"/>
              <w:bottom w:val="nil"/>
              <w:right w:val="nil"/>
            </w:tcBorders>
            <w:shd w:val="clear" w:color="auto" w:fill="auto"/>
            <w:noWrap/>
            <w:vAlign w:val="center"/>
            <w:hideMark/>
          </w:tcPr>
          <w:p w14:paraId="740AEFDA"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para el Desarrollo Profesional Docente</w:t>
            </w:r>
          </w:p>
        </w:tc>
        <w:tc>
          <w:tcPr>
            <w:tcW w:w="1277" w:type="pct"/>
            <w:tcBorders>
              <w:top w:val="nil"/>
              <w:left w:val="nil"/>
              <w:bottom w:val="nil"/>
              <w:right w:val="nil"/>
            </w:tcBorders>
            <w:shd w:val="clear" w:color="auto" w:fill="auto"/>
            <w:noWrap/>
            <w:vAlign w:val="center"/>
            <w:hideMark/>
          </w:tcPr>
          <w:p w14:paraId="62A085BD"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Es importante que el programa realice un esfuerzo por mejorar el diseño de los indicadores de la MIR, los correspondientes a Educación Básica.</w:t>
            </w:r>
          </w:p>
        </w:tc>
        <w:tc>
          <w:tcPr>
            <w:tcW w:w="843" w:type="pct"/>
            <w:tcBorders>
              <w:top w:val="nil"/>
              <w:left w:val="nil"/>
              <w:bottom w:val="nil"/>
              <w:right w:val="nil"/>
            </w:tcBorders>
            <w:shd w:val="clear" w:color="auto" w:fill="auto"/>
            <w:noWrap/>
            <w:vAlign w:val="center"/>
            <w:hideMark/>
          </w:tcPr>
          <w:p w14:paraId="4337942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463A821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4D9E815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6CA637EE" w14:textId="77777777" w:rsidTr="005A7CAD">
        <w:trPr>
          <w:trHeight w:val="300"/>
        </w:trPr>
        <w:tc>
          <w:tcPr>
            <w:tcW w:w="297" w:type="pct"/>
            <w:tcBorders>
              <w:top w:val="nil"/>
              <w:left w:val="nil"/>
              <w:bottom w:val="nil"/>
              <w:right w:val="nil"/>
            </w:tcBorders>
            <w:shd w:val="clear" w:color="auto" w:fill="auto"/>
            <w:noWrap/>
            <w:vAlign w:val="center"/>
            <w:hideMark/>
          </w:tcPr>
          <w:p w14:paraId="15DE55A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0D88124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3830F86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S247</w:t>
            </w:r>
          </w:p>
        </w:tc>
        <w:tc>
          <w:tcPr>
            <w:tcW w:w="924" w:type="pct"/>
            <w:tcBorders>
              <w:top w:val="nil"/>
              <w:left w:val="nil"/>
              <w:bottom w:val="nil"/>
              <w:right w:val="nil"/>
            </w:tcBorders>
            <w:shd w:val="clear" w:color="auto" w:fill="auto"/>
            <w:noWrap/>
            <w:vAlign w:val="center"/>
            <w:hideMark/>
          </w:tcPr>
          <w:p w14:paraId="49B5F7AF"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para el Desarrollo Profesional Docente</w:t>
            </w:r>
          </w:p>
        </w:tc>
        <w:tc>
          <w:tcPr>
            <w:tcW w:w="1277" w:type="pct"/>
            <w:tcBorders>
              <w:top w:val="nil"/>
              <w:left w:val="nil"/>
              <w:bottom w:val="nil"/>
              <w:right w:val="nil"/>
            </w:tcBorders>
            <w:shd w:val="clear" w:color="auto" w:fill="auto"/>
            <w:noWrap/>
            <w:vAlign w:val="center"/>
            <w:hideMark/>
          </w:tcPr>
          <w:p w14:paraId="64EBC8DE"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La información del PRODEP se encuentra fragmentada en los diversos sitios web de las Unidades Responsables.</w:t>
            </w:r>
          </w:p>
        </w:tc>
        <w:tc>
          <w:tcPr>
            <w:tcW w:w="843" w:type="pct"/>
            <w:tcBorders>
              <w:top w:val="nil"/>
              <w:left w:val="nil"/>
              <w:bottom w:val="nil"/>
              <w:right w:val="nil"/>
            </w:tcBorders>
            <w:shd w:val="clear" w:color="auto" w:fill="auto"/>
            <w:noWrap/>
            <w:vAlign w:val="center"/>
            <w:hideMark/>
          </w:tcPr>
          <w:p w14:paraId="4485D3C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5D19443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2D59E4A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6341A205" w14:textId="77777777" w:rsidTr="005A7CAD">
        <w:trPr>
          <w:trHeight w:val="300"/>
        </w:trPr>
        <w:tc>
          <w:tcPr>
            <w:tcW w:w="297" w:type="pct"/>
            <w:tcBorders>
              <w:top w:val="nil"/>
              <w:left w:val="nil"/>
              <w:bottom w:val="nil"/>
              <w:right w:val="nil"/>
            </w:tcBorders>
            <w:shd w:val="clear" w:color="auto" w:fill="auto"/>
            <w:noWrap/>
            <w:vAlign w:val="center"/>
            <w:hideMark/>
          </w:tcPr>
          <w:p w14:paraId="3FBC8E1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3FA2C52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6272D5C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S270</w:t>
            </w:r>
          </w:p>
        </w:tc>
        <w:tc>
          <w:tcPr>
            <w:tcW w:w="924" w:type="pct"/>
            <w:tcBorders>
              <w:top w:val="nil"/>
              <w:left w:val="nil"/>
              <w:bottom w:val="nil"/>
              <w:right w:val="nil"/>
            </w:tcBorders>
            <w:shd w:val="clear" w:color="auto" w:fill="auto"/>
            <w:noWrap/>
            <w:vAlign w:val="center"/>
            <w:hideMark/>
          </w:tcPr>
          <w:p w14:paraId="6A80980C"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Nacional de Inglés</w:t>
            </w:r>
          </w:p>
        </w:tc>
        <w:tc>
          <w:tcPr>
            <w:tcW w:w="1277" w:type="pct"/>
            <w:tcBorders>
              <w:top w:val="nil"/>
              <w:left w:val="nil"/>
              <w:bottom w:val="nil"/>
              <w:right w:val="nil"/>
            </w:tcBorders>
            <w:shd w:val="clear" w:color="auto" w:fill="auto"/>
            <w:noWrap/>
            <w:vAlign w:val="center"/>
            <w:hideMark/>
          </w:tcPr>
          <w:p w14:paraId="6255F340"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A nivel de las Autoridades Educativas Locales (AEL)</w:t>
            </w:r>
            <w:r w:rsidR="006F4A52">
              <w:rPr>
                <w:rFonts w:eastAsia="Times New Roman"/>
                <w:sz w:val="12"/>
                <w:szCs w:val="20"/>
                <w:lang w:val="es-ES" w:eastAsia="en-US"/>
              </w:rPr>
              <w:t xml:space="preserve"> </w:t>
            </w:r>
            <w:r w:rsidRPr="00F77FE5">
              <w:rPr>
                <w:rFonts w:eastAsia="Times New Roman"/>
                <w:sz w:val="12"/>
                <w:szCs w:val="20"/>
                <w:lang w:val="es-ES" w:eastAsia="en-US"/>
              </w:rPr>
              <w:t>no existe evidencia de que los procedimientos utilizados para otorgar apoyos se encuentren estandarizados, sistematizados, sean difundidos públicamente y se sujeten a la normatividad del programa. Se desconoce la existencia de un manual para la operación de las AEL</w:t>
            </w:r>
          </w:p>
        </w:tc>
        <w:tc>
          <w:tcPr>
            <w:tcW w:w="843" w:type="pct"/>
            <w:tcBorders>
              <w:top w:val="nil"/>
              <w:left w:val="nil"/>
              <w:bottom w:val="nil"/>
              <w:right w:val="nil"/>
            </w:tcBorders>
            <w:shd w:val="clear" w:color="auto" w:fill="auto"/>
            <w:noWrap/>
            <w:vAlign w:val="center"/>
            <w:hideMark/>
          </w:tcPr>
          <w:p w14:paraId="1661D7D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42A2E53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7E3F739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666E4AC1" w14:textId="77777777" w:rsidTr="005A7CAD">
        <w:trPr>
          <w:trHeight w:val="300"/>
        </w:trPr>
        <w:tc>
          <w:tcPr>
            <w:tcW w:w="297" w:type="pct"/>
            <w:tcBorders>
              <w:top w:val="nil"/>
              <w:left w:val="nil"/>
              <w:bottom w:val="nil"/>
              <w:right w:val="nil"/>
            </w:tcBorders>
            <w:shd w:val="clear" w:color="auto" w:fill="auto"/>
            <w:noWrap/>
            <w:vAlign w:val="center"/>
            <w:hideMark/>
          </w:tcPr>
          <w:p w14:paraId="67F18EE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390516A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1341F3F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S270</w:t>
            </w:r>
          </w:p>
        </w:tc>
        <w:tc>
          <w:tcPr>
            <w:tcW w:w="924" w:type="pct"/>
            <w:tcBorders>
              <w:top w:val="nil"/>
              <w:left w:val="nil"/>
              <w:bottom w:val="nil"/>
              <w:right w:val="nil"/>
            </w:tcBorders>
            <w:shd w:val="clear" w:color="auto" w:fill="auto"/>
            <w:noWrap/>
            <w:vAlign w:val="center"/>
            <w:hideMark/>
          </w:tcPr>
          <w:p w14:paraId="6439C7B0"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Nacional de Inglés</w:t>
            </w:r>
          </w:p>
        </w:tc>
        <w:tc>
          <w:tcPr>
            <w:tcW w:w="1277" w:type="pct"/>
            <w:tcBorders>
              <w:top w:val="nil"/>
              <w:left w:val="nil"/>
              <w:bottom w:val="nil"/>
              <w:right w:val="nil"/>
            </w:tcBorders>
            <w:shd w:val="clear" w:color="auto" w:fill="auto"/>
            <w:noWrap/>
            <w:vAlign w:val="center"/>
            <w:hideMark/>
          </w:tcPr>
          <w:p w14:paraId="17AE8D2C" w14:textId="77777777" w:rsid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El PRONI contribuye al logro de dos metas del Objetivo 4 “Educación de Calidad” de los Objetivos del Desarrollo Sostenible.</w:t>
            </w:r>
          </w:p>
          <w:p w14:paraId="1E6A897C" w14:textId="77777777" w:rsidR="00E65CF7" w:rsidRPr="00F77FE5" w:rsidRDefault="00F42A12" w:rsidP="00F42A12">
            <w:pPr>
              <w:spacing w:before="20" w:after="0"/>
              <w:jc w:val="both"/>
              <w:rPr>
                <w:rFonts w:eastAsia="Times New Roman"/>
                <w:sz w:val="12"/>
                <w:szCs w:val="20"/>
                <w:lang w:val="es-ES" w:eastAsia="en-US"/>
              </w:rPr>
            </w:pPr>
            <w:r>
              <w:rPr>
                <w:rFonts w:eastAsia="Times New Roman"/>
                <w:sz w:val="12"/>
                <w:szCs w:val="20"/>
                <w:lang w:val="es-ES" w:eastAsia="en-US"/>
              </w:rPr>
              <w:t>[</w:t>
            </w:r>
            <w:r w:rsidR="00E65CF7" w:rsidRPr="00E65CF7">
              <w:rPr>
                <w:rFonts w:eastAsia="Times New Roman"/>
                <w:sz w:val="12"/>
                <w:szCs w:val="20"/>
                <w:lang w:val="es-ES" w:eastAsia="en-US"/>
              </w:rPr>
              <w:t>Se recomienda al programa observar las acciones implementadas por otros países sobre estas metas. Esto con el objetivo de advertir áreas de oportunidad en el desarrollo del PRONI y tener en mente su vinculación</w:t>
            </w:r>
            <w:r w:rsidRPr="00F77FE5">
              <w:rPr>
                <w:rFonts w:eastAsia="Times New Roman"/>
                <w:sz w:val="12"/>
                <w:szCs w:val="20"/>
                <w:lang w:val="es-ES" w:eastAsia="en-US"/>
              </w:rPr>
              <w:t xml:space="preserve"> ].</w:t>
            </w:r>
            <w:r w:rsidRPr="00F77FE5">
              <w:rPr>
                <w:rFonts w:eastAsia="Times New Roman"/>
                <w:sz w:val="12"/>
                <w:szCs w:val="20"/>
                <w:vertAlign w:val="superscript"/>
                <w:lang w:val="es-ES" w:eastAsia="en-US"/>
              </w:rPr>
              <w:t>A_/</w:t>
            </w:r>
          </w:p>
        </w:tc>
        <w:tc>
          <w:tcPr>
            <w:tcW w:w="843" w:type="pct"/>
            <w:tcBorders>
              <w:top w:val="nil"/>
              <w:left w:val="nil"/>
              <w:bottom w:val="nil"/>
              <w:right w:val="nil"/>
            </w:tcBorders>
            <w:shd w:val="clear" w:color="auto" w:fill="auto"/>
            <w:noWrap/>
            <w:vAlign w:val="center"/>
            <w:hideMark/>
          </w:tcPr>
          <w:p w14:paraId="78290BD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59B9623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37F8FF7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00F69807" w14:textId="77777777" w:rsidTr="005A7CAD">
        <w:trPr>
          <w:trHeight w:val="300"/>
        </w:trPr>
        <w:tc>
          <w:tcPr>
            <w:tcW w:w="297" w:type="pct"/>
            <w:tcBorders>
              <w:top w:val="nil"/>
              <w:left w:val="nil"/>
              <w:bottom w:val="nil"/>
              <w:right w:val="nil"/>
            </w:tcBorders>
            <w:shd w:val="clear" w:color="auto" w:fill="auto"/>
            <w:noWrap/>
            <w:vAlign w:val="center"/>
            <w:hideMark/>
          </w:tcPr>
          <w:p w14:paraId="3036C0F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3F96221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7DA7B6E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S270</w:t>
            </w:r>
          </w:p>
        </w:tc>
        <w:tc>
          <w:tcPr>
            <w:tcW w:w="924" w:type="pct"/>
            <w:tcBorders>
              <w:top w:val="nil"/>
              <w:left w:val="nil"/>
              <w:bottom w:val="nil"/>
              <w:right w:val="nil"/>
            </w:tcBorders>
            <w:shd w:val="clear" w:color="auto" w:fill="auto"/>
            <w:noWrap/>
            <w:vAlign w:val="center"/>
            <w:hideMark/>
          </w:tcPr>
          <w:p w14:paraId="2621C717"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Nacional de Inglés</w:t>
            </w:r>
          </w:p>
        </w:tc>
        <w:tc>
          <w:tcPr>
            <w:tcW w:w="1277" w:type="pct"/>
            <w:tcBorders>
              <w:top w:val="nil"/>
              <w:left w:val="nil"/>
              <w:bottom w:val="nil"/>
              <w:right w:val="nil"/>
            </w:tcBorders>
            <w:shd w:val="clear" w:color="auto" w:fill="auto"/>
            <w:noWrap/>
            <w:vAlign w:val="center"/>
            <w:hideMark/>
          </w:tcPr>
          <w:p w14:paraId="78DF964B"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En el Diagnóstico no se recuperan los efectos de la implementación de programas similares en otros contextos.</w:t>
            </w:r>
          </w:p>
        </w:tc>
        <w:tc>
          <w:tcPr>
            <w:tcW w:w="843" w:type="pct"/>
            <w:tcBorders>
              <w:top w:val="nil"/>
              <w:left w:val="nil"/>
              <w:bottom w:val="nil"/>
              <w:right w:val="nil"/>
            </w:tcBorders>
            <w:shd w:val="clear" w:color="auto" w:fill="auto"/>
            <w:noWrap/>
            <w:vAlign w:val="center"/>
            <w:hideMark/>
          </w:tcPr>
          <w:p w14:paraId="3495AC6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6D03369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2F523CE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2EEB6387" w14:textId="77777777" w:rsidTr="005A7CAD">
        <w:trPr>
          <w:trHeight w:val="300"/>
        </w:trPr>
        <w:tc>
          <w:tcPr>
            <w:tcW w:w="297" w:type="pct"/>
            <w:tcBorders>
              <w:top w:val="nil"/>
              <w:left w:val="nil"/>
              <w:bottom w:val="nil"/>
              <w:right w:val="nil"/>
            </w:tcBorders>
            <w:shd w:val="clear" w:color="auto" w:fill="auto"/>
            <w:noWrap/>
            <w:vAlign w:val="center"/>
            <w:hideMark/>
          </w:tcPr>
          <w:p w14:paraId="0F32E39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2E50ECC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7199192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S270</w:t>
            </w:r>
          </w:p>
        </w:tc>
        <w:tc>
          <w:tcPr>
            <w:tcW w:w="924" w:type="pct"/>
            <w:tcBorders>
              <w:top w:val="nil"/>
              <w:left w:val="nil"/>
              <w:bottom w:val="nil"/>
              <w:right w:val="nil"/>
            </w:tcBorders>
            <w:shd w:val="clear" w:color="auto" w:fill="auto"/>
            <w:noWrap/>
            <w:vAlign w:val="center"/>
            <w:hideMark/>
          </w:tcPr>
          <w:p w14:paraId="1966B07E"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Nacional de Inglés</w:t>
            </w:r>
          </w:p>
        </w:tc>
        <w:tc>
          <w:tcPr>
            <w:tcW w:w="1277" w:type="pct"/>
            <w:tcBorders>
              <w:top w:val="nil"/>
              <w:left w:val="nil"/>
              <w:bottom w:val="nil"/>
              <w:right w:val="nil"/>
            </w:tcBorders>
            <w:shd w:val="clear" w:color="auto" w:fill="auto"/>
            <w:noWrap/>
            <w:vAlign w:val="center"/>
            <w:hideMark/>
          </w:tcPr>
          <w:p w14:paraId="138DA060"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 xml:space="preserve">En el documento “Memoria de cálculo de los programas sujetos a ROP, PRONI para el ejercicio fiscal 2016” se presenta una tabla con la fórmula para la </w:t>
            </w:r>
            <w:proofErr w:type="spellStart"/>
            <w:r w:rsidRPr="00F77FE5">
              <w:rPr>
                <w:rFonts w:eastAsia="Times New Roman"/>
                <w:sz w:val="12"/>
                <w:szCs w:val="20"/>
                <w:lang w:val="es-ES" w:eastAsia="en-US"/>
              </w:rPr>
              <w:t>operacionalización</w:t>
            </w:r>
            <w:proofErr w:type="spellEnd"/>
            <w:r w:rsidRPr="00F77FE5">
              <w:rPr>
                <w:rFonts w:eastAsia="Times New Roman"/>
                <w:sz w:val="12"/>
                <w:szCs w:val="20"/>
                <w:lang w:val="es-ES" w:eastAsia="en-US"/>
              </w:rPr>
              <w:t xml:space="preserve"> de los seis criterios de distribución del presupuesto. Estos no están presentes en las ROP.</w:t>
            </w:r>
          </w:p>
        </w:tc>
        <w:tc>
          <w:tcPr>
            <w:tcW w:w="843" w:type="pct"/>
            <w:tcBorders>
              <w:top w:val="nil"/>
              <w:left w:val="nil"/>
              <w:bottom w:val="nil"/>
              <w:right w:val="nil"/>
            </w:tcBorders>
            <w:shd w:val="clear" w:color="auto" w:fill="auto"/>
            <w:noWrap/>
            <w:vAlign w:val="center"/>
            <w:hideMark/>
          </w:tcPr>
          <w:p w14:paraId="3B4E4B1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45A4288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45B43F4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790F95EA" w14:textId="77777777" w:rsidTr="005A7CAD">
        <w:trPr>
          <w:trHeight w:val="300"/>
        </w:trPr>
        <w:tc>
          <w:tcPr>
            <w:tcW w:w="297" w:type="pct"/>
            <w:tcBorders>
              <w:top w:val="nil"/>
              <w:left w:val="nil"/>
              <w:bottom w:val="nil"/>
              <w:right w:val="nil"/>
            </w:tcBorders>
            <w:shd w:val="clear" w:color="auto" w:fill="auto"/>
            <w:noWrap/>
            <w:vAlign w:val="center"/>
            <w:hideMark/>
          </w:tcPr>
          <w:p w14:paraId="1755ED6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5680C36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24D561D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S270</w:t>
            </w:r>
          </w:p>
        </w:tc>
        <w:tc>
          <w:tcPr>
            <w:tcW w:w="924" w:type="pct"/>
            <w:tcBorders>
              <w:top w:val="nil"/>
              <w:left w:val="nil"/>
              <w:bottom w:val="nil"/>
              <w:right w:val="nil"/>
            </w:tcBorders>
            <w:shd w:val="clear" w:color="auto" w:fill="auto"/>
            <w:noWrap/>
            <w:vAlign w:val="center"/>
            <w:hideMark/>
          </w:tcPr>
          <w:p w14:paraId="2916847D"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Nacional de Inglés</w:t>
            </w:r>
          </w:p>
        </w:tc>
        <w:tc>
          <w:tcPr>
            <w:tcW w:w="1277" w:type="pct"/>
            <w:tcBorders>
              <w:top w:val="nil"/>
              <w:left w:val="nil"/>
              <w:bottom w:val="nil"/>
              <w:right w:val="nil"/>
            </w:tcBorders>
            <w:shd w:val="clear" w:color="auto" w:fill="auto"/>
            <w:noWrap/>
            <w:vAlign w:val="center"/>
            <w:hideMark/>
          </w:tcPr>
          <w:p w14:paraId="5FE58906"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En el padrón de escuelas beneficiarias no se menciona el tipo y monto de los apoyos.</w:t>
            </w:r>
          </w:p>
        </w:tc>
        <w:tc>
          <w:tcPr>
            <w:tcW w:w="843" w:type="pct"/>
            <w:tcBorders>
              <w:top w:val="nil"/>
              <w:left w:val="nil"/>
              <w:bottom w:val="nil"/>
              <w:right w:val="nil"/>
            </w:tcBorders>
            <w:shd w:val="clear" w:color="auto" w:fill="auto"/>
            <w:noWrap/>
            <w:vAlign w:val="center"/>
            <w:hideMark/>
          </w:tcPr>
          <w:p w14:paraId="03C68E5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734E527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1EBDF93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6E0BB137" w14:textId="77777777" w:rsidTr="005A7CAD">
        <w:trPr>
          <w:trHeight w:val="300"/>
        </w:trPr>
        <w:tc>
          <w:tcPr>
            <w:tcW w:w="297" w:type="pct"/>
            <w:tcBorders>
              <w:top w:val="nil"/>
              <w:left w:val="nil"/>
              <w:bottom w:val="nil"/>
              <w:right w:val="nil"/>
            </w:tcBorders>
            <w:shd w:val="clear" w:color="auto" w:fill="auto"/>
            <w:noWrap/>
            <w:vAlign w:val="center"/>
            <w:hideMark/>
          </w:tcPr>
          <w:p w14:paraId="65F71C6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540998E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0F3C791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S270</w:t>
            </w:r>
          </w:p>
        </w:tc>
        <w:tc>
          <w:tcPr>
            <w:tcW w:w="924" w:type="pct"/>
            <w:tcBorders>
              <w:top w:val="nil"/>
              <w:left w:val="nil"/>
              <w:bottom w:val="nil"/>
              <w:right w:val="nil"/>
            </w:tcBorders>
            <w:shd w:val="clear" w:color="auto" w:fill="auto"/>
            <w:noWrap/>
            <w:vAlign w:val="center"/>
            <w:hideMark/>
          </w:tcPr>
          <w:p w14:paraId="1DFE3BA7"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Nacional de Inglés</w:t>
            </w:r>
          </w:p>
        </w:tc>
        <w:tc>
          <w:tcPr>
            <w:tcW w:w="1277" w:type="pct"/>
            <w:tcBorders>
              <w:top w:val="nil"/>
              <w:left w:val="nil"/>
              <w:bottom w:val="nil"/>
              <w:right w:val="nil"/>
            </w:tcBorders>
            <w:shd w:val="clear" w:color="auto" w:fill="auto"/>
            <w:noWrap/>
            <w:vAlign w:val="center"/>
            <w:hideMark/>
          </w:tcPr>
          <w:p w14:paraId="3D433668"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En los dos mecanismos de identificación de la población objetivo (demanda y selección) se observa un reto de operación multinivel. Se tiene que el PRONI selecciona a las Entidades Federativas y las Autoridades Educativas Locales (AEL)</w:t>
            </w:r>
            <w:r w:rsidR="006F4A52">
              <w:rPr>
                <w:rFonts w:eastAsia="Times New Roman"/>
                <w:sz w:val="12"/>
                <w:szCs w:val="20"/>
                <w:lang w:val="es-ES" w:eastAsia="en-US"/>
              </w:rPr>
              <w:t xml:space="preserve"> </w:t>
            </w:r>
            <w:r w:rsidRPr="00F77FE5">
              <w:rPr>
                <w:rFonts w:eastAsia="Times New Roman"/>
                <w:sz w:val="12"/>
                <w:szCs w:val="20"/>
                <w:lang w:val="es-ES" w:eastAsia="en-US"/>
              </w:rPr>
              <w:t>seleccionan a las escuelas.</w:t>
            </w:r>
          </w:p>
        </w:tc>
        <w:tc>
          <w:tcPr>
            <w:tcW w:w="843" w:type="pct"/>
            <w:tcBorders>
              <w:top w:val="nil"/>
              <w:left w:val="nil"/>
              <w:bottom w:val="nil"/>
              <w:right w:val="nil"/>
            </w:tcBorders>
            <w:shd w:val="clear" w:color="auto" w:fill="auto"/>
            <w:noWrap/>
            <w:vAlign w:val="center"/>
            <w:hideMark/>
          </w:tcPr>
          <w:p w14:paraId="568B0B3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2F3A629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6DE4653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1BDDFDC1" w14:textId="77777777" w:rsidTr="005A7CAD">
        <w:trPr>
          <w:trHeight w:val="300"/>
        </w:trPr>
        <w:tc>
          <w:tcPr>
            <w:tcW w:w="297" w:type="pct"/>
            <w:tcBorders>
              <w:top w:val="nil"/>
              <w:left w:val="nil"/>
              <w:bottom w:val="nil"/>
              <w:right w:val="nil"/>
            </w:tcBorders>
            <w:shd w:val="clear" w:color="auto" w:fill="auto"/>
            <w:noWrap/>
            <w:vAlign w:val="center"/>
            <w:hideMark/>
          </w:tcPr>
          <w:p w14:paraId="519A7AB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2E61F84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7F7E67B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S270</w:t>
            </w:r>
          </w:p>
        </w:tc>
        <w:tc>
          <w:tcPr>
            <w:tcW w:w="924" w:type="pct"/>
            <w:tcBorders>
              <w:top w:val="nil"/>
              <w:left w:val="nil"/>
              <w:bottom w:val="nil"/>
              <w:right w:val="nil"/>
            </w:tcBorders>
            <w:shd w:val="clear" w:color="auto" w:fill="auto"/>
            <w:noWrap/>
            <w:vAlign w:val="center"/>
            <w:hideMark/>
          </w:tcPr>
          <w:p w14:paraId="2F5D28CD"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Nacional de Inglés</w:t>
            </w:r>
          </w:p>
        </w:tc>
        <w:tc>
          <w:tcPr>
            <w:tcW w:w="1277" w:type="pct"/>
            <w:tcBorders>
              <w:top w:val="nil"/>
              <w:left w:val="nil"/>
              <w:bottom w:val="nil"/>
              <w:right w:val="nil"/>
            </w:tcBorders>
            <w:shd w:val="clear" w:color="auto" w:fill="auto"/>
            <w:noWrap/>
            <w:vAlign w:val="center"/>
            <w:hideMark/>
          </w:tcPr>
          <w:p w14:paraId="23F3142B"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Existen acciones de enseñanza del idioma inglés a nivel estatal para ejemplo los casos de Monterrey, Tamaulipas y Coahuila.</w:t>
            </w:r>
          </w:p>
        </w:tc>
        <w:tc>
          <w:tcPr>
            <w:tcW w:w="843" w:type="pct"/>
            <w:tcBorders>
              <w:top w:val="nil"/>
              <w:left w:val="nil"/>
              <w:bottom w:val="nil"/>
              <w:right w:val="nil"/>
            </w:tcBorders>
            <w:shd w:val="clear" w:color="auto" w:fill="auto"/>
            <w:noWrap/>
            <w:vAlign w:val="center"/>
            <w:hideMark/>
          </w:tcPr>
          <w:p w14:paraId="3F598B5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69435AA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57F98E8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25A05AE8" w14:textId="77777777" w:rsidTr="005A7CAD">
        <w:trPr>
          <w:trHeight w:val="300"/>
        </w:trPr>
        <w:tc>
          <w:tcPr>
            <w:tcW w:w="297" w:type="pct"/>
            <w:tcBorders>
              <w:top w:val="nil"/>
              <w:left w:val="nil"/>
              <w:bottom w:val="nil"/>
              <w:right w:val="nil"/>
            </w:tcBorders>
            <w:shd w:val="clear" w:color="auto" w:fill="auto"/>
            <w:noWrap/>
            <w:vAlign w:val="center"/>
            <w:hideMark/>
          </w:tcPr>
          <w:p w14:paraId="2E5CA2B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32DC0D6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3EFAA24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S270</w:t>
            </w:r>
          </w:p>
        </w:tc>
        <w:tc>
          <w:tcPr>
            <w:tcW w:w="924" w:type="pct"/>
            <w:tcBorders>
              <w:top w:val="nil"/>
              <w:left w:val="nil"/>
              <w:bottom w:val="nil"/>
              <w:right w:val="nil"/>
            </w:tcBorders>
            <w:shd w:val="clear" w:color="auto" w:fill="auto"/>
            <w:noWrap/>
            <w:vAlign w:val="center"/>
            <w:hideMark/>
          </w:tcPr>
          <w:p w14:paraId="30303551"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Nacional de Inglés</w:t>
            </w:r>
          </w:p>
        </w:tc>
        <w:tc>
          <w:tcPr>
            <w:tcW w:w="1277" w:type="pct"/>
            <w:tcBorders>
              <w:top w:val="nil"/>
              <w:left w:val="nil"/>
              <w:bottom w:val="nil"/>
              <w:right w:val="nil"/>
            </w:tcBorders>
            <w:shd w:val="clear" w:color="auto" w:fill="auto"/>
            <w:noWrap/>
            <w:vAlign w:val="center"/>
            <w:hideMark/>
          </w:tcPr>
          <w:p w14:paraId="447A2EC1"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Existen procesos operados por las Autoridades Educativas Locales</w:t>
            </w:r>
            <w:r w:rsidR="006F4A52">
              <w:rPr>
                <w:rFonts w:eastAsia="Times New Roman"/>
                <w:sz w:val="12"/>
                <w:szCs w:val="20"/>
                <w:lang w:val="es-ES" w:eastAsia="en-US"/>
              </w:rPr>
              <w:t xml:space="preserve"> </w:t>
            </w:r>
            <w:r w:rsidRPr="00F77FE5">
              <w:rPr>
                <w:rFonts w:eastAsia="Times New Roman"/>
                <w:sz w:val="12"/>
                <w:szCs w:val="20"/>
                <w:lang w:val="es-ES" w:eastAsia="en-US"/>
              </w:rPr>
              <w:t>(por ejemplo, selección de escuelas), poco claros, que deberían ser fortalecidos en pos de garantizar la eficacia y equidad en la distribución de los recursos.</w:t>
            </w:r>
          </w:p>
        </w:tc>
        <w:tc>
          <w:tcPr>
            <w:tcW w:w="843" w:type="pct"/>
            <w:tcBorders>
              <w:top w:val="nil"/>
              <w:left w:val="nil"/>
              <w:bottom w:val="nil"/>
              <w:right w:val="nil"/>
            </w:tcBorders>
            <w:shd w:val="clear" w:color="auto" w:fill="auto"/>
            <w:noWrap/>
            <w:vAlign w:val="center"/>
            <w:hideMark/>
          </w:tcPr>
          <w:p w14:paraId="1E60832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779404E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048CB8F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7B6F1CF6" w14:textId="77777777" w:rsidTr="005A7CAD">
        <w:trPr>
          <w:trHeight w:val="300"/>
        </w:trPr>
        <w:tc>
          <w:tcPr>
            <w:tcW w:w="297" w:type="pct"/>
            <w:tcBorders>
              <w:top w:val="nil"/>
              <w:left w:val="nil"/>
              <w:bottom w:val="nil"/>
              <w:right w:val="nil"/>
            </w:tcBorders>
            <w:shd w:val="clear" w:color="auto" w:fill="auto"/>
            <w:noWrap/>
            <w:vAlign w:val="center"/>
            <w:hideMark/>
          </w:tcPr>
          <w:p w14:paraId="13CC503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202D66C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08CDC21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S270</w:t>
            </w:r>
          </w:p>
        </w:tc>
        <w:tc>
          <w:tcPr>
            <w:tcW w:w="924" w:type="pct"/>
            <w:tcBorders>
              <w:top w:val="nil"/>
              <w:left w:val="nil"/>
              <w:bottom w:val="nil"/>
              <w:right w:val="nil"/>
            </w:tcBorders>
            <w:shd w:val="clear" w:color="auto" w:fill="auto"/>
            <w:noWrap/>
            <w:vAlign w:val="center"/>
            <w:hideMark/>
          </w:tcPr>
          <w:p w14:paraId="589C5468"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Nacional de Inglés</w:t>
            </w:r>
          </w:p>
        </w:tc>
        <w:tc>
          <w:tcPr>
            <w:tcW w:w="1277" w:type="pct"/>
            <w:tcBorders>
              <w:top w:val="nil"/>
              <w:left w:val="nil"/>
              <w:bottom w:val="nil"/>
              <w:right w:val="nil"/>
            </w:tcBorders>
            <w:shd w:val="clear" w:color="auto" w:fill="auto"/>
            <w:noWrap/>
            <w:vAlign w:val="center"/>
            <w:hideMark/>
          </w:tcPr>
          <w:p w14:paraId="005F0861"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Se desconoce cómo transfieren las Autoridades Educativas Locales los recursos y los montos a las escuelas.</w:t>
            </w:r>
          </w:p>
        </w:tc>
        <w:tc>
          <w:tcPr>
            <w:tcW w:w="843" w:type="pct"/>
            <w:tcBorders>
              <w:top w:val="nil"/>
              <w:left w:val="nil"/>
              <w:bottom w:val="nil"/>
              <w:right w:val="nil"/>
            </w:tcBorders>
            <w:shd w:val="clear" w:color="auto" w:fill="auto"/>
            <w:noWrap/>
            <w:vAlign w:val="center"/>
            <w:hideMark/>
          </w:tcPr>
          <w:p w14:paraId="58D1289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6B0FCB6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57FC0C4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499153FF" w14:textId="77777777" w:rsidTr="005A7CAD">
        <w:trPr>
          <w:trHeight w:val="300"/>
        </w:trPr>
        <w:tc>
          <w:tcPr>
            <w:tcW w:w="297" w:type="pct"/>
            <w:tcBorders>
              <w:top w:val="nil"/>
              <w:left w:val="nil"/>
              <w:bottom w:val="nil"/>
              <w:right w:val="nil"/>
            </w:tcBorders>
            <w:shd w:val="clear" w:color="auto" w:fill="auto"/>
            <w:noWrap/>
            <w:vAlign w:val="center"/>
            <w:hideMark/>
          </w:tcPr>
          <w:p w14:paraId="70B6F32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359B7E6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294C2D4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S270</w:t>
            </w:r>
          </w:p>
        </w:tc>
        <w:tc>
          <w:tcPr>
            <w:tcW w:w="924" w:type="pct"/>
            <w:tcBorders>
              <w:top w:val="nil"/>
              <w:left w:val="nil"/>
              <w:bottom w:val="nil"/>
              <w:right w:val="nil"/>
            </w:tcBorders>
            <w:shd w:val="clear" w:color="auto" w:fill="auto"/>
            <w:noWrap/>
            <w:vAlign w:val="center"/>
            <w:hideMark/>
          </w:tcPr>
          <w:p w14:paraId="6A71AEB1"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Nacional de Inglés</w:t>
            </w:r>
          </w:p>
        </w:tc>
        <w:tc>
          <w:tcPr>
            <w:tcW w:w="1277" w:type="pct"/>
            <w:tcBorders>
              <w:top w:val="nil"/>
              <w:left w:val="nil"/>
              <w:bottom w:val="nil"/>
              <w:right w:val="nil"/>
            </w:tcBorders>
            <w:shd w:val="clear" w:color="auto" w:fill="auto"/>
            <w:noWrap/>
            <w:vAlign w:val="center"/>
            <w:hideMark/>
          </w:tcPr>
          <w:p w14:paraId="2647BB75"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Se requiere de mayor soporte documental para evaluar si los procedimientos del programa para la selección de beneficiarios se encuentran sistematizados.</w:t>
            </w:r>
          </w:p>
        </w:tc>
        <w:tc>
          <w:tcPr>
            <w:tcW w:w="843" w:type="pct"/>
            <w:tcBorders>
              <w:top w:val="nil"/>
              <w:left w:val="nil"/>
              <w:bottom w:val="nil"/>
              <w:right w:val="nil"/>
            </w:tcBorders>
            <w:shd w:val="clear" w:color="auto" w:fill="auto"/>
            <w:noWrap/>
            <w:vAlign w:val="center"/>
            <w:hideMark/>
          </w:tcPr>
          <w:p w14:paraId="28EF345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7BB800B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5CFF4F4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153B1B8B" w14:textId="77777777" w:rsidTr="005A7CAD">
        <w:trPr>
          <w:trHeight w:val="300"/>
        </w:trPr>
        <w:tc>
          <w:tcPr>
            <w:tcW w:w="297" w:type="pct"/>
            <w:tcBorders>
              <w:top w:val="nil"/>
              <w:left w:val="nil"/>
              <w:bottom w:val="nil"/>
              <w:right w:val="nil"/>
            </w:tcBorders>
            <w:shd w:val="clear" w:color="auto" w:fill="auto"/>
            <w:noWrap/>
            <w:vAlign w:val="center"/>
            <w:hideMark/>
          </w:tcPr>
          <w:p w14:paraId="67504B7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lastRenderedPageBreak/>
              <w:t>11</w:t>
            </w:r>
          </w:p>
        </w:tc>
        <w:tc>
          <w:tcPr>
            <w:tcW w:w="497" w:type="pct"/>
            <w:tcBorders>
              <w:top w:val="nil"/>
              <w:left w:val="nil"/>
              <w:bottom w:val="nil"/>
              <w:right w:val="nil"/>
            </w:tcBorders>
            <w:shd w:val="clear" w:color="auto" w:fill="auto"/>
            <w:noWrap/>
            <w:vAlign w:val="center"/>
            <w:hideMark/>
          </w:tcPr>
          <w:p w14:paraId="0E6C927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763B9E7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S271</w:t>
            </w:r>
          </w:p>
        </w:tc>
        <w:tc>
          <w:tcPr>
            <w:tcW w:w="924" w:type="pct"/>
            <w:tcBorders>
              <w:top w:val="nil"/>
              <w:left w:val="nil"/>
              <w:bottom w:val="nil"/>
              <w:right w:val="nil"/>
            </w:tcBorders>
            <w:shd w:val="clear" w:color="auto" w:fill="auto"/>
            <w:noWrap/>
            <w:vAlign w:val="center"/>
            <w:hideMark/>
          </w:tcPr>
          <w:p w14:paraId="683B471F"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Nacional de Convivencia Escolar</w:t>
            </w:r>
          </w:p>
        </w:tc>
        <w:tc>
          <w:tcPr>
            <w:tcW w:w="1277" w:type="pct"/>
            <w:tcBorders>
              <w:top w:val="nil"/>
              <w:left w:val="nil"/>
              <w:bottom w:val="nil"/>
              <w:right w:val="nil"/>
            </w:tcBorders>
            <w:shd w:val="clear" w:color="auto" w:fill="auto"/>
            <w:noWrap/>
            <w:vAlign w:val="center"/>
            <w:hideMark/>
          </w:tcPr>
          <w:p w14:paraId="45244EE5"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En el Padrón de Escuelas Públicas participantes del PNCE no se incluye el tipo y monto de recursos otorgados.</w:t>
            </w:r>
          </w:p>
        </w:tc>
        <w:tc>
          <w:tcPr>
            <w:tcW w:w="843" w:type="pct"/>
            <w:tcBorders>
              <w:top w:val="nil"/>
              <w:left w:val="nil"/>
              <w:bottom w:val="nil"/>
              <w:right w:val="nil"/>
            </w:tcBorders>
            <w:shd w:val="clear" w:color="auto" w:fill="auto"/>
            <w:noWrap/>
            <w:vAlign w:val="center"/>
            <w:hideMark/>
          </w:tcPr>
          <w:p w14:paraId="1CF390D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4708664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28490B1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6F7548E9" w14:textId="77777777" w:rsidTr="005A7CAD">
        <w:trPr>
          <w:trHeight w:val="300"/>
        </w:trPr>
        <w:tc>
          <w:tcPr>
            <w:tcW w:w="297" w:type="pct"/>
            <w:tcBorders>
              <w:top w:val="nil"/>
              <w:left w:val="nil"/>
              <w:bottom w:val="nil"/>
              <w:right w:val="nil"/>
            </w:tcBorders>
            <w:shd w:val="clear" w:color="auto" w:fill="auto"/>
            <w:noWrap/>
            <w:vAlign w:val="center"/>
            <w:hideMark/>
          </w:tcPr>
          <w:p w14:paraId="179C611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65456EA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33B3829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S271</w:t>
            </w:r>
          </w:p>
        </w:tc>
        <w:tc>
          <w:tcPr>
            <w:tcW w:w="924" w:type="pct"/>
            <w:tcBorders>
              <w:top w:val="nil"/>
              <w:left w:val="nil"/>
              <w:bottom w:val="nil"/>
              <w:right w:val="nil"/>
            </w:tcBorders>
            <w:shd w:val="clear" w:color="auto" w:fill="auto"/>
            <w:noWrap/>
            <w:vAlign w:val="center"/>
            <w:hideMark/>
          </w:tcPr>
          <w:p w14:paraId="08A6C1D7"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Nacional de Convivencia Escolar</w:t>
            </w:r>
          </w:p>
        </w:tc>
        <w:tc>
          <w:tcPr>
            <w:tcW w:w="1277" w:type="pct"/>
            <w:tcBorders>
              <w:top w:val="nil"/>
              <w:left w:val="nil"/>
              <w:bottom w:val="nil"/>
              <w:right w:val="nil"/>
            </w:tcBorders>
            <w:shd w:val="clear" w:color="auto" w:fill="auto"/>
            <w:noWrap/>
            <w:vAlign w:val="center"/>
            <w:hideMark/>
          </w:tcPr>
          <w:p w14:paraId="006711CD"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Existe laxitud de los criterios para la selección de las escuelas que quisieran participar en caso de existir suficiencia presupuestaria. Esto último no es claro y tendrían que especificarse criterios adicionales.</w:t>
            </w:r>
          </w:p>
        </w:tc>
        <w:tc>
          <w:tcPr>
            <w:tcW w:w="843" w:type="pct"/>
            <w:tcBorders>
              <w:top w:val="nil"/>
              <w:left w:val="nil"/>
              <w:bottom w:val="nil"/>
              <w:right w:val="nil"/>
            </w:tcBorders>
            <w:shd w:val="clear" w:color="auto" w:fill="auto"/>
            <w:noWrap/>
            <w:vAlign w:val="center"/>
            <w:hideMark/>
          </w:tcPr>
          <w:p w14:paraId="0D229DE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04102B6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7B5E65D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450345D2" w14:textId="77777777" w:rsidTr="005A7CAD">
        <w:trPr>
          <w:trHeight w:val="300"/>
        </w:trPr>
        <w:tc>
          <w:tcPr>
            <w:tcW w:w="297" w:type="pct"/>
            <w:tcBorders>
              <w:top w:val="nil"/>
              <w:left w:val="nil"/>
              <w:bottom w:val="nil"/>
              <w:right w:val="nil"/>
            </w:tcBorders>
            <w:shd w:val="clear" w:color="auto" w:fill="auto"/>
            <w:noWrap/>
            <w:vAlign w:val="center"/>
            <w:hideMark/>
          </w:tcPr>
          <w:p w14:paraId="017B164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6A131AA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79F1751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S271</w:t>
            </w:r>
          </w:p>
        </w:tc>
        <w:tc>
          <w:tcPr>
            <w:tcW w:w="924" w:type="pct"/>
            <w:tcBorders>
              <w:top w:val="nil"/>
              <w:left w:val="nil"/>
              <w:bottom w:val="nil"/>
              <w:right w:val="nil"/>
            </w:tcBorders>
            <w:shd w:val="clear" w:color="auto" w:fill="auto"/>
            <w:noWrap/>
            <w:vAlign w:val="center"/>
            <w:hideMark/>
          </w:tcPr>
          <w:p w14:paraId="3F260085"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Nacional de Convivencia Escolar</w:t>
            </w:r>
          </w:p>
        </w:tc>
        <w:tc>
          <w:tcPr>
            <w:tcW w:w="1277" w:type="pct"/>
            <w:tcBorders>
              <w:top w:val="nil"/>
              <w:left w:val="nil"/>
              <w:bottom w:val="nil"/>
              <w:right w:val="nil"/>
            </w:tcBorders>
            <w:shd w:val="clear" w:color="auto" w:fill="auto"/>
            <w:noWrap/>
            <w:vAlign w:val="center"/>
            <w:hideMark/>
          </w:tcPr>
          <w:p w14:paraId="2FEED040" w14:textId="77777777" w:rsid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Se advierten experiencias de atención previa como en Sinaloa, Ciudad de México y Puebla. Además, la Universidad Autónoma de Querétaro a través de su Observatorio de la Convivencia Escolar ha documentado la legislación y reglamentos en materia de Convivencia Escolar.</w:t>
            </w:r>
          </w:p>
          <w:p w14:paraId="77B7EA3C" w14:textId="77777777" w:rsidR="00F42A12" w:rsidRPr="00F77FE5" w:rsidRDefault="00F42A12" w:rsidP="00F42A12">
            <w:pPr>
              <w:spacing w:before="20" w:after="0"/>
              <w:jc w:val="both"/>
              <w:rPr>
                <w:rFonts w:eastAsia="Times New Roman"/>
                <w:sz w:val="12"/>
                <w:szCs w:val="20"/>
                <w:lang w:val="es-ES" w:eastAsia="en-US"/>
              </w:rPr>
            </w:pPr>
            <w:r>
              <w:rPr>
                <w:rFonts w:eastAsia="Times New Roman"/>
                <w:sz w:val="12"/>
                <w:szCs w:val="20"/>
                <w:lang w:val="es-ES" w:eastAsia="en-US"/>
              </w:rPr>
              <w:t>[</w:t>
            </w:r>
            <w:r w:rsidRPr="00F42A12">
              <w:rPr>
                <w:rFonts w:eastAsia="Times New Roman"/>
                <w:sz w:val="12"/>
                <w:szCs w:val="20"/>
                <w:lang w:val="es-ES" w:eastAsia="en-US"/>
              </w:rPr>
              <w:t>Se recomienda al programa estar al día con la información contenida en esta página de donde se pueden extraer áreas de interés de atención que hayan sido aplicadas a nivel estatal y que pudieran replicarse a nivel federal</w:t>
            </w:r>
            <w:r w:rsidRPr="00F77FE5">
              <w:rPr>
                <w:rFonts w:eastAsia="Times New Roman"/>
                <w:sz w:val="12"/>
                <w:szCs w:val="20"/>
                <w:lang w:val="es-ES" w:eastAsia="en-US"/>
              </w:rPr>
              <w:t>].</w:t>
            </w:r>
            <w:r w:rsidRPr="00F77FE5">
              <w:rPr>
                <w:rFonts w:eastAsia="Times New Roman"/>
                <w:sz w:val="12"/>
                <w:szCs w:val="20"/>
                <w:vertAlign w:val="superscript"/>
                <w:lang w:val="es-ES" w:eastAsia="en-US"/>
              </w:rPr>
              <w:t>A_/</w:t>
            </w:r>
          </w:p>
        </w:tc>
        <w:tc>
          <w:tcPr>
            <w:tcW w:w="843" w:type="pct"/>
            <w:tcBorders>
              <w:top w:val="nil"/>
              <w:left w:val="nil"/>
              <w:bottom w:val="nil"/>
              <w:right w:val="nil"/>
            </w:tcBorders>
            <w:shd w:val="clear" w:color="auto" w:fill="auto"/>
            <w:noWrap/>
            <w:vAlign w:val="center"/>
            <w:hideMark/>
          </w:tcPr>
          <w:p w14:paraId="65A1E87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0F603A5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79AB8B1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04E43771" w14:textId="77777777" w:rsidTr="005A7CAD">
        <w:trPr>
          <w:trHeight w:val="300"/>
        </w:trPr>
        <w:tc>
          <w:tcPr>
            <w:tcW w:w="297" w:type="pct"/>
            <w:tcBorders>
              <w:top w:val="nil"/>
              <w:left w:val="nil"/>
              <w:bottom w:val="nil"/>
              <w:right w:val="nil"/>
            </w:tcBorders>
            <w:shd w:val="clear" w:color="auto" w:fill="auto"/>
            <w:noWrap/>
            <w:vAlign w:val="center"/>
            <w:hideMark/>
          </w:tcPr>
          <w:p w14:paraId="299A751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258B9BA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77DE048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S271</w:t>
            </w:r>
          </w:p>
        </w:tc>
        <w:tc>
          <w:tcPr>
            <w:tcW w:w="924" w:type="pct"/>
            <w:tcBorders>
              <w:top w:val="nil"/>
              <w:left w:val="nil"/>
              <w:bottom w:val="nil"/>
              <w:right w:val="nil"/>
            </w:tcBorders>
            <w:shd w:val="clear" w:color="auto" w:fill="auto"/>
            <w:noWrap/>
            <w:vAlign w:val="center"/>
            <w:hideMark/>
          </w:tcPr>
          <w:p w14:paraId="1B6123E9"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Nacional de Convivencia Escolar</w:t>
            </w:r>
          </w:p>
        </w:tc>
        <w:tc>
          <w:tcPr>
            <w:tcW w:w="1277" w:type="pct"/>
            <w:tcBorders>
              <w:top w:val="nil"/>
              <w:left w:val="nil"/>
              <w:bottom w:val="nil"/>
              <w:right w:val="nil"/>
            </w:tcBorders>
            <w:shd w:val="clear" w:color="auto" w:fill="auto"/>
            <w:noWrap/>
            <w:vAlign w:val="center"/>
            <w:hideMark/>
          </w:tcPr>
          <w:p w14:paraId="78AB6C32"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Se identifican áreas de oportunidad en la cuantificación de la población objetivo, así como, cuidar la consistencia en los documentos oficiales.</w:t>
            </w:r>
          </w:p>
        </w:tc>
        <w:tc>
          <w:tcPr>
            <w:tcW w:w="843" w:type="pct"/>
            <w:tcBorders>
              <w:top w:val="nil"/>
              <w:left w:val="nil"/>
              <w:bottom w:val="nil"/>
              <w:right w:val="nil"/>
            </w:tcBorders>
            <w:shd w:val="clear" w:color="auto" w:fill="auto"/>
            <w:noWrap/>
            <w:vAlign w:val="center"/>
            <w:hideMark/>
          </w:tcPr>
          <w:p w14:paraId="6362B01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5C0AABB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20695B6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1D6099B9" w14:textId="77777777" w:rsidTr="005A7CAD">
        <w:trPr>
          <w:trHeight w:val="300"/>
        </w:trPr>
        <w:tc>
          <w:tcPr>
            <w:tcW w:w="297" w:type="pct"/>
            <w:tcBorders>
              <w:top w:val="nil"/>
              <w:left w:val="nil"/>
              <w:bottom w:val="nil"/>
              <w:right w:val="nil"/>
            </w:tcBorders>
            <w:shd w:val="clear" w:color="auto" w:fill="auto"/>
            <w:noWrap/>
            <w:vAlign w:val="center"/>
            <w:hideMark/>
          </w:tcPr>
          <w:p w14:paraId="422FA64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390B669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056B4C1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S271</w:t>
            </w:r>
          </w:p>
        </w:tc>
        <w:tc>
          <w:tcPr>
            <w:tcW w:w="924" w:type="pct"/>
            <w:tcBorders>
              <w:top w:val="nil"/>
              <w:left w:val="nil"/>
              <w:bottom w:val="nil"/>
              <w:right w:val="nil"/>
            </w:tcBorders>
            <w:shd w:val="clear" w:color="auto" w:fill="auto"/>
            <w:noWrap/>
            <w:vAlign w:val="center"/>
            <w:hideMark/>
          </w:tcPr>
          <w:p w14:paraId="00526EF7"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Nacional de Convivencia Escolar</w:t>
            </w:r>
          </w:p>
        </w:tc>
        <w:tc>
          <w:tcPr>
            <w:tcW w:w="1277" w:type="pct"/>
            <w:tcBorders>
              <w:top w:val="nil"/>
              <w:left w:val="nil"/>
              <w:bottom w:val="nil"/>
              <w:right w:val="nil"/>
            </w:tcBorders>
            <w:shd w:val="clear" w:color="auto" w:fill="auto"/>
            <w:noWrap/>
            <w:vAlign w:val="center"/>
            <w:hideMark/>
          </w:tcPr>
          <w:p w14:paraId="7577A915"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Se observa un elemento a fortalecer en la definición y cálculo de la población potencial, la cuantificación de “todas las escuelas” no corresponde a las escuelas que presentan la problemática.</w:t>
            </w:r>
          </w:p>
        </w:tc>
        <w:tc>
          <w:tcPr>
            <w:tcW w:w="843" w:type="pct"/>
            <w:tcBorders>
              <w:top w:val="nil"/>
              <w:left w:val="nil"/>
              <w:bottom w:val="nil"/>
              <w:right w:val="nil"/>
            </w:tcBorders>
            <w:shd w:val="clear" w:color="auto" w:fill="auto"/>
            <w:noWrap/>
            <w:vAlign w:val="center"/>
            <w:hideMark/>
          </w:tcPr>
          <w:p w14:paraId="0A9E830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7E15FAF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2C49918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7C1DE893" w14:textId="77777777" w:rsidTr="005A7CAD">
        <w:trPr>
          <w:trHeight w:val="300"/>
        </w:trPr>
        <w:tc>
          <w:tcPr>
            <w:tcW w:w="297" w:type="pct"/>
            <w:tcBorders>
              <w:top w:val="nil"/>
              <w:left w:val="nil"/>
              <w:bottom w:val="nil"/>
              <w:right w:val="nil"/>
            </w:tcBorders>
            <w:shd w:val="clear" w:color="auto" w:fill="auto"/>
            <w:noWrap/>
            <w:vAlign w:val="center"/>
            <w:hideMark/>
          </w:tcPr>
          <w:p w14:paraId="1DF6121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0420EBE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7E07A85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U006</w:t>
            </w:r>
          </w:p>
        </w:tc>
        <w:tc>
          <w:tcPr>
            <w:tcW w:w="924" w:type="pct"/>
            <w:tcBorders>
              <w:top w:val="nil"/>
              <w:left w:val="nil"/>
              <w:bottom w:val="nil"/>
              <w:right w:val="nil"/>
            </w:tcBorders>
            <w:shd w:val="clear" w:color="auto" w:fill="auto"/>
            <w:noWrap/>
            <w:vAlign w:val="center"/>
            <w:hideMark/>
          </w:tcPr>
          <w:p w14:paraId="06D1986E"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Subsidios para organismos descentralizados estatales</w:t>
            </w:r>
          </w:p>
        </w:tc>
        <w:tc>
          <w:tcPr>
            <w:tcW w:w="1277" w:type="pct"/>
            <w:tcBorders>
              <w:top w:val="nil"/>
              <w:left w:val="nil"/>
              <w:bottom w:val="nil"/>
              <w:right w:val="nil"/>
            </w:tcBorders>
            <w:shd w:val="clear" w:color="auto" w:fill="auto"/>
            <w:noWrap/>
            <w:vAlign w:val="center"/>
            <w:hideMark/>
          </w:tcPr>
          <w:p w14:paraId="31D15575" w14:textId="77777777" w:rsidR="00F77FE5" w:rsidRPr="00F77FE5" w:rsidRDefault="007D0E11" w:rsidP="007D0E11">
            <w:pPr>
              <w:spacing w:before="20" w:after="0"/>
              <w:jc w:val="both"/>
              <w:rPr>
                <w:rFonts w:eastAsia="Times New Roman"/>
                <w:sz w:val="12"/>
                <w:szCs w:val="20"/>
                <w:lang w:val="es-ES" w:eastAsia="en-US"/>
              </w:rPr>
            </w:pPr>
            <w:r>
              <w:rPr>
                <w:rFonts w:eastAsia="Times New Roman"/>
                <w:sz w:val="12"/>
                <w:szCs w:val="20"/>
                <w:lang w:val="es-ES" w:eastAsia="en-US"/>
              </w:rPr>
              <w:t>I</w:t>
            </w:r>
            <w:r w:rsidR="00F77FE5" w:rsidRPr="00F77FE5">
              <w:rPr>
                <w:rFonts w:eastAsia="Times New Roman"/>
                <w:sz w:val="12"/>
                <w:szCs w:val="20"/>
                <w:lang w:val="es-ES" w:eastAsia="en-US"/>
              </w:rPr>
              <w:t>ndefinición de metas sexenales para los indicadores de nivel propósito y componente de la Matriz de Indicadores para Resultados 2016, por lo cual se carece de un parámetro para valorar su relevancia hacia el 2018.</w:t>
            </w:r>
          </w:p>
        </w:tc>
        <w:tc>
          <w:tcPr>
            <w:tcW w:w="843" w:type="pct"/>
            <w:tcBorders>
              <w:top w:val="nil"/>
              <w:left w:val="nil"/>
              <w:bottom w:val="nil"/>
              <w:right w:val="nil"/>
            </w:tcBorders>
            <w:shd w:val="clear" w:color="auto" w:fill="auto"/>
            <w:noWrap/>
            <w:vAlign w:val="center"/>
            <w:hideMark/>
          </w:tcPr>
          <w:p w14:paraId="46C8246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Institucional</w:t>
            </w:r>
          </w:p>
        </w:tc>
        <w:tc>
          <w:tcPr>
            <w:tcW w:w="366" w:type="pct"/>
            <w:tcBorders>
              <w:top w:val="nil"/>
              <w:left w:val="nil"/>
              <w:bottom w:val="nil"/>
              <w:right w:val="nil"/>
            </w:tcBorders>
            <w:shd w:val="clear" w:color="auto" w:fill="auto"/>
            <w:noWrap/>
            <w:vAlign w:val="center"/>
            <w:hideMark/>
          </w:tcPr>
          <w:p w14:paraId="07292E0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51D8901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354CCFDC" w14:textId="77777777" w:rsidTr="005A7CAD">
        <w:trPr>
          <w:trHeight w:val="300"/>
        </w:trPr>
        <w:tc>
          <w:tcPr>
            <w:tcW w:w="297" w:type="pct"/>
            <w:tcBorders>
              <w:top w:val="nil"/>
              <w:left w:val="nil"/>
              <w:bottom w:val="nil"/>
              <w:right w:val="nil"/>
            </w:tcBorders>
            <w:shd w:val="clear" w:color="auto" w:fill="auto"/>
            <w:noWrap/>
            <w:vAlign w:val="center"/>
            <w:hideMark/>
          </w:tcPr>
          <w:p w14:paraId="22703E2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470CFD4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585CDBC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U080</w:t>
            </w:r>
          </w:p>
        </w:tc>
        <w:tc>
          <w:tcPr>
            <w:tcW w:w="924" w:type="pct"/>
            <w:tcBorders>
              <w:top w:val="nil"/>
              <w:left w:val="nil"/>
              <w:bottom w:val="nil"/>
              <w:right w:val="nil"/>
            </w:tcBorders>
            <w:shd w:val="clear" w:color="auto" w:fill="auto"/>
            <w:noWrap/>
            <w:vAlign w:val="center"/>
            <w:hideMark/>
          </w:tcPr>
          <w:p w14:paraId="7D68B629"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Apoyos a centros y organizaciones de educación</w:t>
            </w:r>
          </w:p>
        </w:tc>
        <w:tc>
          <w:tcPr>
            <w:tcW w:w="1277" w:type="pct"/>
            <w:tcBorders>
              <w:top w:val="nil"/>
              <w:left w:val="nil"/>
              <w:bottom w:val="nil"/>
              <w:right w:val="nil"/>
            </w:tcBorders>
            <w:shd w:val="clear" w:color="auto" w:fill="auto"/>
            <w:noWrap/>
            <w:vAlign w:val="center"/>
            <w:hideMark/>
          </w:tcPr>
          <w:p w14:paraId="352144AC"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Las fichas técnicas de los indicadores del programa no especifican con claridad las fuentes de información.</w:t>
            </w:r>
          </w:p>
        </w:tc>
        <w:tc>
          <w:tcPr>
            <w:tcW w:w="843" w:type="pct"/>
            <w:tcBorders>
              <w:top w:val="nil"/>
              <w:left w:val="nil"/>
              <w:bottom w:val="nil"/>
              <w:right w:val="nil"/>
            </w:tcBorders>
            <w:shd w:val="clear" w:color="auto" w:fill="auto"/>
            <w:noWrap/>
            <w:vAlign w:val="center"/>
            <w:hideMark/>
          </w:tcPr>
          <w:p w14:paraId="5854450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Institucional</w:t>
            </w:r>
          </w:p>
        </w:tc>
        <w:tc>
          <w:tcPr>
            <w:tcW w:w="366" w:type="pct"/>
            <w:tcBorders>
              <w:top w:val="nil"/>
              <w:left w:val="nil"/>
              <w:bottom w:val="nil"/>
              <w:right w:val="nil"/>
            </w:tcBorders>
            <w:shd w:val="clear" w:color="auto" w:fill="auto"/>
            <w:noWrap/>
            <w:vAlign w:val="center"/>
            <w:hideMark/>
          </w:tcPr>
          <w:p w14:paraId="33E9603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1B1CA75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4805DD5F" w14:textId="77777777" w:rsidTr="005A7CAD">
        <w:trPr>
          <w:trHeight w:val="300"/>
        </w:trPr>
        <w:tc>
          <w:tcPr>
            <w:tcW w:w="297" w:type="pct"/>
            <w:tcBorders>
              <w:top w:val="nil"/>
              <w:left w:val="nil"/>
              <w:bottom w:val="nil"/>
              <w:right w:val="nil"/>
            </w:tcBorders>
            <w:shd w:val="clear" w:color="auto" w:fill="auto"/>
            <w:noWrap/>
            <w:vAlign w:val="center"/>
            <w:hideMark/>
          </w:tcPr>
          <w:p w14:paraId="5ECEEC2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4347A8E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2F2894D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U080</w:t>
            </w:r>
          </w:p>
        </w:tc>
        <w:tc>
          <w:tcPr>
            <w:tcW w:w="924" w:type="pct"/>
            <w:tcBorders>
              <w:top w:val="nil"/>
              <w:left w:val="nil"/>
              <w:bottom w:val="nil"/>
              <w:right w:val="nil"/>
            </w:tcBorders>
            <w:shd w:val="clear" w:color="auto" w:fill="auto"/>
            <w:noWrap/>
            <w:vAlign w:val="center"/>
            <w:hideMark/>
          </w:tcPr>
          <w:p w14:paraId="42E2E8E7"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Apoyos a centros y organizaciones de educación</w:t>
            </w:r>
          </w:p>
        </w:tc>
        <w:tc>
          <w:tcPr>
            <w:tcW w:w="1277" w:type="pct"/>
            <w:tcBorders>
              <w:top w:val="nil"/>
              <w:left w:val="nil"/>
              <w:bottom w:val="nil"/>
              <w:right w:val="nil"/>
            </w:tcBorders>
            <w:shd w:val="clear" w:color="auto" w:fill="auto"/>
            <w:noWrap/>
            <w:vAlign w:val="center"/>
            <w:hideMark/>
          </w:tcPr>
          <w:p w14:paraId="160DB5DF"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Una amenaza del programa se da al tratar de mostrar su diseño como un programa de desarrollo social, ya que su creación obedece más a un criterio presupuestal, por lo cual se dificulta mostrar resultados sobre lo que se espera obtener con la entrega de los apoyos.</w:t>
            </w:r>
          </w:p>
        </w:tc>
        <w:tc>
          <w:tcPr>
            <w:tcW w:w="843" w:type="pct"/>
            <w:tcBorders>
              <w:top w:val="nil"/>
              <w:left w:val="nil"/>
              <w:bottom w:val="nil"/>
              <w:right w:val="nil"/>
            </w:tcBorders>
            <w:shd w:val="clear" w:color="auto" w:fill="auto"/>
            <w:noWrap/>
            <w:vAlign w:val="center"/>
            <w:hideMark/>
          </w:tcPr>
          <w:p w14:paraId="2706D83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4CA1BCA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73CE2F9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33A6F516" w14:textId="77777777" w:rsidTr="005A7CAD">
        <w:trPr>
          <w:trHeight w:val="300"/>
        </w:trPr>
        <w:tc>
          <w:tcPr>
            <w:tcW w:w="297" w:type="pct"/>
            <w:tcBorders>
              <w:top w:val="nil"/>
              <w:left w:val="nil"/>
              <w:bottom w:val="nil"/>
              <w:right w:val="nil"/>
            </w:tcBorders>
            <w:shd w:val="clear" w:color="auto" w:fill="auto"/>
            <w:noWrap/>
            <w:vAlign w:val="center"/>
            <w:hideMark/>
          </w:tcPr>
          <w:p w14:paraId="240A740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40122DA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146F065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U082</w:t>
            </w:r>
          </w:p>
        </w:tc>
        <w:tc>
          <w:tcPr>
            <w:tcW w:w="924" w:type="pct"/>
            <w:tcBorders>
              <w:top w:val="nil"/>
              <w:left w:val="nil"/>
              <w:bottom w:val="nil"/>
              <w:right w:val="nil"/>
            </w:tcBorders>
            <w:shd w:val="clear" w:color="auto" w:fill="auto"/>
            <w:noWrap/>
            <w:vAlign w:val="center"/>
            <w:hideMark/>
          </w:tcPr>
          <w:p w14:paraId="0253E053"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la Reforma Educativa</w:t>
            </w:r>
          </w:p>
        </w:tc>
        <w:tc>
          <w:tcPr>
            <w:tcW w:w="1277" w:type="pct"/>
            <w:tcBorders>
              <w:top w:val="nil"/>
              <w:left w:val="nil"/>
              <w:bottom w:val="nil"/>
              <w:right w:val="nil"/>
            </w:tcBorders>
            <w:shd w:val="clear" w:color="auto" w:fill="auto"/>
            <w:noWrap/>
            <w:vAlign w:val="center"/>
            <w:hideMark/>
          </w:tcPr>
          <w:p w14:paraId="66D18F04" w14:textId="77777777" w:rsid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El programa cuenta con un diagnóstico que justifica su existencia e identifica el problema que se busca revertir.</w:t>
            </w:r>
          </w:p>
          <w:p w14:paraId="10687582" w14:textId="77777777" w:rsidR="00F42A12" w:rsidRPr="00F77FE5" w:rsidRDefault="00F42A12" w:rsidP="00F77FE5">
            <w:pPr>
              <w:spacing w:before="20" w:after="0"/>
              <w:jc w:val="both"/>
              <w:rPr>
                <w:rFonts w:eastAsia="Times New Roman"/>
                <w:sz w:val="12"/>
                <w:szCs w:val="20"/>
                <w:lang w:val="es-ES" w:eastAsia="en-US"/>
              </w:rPr>
            </w:pPr>
            <w:r>
              <w:rPr>
                <w:rFonts w:eastAsia="Times New Roman"/>
                <w:sz w:val="12"/>
                <w:szCs w:val="20"/>
                <w:lang w:val="es-ES" w:eastAsia="en-US"/>
              </w:rPr>
              <w:t>[</w:t>
            </w:r>
            <w:r w:rsidRPr="00F42A12">
              <w:rPr>
                <w:rFonts w:eastAsia="Times New Roman"/>
                <w:sz w:val="12"/>
                <w:szCs w:val="20"/>
                <w:lang w:val="es-ES" w:eastAsia="en-US"/>
              </w:rPr>
              <w:t>Actualizar periódicamente el diagnóstico</w:t>
            </w:r>
            <w:r w:rsidRPr="00F77FE5">
              <w:rPr>
                <w:rFonts w:eastAsia="Times New Roman"/>
                <w:sz w:val="12"/>
                <w:szCs w:val="20"/>
                <w:lang w:val="es-ES" w:eastAsia="en-US"/>
              </w:rPr>
              <w:t>].</w:t>
            </w:r>
            <w:r w:rsidRPr="00F77FE5">
              <w:rPr>
                <w:rFonts w:eastAsia="Times New Roman"/>
                <w:sz w:val="12"/>
                <w:szCs w:val="20"/>
                <w:vertAlign w:val="superscript"/>
                <w:lang w:val="es-ES" w:eastAsia="en-US"/>
              </w:rPr>
              <w:t>A_/</w:t>
            </w:r>
          </w:p>
        </w:tc>
        <w:tc>
          <w:tcPr>
            <w:tcW w:w="843" w:type="pct"/>
            <w:tcBorders>
              <w:top w:val="nil"/>
              <w:left w:val="nil"/>
              <w:bottom w:val="nil"/>
              <w:right w:val="nil"/>
            </w:tcBorders>
            <w:shd w:val="clear" w:color="auto" w:fill="auto"/>
            <w:noWrap/>
            <w:vAlign w:val="center"/>
            <w:hideMark/>
          </w:tcPr>
          <w:p w14:paraId="1270B9A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098FACD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67E768A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23E89FD6" w14:textId="77777777" w:rsidTr="005A7CAD">
        <w:trPr>
          <w:trHeight w:val="300"/>
        </w:trPr>
        <w:tc>
          <w:tcPr>
            <w:tcW w:w="297" w:type="pct"/>
            <w:tcBorders>
              <w:top w:val="nil"/>
              <w:left w:val="nil"/>
              <w:bottom w:val="nil"/>
              <w:right w:val="nil"/>
            </w:tcBorders>
            <w:shd w:val="clear" w:color="auto" w:fill="auto"/>
            <w:noWrap/>
            <w:vAlign w:val="center"/>
            <w:hideMark/>
          </w:tcPr>
          <w:p w14:paraId="271510B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6E2F913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31E2455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U082</w:t>
            </w:r>
          </w:p>
        </w:tc>
        <w:tc>
          <w:tcPr>
            <w:tcW w:w="924" w:type="pct"/>
            <w:tcBorders>
              <w:top w:val="nil"/>
              <w:left w:val="nil"/>
              <w:bottom w:val="nil"/>
              <w:right w:val="nil"/>
            </w:tcBorders>
            <w:shd w:val="clear" w:color="auto" w:fill="auto"/>
            <w:noWrap/>
            <w:vAlign w:val="center"/>
            <w:hideMark/>
          </w:tcPr>
          <w:p w14:paraId="508BFA18"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la Reforma Educativa</w:t>
            </w:r>
          </w:p>
        </w:tc>
        <w:tc>
          <w:tcPr>
            <w:tcW w:w="1277" w:type="pct"/>
            <w:tcBorders>
              <w:top w:val="nil"/>
              <w:left w:val="nil"/>
              <w:bottom w:val="nil"/>
              <w:right w:val="nil"/>
            </w:tcBorders>
            <w:shd w:val="clear" w:color="auto" w:fill="auto"/>
            <w:noWrap/>
            <w:vAlign w:val="center"/>
            <w:hideMark/>
          </w:tcPr>
          <w:p w14:paraId="2506477B"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El programa cuenta con una meta de cobertura de mediano plazo (sexenal). Se observa que desde 2014 la población objetivo está cubierta en un aproximado 98%, pero se desconoce cuáles son las metas anuales en el mediano plazo hacia el 2018. En contraste, la población potencial sólo se alcanza a cubrir en un 10%.</w:t>
            </w:r>
          </w:p>
        </w:tc>
        <w:tc>
          <w:tcPr>
            <w:tcW w:w="843" w:type="pct"/>
            <w:tcBorders>
              <w:top w:val="nil"/>
              <w:left w:val="nil"/>
              <w:bottom w:val="nil"/>
              <w:right w:val="nil"/>
            </w:tcBorders>
            <w:shd w:val="clear" w:color="auto" w:fill="auto"/>
            <w:noWrap/>
            <w:vAlign w:val="center"/>
            <w:hideMark/>
          </w:tcPr>
          <w:p w14:paraId="7CF10E9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46C915E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2B59824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1DC722D1" w14:textId="77777777" w:rsidTr="005A7CAD">
        <w:trPr>
          <w:trHeight w:val="300"/>
        </w:trPr>
        <w:tc>
          <w:tcPr>
            <w:tcW w:w="297" w:type="pct"/>
            <w:tcBorders>
              <w:top w:val="nil"/>
              <w:left w:val="nil"/>
              <w:bottom w:val="nil"/>
              <w:right w:val="nil"/>
            </w:tcBorders>
            <w:shd w:val="clear" w:color="auto" w:fill="auto"/>
            <w:noWrap/>
            <w:vAlign w:val="center"/>
            <w:hideMark/>
          </w:tcPr>
          <w:p w14:paraId="2E48A2B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3398303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707F462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U082</w:t>
            </w:r>
          </w:p>
        </w:tc>
        <w:tc>
          <w:tcPr>
            <w:tcW w:w="924" w:type="pct"/>
            <w:tcBorders>
              <w:top w:val="nil"/>
              <w:left w:val="nil"/>
              <w:bottom w:val="nil"/>
              <w:right w:val="nil"/>
            </w:tcBorders>
            <w:shd w:val="clear" w:color="auto" w:fill="auto"/>
            <w:noWrap/>
            <w:vAlign w:val="center"/>
            <w:hideMark/>
          </w:tcPr>
          <w:p w14:paraId="5DB28C79"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la Reforma Educativa</w:t>
            </w:r>
          </w:p>
        </w:tc>
        <w:tc>
          <w:tcPr>
            <w:tcW w:w="1277" w:type="pct"/>
            <w:tcBorders>
              <w:top w:val="nil"/>
              <w:left w:val="nil"/>
              <w:bottom w:val="nil"/>
              <w:right w:val="nil"/>
            </w:tcBorders>
            <w:shd w:val="clear" w:color="auto" w:fill="auto"/>
            <w:noWrap/>
            <w:vAlign w:val="center"/>
            <w:hideMark/>
          </w:tcPr>
          <w:p w14:paraId="25C3DD31" w14:textId="77777777" w:rsidR="00F77FE5" w:rsidRPr="00F77FE5" w:rsidRDefault="00F77FE5" w:rsidP="007D0E11">
            <w:pPr>
              <w:spacing w:before="20" w:after="0"/>
              <w:jc w:val="both"/>
              <w:rPr>
                <w:rFonts w:eastAsia="Times New Roman"/>
                <w:sz w:val="12"/>
                <w:szCs w:val="20"/>
                <w:lang w:val="es-ES" w:eastAsia="en-US"/>
              </w:rPr>
            </w:pPr>
            <w:r w:rsidRPr="00F77FE5">
              <w:rPr>
                <w:rFonts w:eastAsia="Times New Roman"/>
                <w:sz w:val="12"/>
                <w:szCs w:val="20"/>
                <w:lang w:val="es-ES" w:eastAsia="en-US"/>
              </w:rPr>
              <w:t>El propósito de la MIR alude a dos efectos o consecuencias: el logro de la autonomía de gestión de las comunidades escolares y la mejora en la prestación de servicios educativos. Est</w:t>
            </w:r>
            <w:r w:rsidR="007D0E11">
              <w:rPr>
                <w:rFonts w:eastAsia="Times New Roman"/>
                <w:sz w:val="12"/>
                <w:szCs w:val="20"/>
                <w:lang w:val="es-ES" w:eastAsia="en-US"/>
              </w:rPr>
              <w:t>e</w:t>
            </w:r>
            <w:r w:rsidRPr="00F77FE5">
              <w:rPr>
                <w:rFonts w:eastAsia="Times New Roman"/>
                <w:sz w:val="12"/>
                <w:szCs w:val="20"/>
                <w:lang w:val="es-ES" w:eastAsia="en-US"/>
              </w:rPr>
              <w:t xml:space="preserve"> hecho resulta confuso para entender el efecto directo que se busca lograr.</w:t>
            </w:r>
          </w:p>
        </w:tc>
        <w:tc>
          <w:tcPr>
            <w:tcW w:w="843" w:type="pct"/>
            <w:tcBorders>
              <w:top w:val="nil"/>
              <w:left w:val="nil"/>
              <w:bottom w:val="nil"/>
              <w:right w:val="nil"/>
            </w:tcBorders>
            <w:shd w:val="clear" w:color="auto" w:fill="auto"/>
            <w:noWrap/>
            <w:vAlign w:val="center"/>
            <w:hideMark/>
          </w:tcPr>
          <w:p w14:paraId="6609757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Institucional</w:t>
            </w:r>
          </w:p>
        </w:tc>
        <w:tc>
          <w:tcPr>
            <w:tcW w:w="366" w:type="pct"/>
            <w:tcBorders>
              <w:top w:val="nil"/>
              <w:left w:val="nil"/>
              <w:bottom w:val="nil"/>
              <w:right w:val="nil"/>
            </w:tcBorders>
            <w:shd w:val="clear" w:color="auto" w:fill="auto"/>
            <w:noWrap/>
            <w:vAlign w:val="center"/>
            <w:hideMark/>
          </w:tcPr>
          <w:p w14:paraId="13EC602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6E32612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3D207E7C" w14:textId="77777777" w:rsidTr="005A7CAD">
        <w:trPr>
          <w:trHeight w:val="300"/>
        </w:trPr>
        <w:tc>
          <w:tcPr>
            <w:tcW w:w="297" w:type="pct"/>
            <w:tcBorders>
              <w:top w:val="nil"/>
              <w:left w:val="nil"/>
              <w:bottom w:val="nil"/>
              <w:right w:val="nil"/>
            </w:tcBorders>
            <w:shd w:val="clear" w:color="auto" w:fill="auto"/>
            <w:noWrap/>
            <w:vAlign w:val="center"/>
            <w:hideMark/>
          </w:tcPr>
          <w:p w14:paraId="7B8F5E3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461DC62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7F47E1A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U082</w:t>
            </w:r>
          </w:p>
        </w:tc>
        <w:tc>
          <w:tcPr>
            <w:tcW w:w="924" w:type="pct"/>
            <w:tcBorders>
              <w:top w:val="nil"/>
              <w:left w:val="nil"/>
              <w:bottom w:val="nil"/>
              <w:right w:val="nil"/>
            </w:tcBorders>
            <w:shd w:val="clear" w:color="auto" w:fill="auto"/>
            <w:noWrap/>
            <w:vAlign w:val="center"/>
            <w:hideMark/>
          </w:tcPr>
          <w:p w14:paraId="03A84D1D"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la Reforma Educativa</w:t>
            </w:r>
          </w:p>
        </w:tc>
        <w:tc>
          <w:tcPr>
            <w:tcW w:w="1277" w:type="pct"/>
            <w:tcBorders>
              <w:top w:val="nil"/>
              <w:left w:val="nil"/>
              <w:bottom w:val="nil"/>
              <w:right w:val="nil"/>
            </w:tcBorders>
            <w:shd w:val="clear" w:color="auto" w:fill="auto"/>
            <w:noWrap/>
            <w:vAlign w:val="center"/>
            <w:hideMark/>
          </w:tcPr>
          <w:p w14:paraId="6AA300D0"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 xml:space="preserve">En el diagnóstico se analizan fundamentalmente dos aspectos: los rezagos de infraestructura y equipamiento de las escuelas de nivel básico; y, la incipiente autonomía de gestión de las comunidades escolares. Esta información permite justificar los componentes 1 y 2. </w:t>
            </w:r>
            <w:r w:rsidRPr="00F77FE5">
              <w:rPr>
                <w:rFonts w:eastAsia="Times New Roman"/>
                <w:sz w:val="12"/>
                <w:szCs w:val="20"/>
                <w:lang w:val="es-ES" w:eastAsia="en-US"/>
              </w:rPr>
              <w:lastRenderedPageBreak/>
              <w:t>Sin embargo, el diagnóstico no posee información sobre la situación que guardan las Supervisiones de zona ni sobre la instalación y mantenimiento de bebederos escolares.</w:t>
            </w:r>
          </w:p>
        </w:tc>
        <w:tc>
          <w:tcPr>
            <w:tcW w:w="843" w:type="pct"/>
            <w:tcBorders>
              <w:top w:val="nil"/>
              <w:left w:val="nil"/>
              <w:bottom w:val="nil"/>
              <w:right w:val="nil"/>
            </w:tcBorders>
            <w:shd w:val="clear" w:color="auto" w:fill="auto"/>
            <w:noWrap/>
            <w:vAlign w:val="center"/>
            <w:hideMark/>
          </w:tcPr>
          <w:p w14:paraId="0A631D0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lastRenderedPageBreak/>
              <w:t>Específico</w:t>
            </w:r>
          </w:p>
        </w:tc>
        <w:tc>
          <w:tcPr>
            <w:tcW w:w="366" w:type="pct"/>
            <w:tcBorders>
              <w:top w:val="nil"/>
              <w:left w:val="nil"/>
              <w:bottom w:val="nil"/>
              <w:right w:val="nil"/>
            </w:tcBorders>
            <w:shd w:val="clear" w:color="auto" w:fill="auto"/>
            <w:noWrap/>
            <w:vAlign w:val="center"/>
            <w:hideMark/>
          </w:tcPr>
          <w:p w14:paraId="175C895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540E214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4224617D" w14:textId="77777777" w:rsidTr="005A7CAD">
        <w:trPr>
          <w:trHeight w:val="300"/>
        </w:trPr>
        <w:tc>
          <w:tcPr>
            <w:tcW w:w="297" w:type="pct"/>
            <w:tcBorders>
              <w:top w:val="nil"/>
              <w:left w:val="nil"/>
              <w:bottom w:val="nil"/>
              <w:right w:val="nil"/>
            </w:tcBorders>
            <w:shd w:val="clear" w:color="auto" w:fill="auto"/>
            <w:noWrap/>
            <w:vAlign w:val="center"/>
            <w:hideMark/>
          </w:tcPr>
          <w:p w14:paraId="22A12A0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1BD5ECE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78EDAFF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U082</w:t>
            </w:r>
          </w:p>
        </w:tc>
        <w:tc>
          <w:tcPr>
            <w:tcW w:w="924" w:type="pct"/>
            <w:tcBorders>
              <w:top w:val="nil"/>
              <w:left w:val="nil"/>
              <w:bottom w:val="nil"/>
              <w:right w:val="nil"/>
            </w:tcBorders>
            <w:shd w:val="clear" w:color="auto" w:fill="auto"/>
            <w:noWrap/>
            <w:vAlign w:val="center"/>
            <w:hideMark/>
          </w:tcPr>
          <w:p w14:paraId="51842EA2"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la Reforma Educativa</w:t>
            </w:r>
          </w:p>
        </w:tc>
        <w:tc>
          <w:tcPr>
            <w:tcW w:w="1277" w:type="pct"/>
            <w:tcBorders>
              <w:top w:val="nil"/>
              <w:left w:val="nil"/>
              <w:bottom w:val="nil"/>
              <w:right w:val="nil"/>
            </w:tcBorders>
            <w:shd w:val="clear" w:color="auto" w:fill="auto"/>
            <w:noWrap/>
            <w:vAlign w:val="center"/>
            <w:hideMark/>
          </w:tcPr>
          <w:p w14:paraId="56FDD497" w14:textId="77777777" w:rsid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Las Autoridades Educativas Locales deben llevar a cabo evaluaciones externas del programa y el programa ha establecido planes de evaluación para los estados.</w:t>
            </w:r>
          </w:p>
          <w:p w14:paraId="62D19998" w14:textId="77777777" w:rsidR="00F42A12" w:rsidRPr="00F77FE5" w:rsidRDefault="00F42A12" w:rsidP="00F77FE5">
            <w:pPr>
              <w:spacing w:before="20" w:after="0"/>
              <w:jc w:val="both"/>
              <w:rPr>
                <w:rFonts w:eastAsia="Times New Roman"/>
                <w:sz w:val="12"/>
                <w:szCs w:val="20"/>
                <w:lang w:val="es-ES" w:eastAsia="en-US"/>
              </w:rPr>
            </w:pPr>
            <w:r>
              <w:rPr>
                <w:rFonts w:eastAsia="Times New Roman"/>
                <w:sz w:val="12"/>
                <w:szCs w:val="20"/>
                <w:lang w:val="es-ES" w:eastAsia="en-US"/>
              </w:rPr>
              <w:t>[</w:t>
            </w:r>
            <w:r w:rsidRPr="00F42A12">
              <w:rPr>
                <w:rFonts w:eastAsia="Times New Roman"/>
                <w:sz w:val="12"/>
                <w:szCs w:val="20"/>
                <w:lang w:val="es-ES" w:eastAsia="en-US"/>
              </w:rPr>
              <w:t>Continuar con la sistematización de los resultados de las evaluaciones externas a nivel local. Diseñar un plan de fortalecimiento del PRE con base en los resultados de las evaluaciones externas locales</w:t>
            </w:r>
            <w:r w:rsidRPr="00F77FE5">
              <w:rPr>
                <w:rFonts w:eastAsia="Times New Roman"/>
                <w:sz w:val="12"/>
                <w:szCs w:val="20"/>
                <w:lang w:val="es-ES" w:eastAsia="en-US"/>
              </w:rPr>
              <w:t>].</w:t>
            </w:r>
            <w:r w:rsidRPr="00F77FE5">
              <w:rPr>
                <w:rFonts w:eastAsia="Times New Roman"/>
                <w:sz w:val="12"/>
                <w:szCs w:val="20"/>
                <w:vertAlign w:val="superscript"/>
                <w:lang w:val="es-ES" w:eastAsia="en-US"/>
              </w:rPr>
              <w:t>A_/</w:t>
            </w:r>
          </w:p>
        </w:tc>
        <w:tc>
          <w:tcPr>
            <w:tcW w:w="843" w:type="pct"/>
            <w:tcBorders>
              <w:top w:val="nil"/>
              <w:left w:val="nil"/>
              <w:bottom w:val="nil"/>
              <w:right w:val="nil"/>
            </w:tcBorders>
            <w:shd w:val="clear" w:color="auto" w:fill="auto"/>
            <w:noWrap/>
            <w:vAlign w:val="center"/>
            <w:hideMark/>
          </w:tcPr>
          <w:p w14:paraId="1DFE35E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3C66EF6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53FA3DD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90</w:t>
            </w:r>
          </w:p>
        </w:tc>
      </w:tr>
      <w:tr w:rsidR="00F77FE5" w:rsidRPr="00F77FE5" w14:paraId="5D37A8FA" w14:textId="77777777" w:rsidTr="005A7CAD">
        <w:trPr>
          <w:trHeight w:val="300"/>
        </w:trPr>
        <w:tc>
          <w:tcPr>
            <w:tcW w:w="297" w:type="pct"/>
            <w:tcBorders>
              <w:top w:val="nil"/>
              <w:left w:val="nil"/>
              <w:bottom w:val="nil"/>
              <w:right w:val="nil"/>
            </w:tcBorders>
            <w:shd w:val="clear" w:color="auto" w:fill="auto"/>
            <w:noWrap/>
            <w:vAlign w:val="center"/>
            <w:hideMark/>
          </w:tcPr>
          <w:p w14:paraId="08BCCB3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4DCC7F1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SEP</w:t>
            </w:r>
          </w:p>
        </w:tc>
        <w:tc>
          <w:tcPr>
            <w:tcW w:w="356" w:type="pct"/>
            <w:tcBorders>
              <w:top w:val="nil"/>
              <w:left w:val="nil"/>
              <w:bottom w:val="nil"/>
              <w:right w:val="nil"/>
            </w:tcBorders>
            <w:shd w:val="clear" w:color="auto" w:fill="auto"/>
            <w:noWrap/>
            <w:vAlign w:val="center"/>
            <w:hideMark/>
          </w:tcPr>
          <w:p w14:paraId="3933FF6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U082</w:t>
            </w:r>
          </w:p>
        </w:tc>
        <w:tc>
          <w:tcPr>
            <w:tcW w:w="924" w:type="pct"/>
            <w:tcBorders>
              <w:top w:val="nil"/>
              <w:left w:val="nil"/>
              <w:bottom w:val="nil"/>
              <w:right w:val="nil"/>
            </w:tcBorders>
            <w:shd w:val="clear" w:color="auto" w:fill="auto"/>
            <w:noWrap/>
            <w:vAlign w:val="center"/>
            <w:hideMark/>
          </w:tcPr>
          <w:p w14:paraId="1AD9E3CB"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la Reforma Educativa</w:t>
            </w:r>
          </w:p>
        </w:tc>
        <w:tc>
          <w:tcPr>
            <w:tcW w:w="1277" w:type="pct"/>
            <w:tcBorders>
              <w:top w:val="nil"/>
              <w:left w:val="nil"/>
              <w:bottom w:val="nil"/>
              <w:right w:val="nil"/>
            </w:tcBorders>
            <w:shd w:val="clear" w:color="auto" w:fill="auto"/>
            <w:noWrap/>
            <w:vAlign w:val="center"/>
            <w:hideMark/>
          </w:tcPr>
          <w:p w14:paraId="3404A043" w14:textId="77777777" w:rsid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 xml:space="preserve">Las poblaciones </w:t>
            </w:r>
            <w:proofErr w:type="gramStart"/>
            <w:r w:rsidRPr="00F77FE5">
              <w:rPr>
                <w:rFonts w:eastAsia="Times New Roman"/>
                <w:sz w:val="12"/>
                <w:szCs w:val="20"/>
                <w:lang w:val="es-ES" w:eastAsia="en-US"/>
              </w:rPr>
              <w:t>potencial y objetivo</w:t>
            </w:r>
            <w:proofErr w:type="gramEnd"/>
            <w:r w:rsidRPr="00F77FE5">
              <w:rPr>
                <w:rFonts w:eastAsia="Times New Roman"/>
                <w:sz w:val="12"/>
                <w:szCs w:val="20"/>
                <w:lang w:val="es-ES" w:eastAsia="en-US"/>
              </w:rPr>
              <w:t xml:space="preserve"> están claramente definidas y cuantificadas.</w:t>
            </w:r>
          </w:p>
          <w:p w14:paraId="3085090D" w14:textId="77777777" w:rsidR="00F42A12" w:rsidRPr="00F77FE5" w:rsidRDefault="00F42A12" w:rsidP="00F42A12">
            <w:pPr>
              <w:spacing w:before="20" w:after="0"/>
              <w:jc w:val="both"/>
              <w:rPr>
                <w:rFonts w:eastAsia="Times New Roman"/>
                <w:sz w:val="12"/>
                <w:szCs w:val="20"/>
                <w:lang w:val="es-ES" w:eastAsia="en-US"/>
              </w:rPr>
            </w:pPr>
            <w:r>
              <w:rPr>
                <w:rFonts w:eastAsia="Times New Roman"/>
                <w:sz w:val="12"/>
                <w:szCs w:val="20"/>
                <w:lang w:val="es-ES" w:eastAsia="en-US"/>
              </w:rPr>
              <w:t>[</w:t>
            </w:r>
            <w:r w:rsidRPr="00F42A12">
              <w:rPr>
                <w:rFonts w:eastAsia="Times New Roman"/>
                <w:sz w:val="12"/>
                <w:szCs w:val="20"/>
                <w:lang w:val="es-ES" w:eastAsia="en-US"/>
              </w:rPr>
              <w:t>Evitar el uso indistinto de los conceptos comunidad escolar y escuelas en los documentos generados en el marco del programa</w:t>
            </w:r>
            <w:r w:rsidRPr="00F77FE5">
              <w:rPr>
                <w:rFonts w:eastAsia="Times New Roman"/>
                <w:sz w:val="12"/>
                <w:szCs w:val="20"/>
                <w:lang w:val="es-ES" w:eastAsia="en-US"/>
              </w:rPr>
              <w:t>].</w:t>
            </w:r>
            <w:r w:rsidRPr="00F77FE5">
              <w:rPr>
                <w:rFonts w:eastAsia="Times New Roman"/>
                <w:sz w:val="12"/>
                <w:szCs w:val="20"/>
                <w:vertAlign w:val="superscript"/>
                <w:lang w:val="es-ES" w:eastAsia="en-US"/>
              </w:rPr>
              <w:t>A_/</w:t>
            </w:r>
          </w:p>
        </w:tc>
        <w:tc>
          <w:tcPr>
            <w:tcW w:w="843" w:type="pct"/>
            <w:tcBorders>
              <w:top w:val="nil"/>
              <w:left w:val="nil"/>
              <w:bottom w:val="nil"/>
              <w:right w:val="nil"/>
            </w:tcBorders>
            <w:shd w:val="clear" w:color="auto" w:fill="auto"/>
            <w:noWrap/>
            <w:vAlign w:val="center"/>
            <w:hideMark/>
          </w:tcPr>
          <w:p w14:paraId="7AB901F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268DADE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24549DD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78D932E5" w14:textId="77777777" w:rsidTr="005A7CAD">
        <w:trPr>
          <w:trHeight w:val="300"/>
        </w:trPr>
        <w:tc>
          <w:tcPr>
            <w:tcW w:w="297" w:type="pct"/>
            <w:tcBorders>
              <w:top w:val="nil"/>
              <w:left w:val="nil"/>
              <w:bottom w:val="nil"/>
              <w:right w:val="nil"/>
            </w:tcBorders>
            <w:shd w:val="clear" w:color="auto" w:fill="auto"/>
            <w:noWrap/>
            <w:vAlign w:val="center"/>
            <w:hideMark/>
          </w:tcPr>
          <w:p w14:paraId="3B5A6C4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16F93B3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CONADE</w:t>
            </w:r>
          </w:p>
        </w:tc>
        <w:tc>
          <w:tcPr>
            <w:tcW w:w="356" w:type="pct"/>
            <w:tcBorders>
              <w:top w:val="nil"/>
              <w:left w:val="nil"/>
              <w:bottom w:val="nil"/>
              <w:right w:val="nil"/>
            </w:tcBorders>
            <w:shd w:val="clear" w:color="auto" w:fill="auto"/>
            <w:noWrap/>
            <w:vAlign w:val="center"/>
            <w:hideMark/>
          </w:tcPr>
          <w:p w14:paraId="72604DE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S269</w:t>
            </w:r>
          </w:p>
        </w:tc>
        <w:tc>
          <w:tcPr>
            <w:tcW w:w="924" w:type="pct"/>
            <w:tcBorders>
              <w:top w:val="nil"/>
              <w:left w:val="nil"/>
              <w:bottom w:val="nil"/>
              <w:right w:val="nil"/>
            </w:tcBorders>
            <w:shd w:val="clear" w:color="auto" w:fill="auto"/>
            <w:noWrap/>
            <w:vAlign w:val="center"/>
            <w:hideMark/>
          </w:tcPr>
          <w:p w14:paraId="739A1406"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Cultura Física y Deporte</w:t>
            </w:r>
          </w:p>
        </w:tc>
        <w:tc>
          <w:tcPr>
            <w:tcW w:w="1277" w:type="pct"/>
            <w:tcBorders>
              <w:top w:val="nil"/>
              <w:left w:val="nil"/>
              <w:bottom w:val="nil"/>
              <w:right w:val="nil"/>
            </w:tcBorders>
            <w:shd w:val="clear" w:color="auto" w:fill="auto"/>
            <w:noWrap/>
            <w:vAlign w:val="center"/>
            <w:hideMark/>
          </w:tcPr>
          <w:p w14:paraId="78FF1A7E" w14:textId="77777777" w:rsid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El Programa tiene un sistema informático denominado como “Sistema de Solicitudes y Comprobación de Recursos”, cuenta con funcionalidades necesarias para conocer la demanda total de apoyos para la línea de acción de Promoción a la excelencia en el deporte de alto rendimiento, sus beneficiarios finales y la administración de los apoyos.</w:t>
            </w:r>
          </w:p>
          <w:p w14:paraId="6DA85EC3" w14:textId="77777777" w:rsidR="00F42A12" w:rsidRPr="00F77FE5" w:rsidRDefault="00F42A12" w:rsidP="00F77FE5">
            <w:pPr>
              <w:spacing w:before="20" w:after="0"/>
              <w:jc w:val="both"/>
              <w:rPr>
                <w:rFonts w:eastAsia="Times New Roman"/>
                <w:sz w:val="12"/>
                <w:szCs w:val="20"/>
                <w:lang w:val="es-ES" w:eastAsia="en-US"/>
              </w:rPr>
            </w:pPr>
            <w:r>
              <w:rPr>
                <w:rFonts w:eastAsia="Times New Roman"/>
                <w:sz w:val="12"/>
                <w:szCs w:val="20"/>
                <w:lang w:val="es-ES" w:eastAsia="en-US"/>
              </w:rPr>
              <w:t>[</w:t>
            </w:r>
            <w:r w:rsidRPr="00F42A12">
              <w:rPr>
                <w:rFonts w:eastAsia="Times New Roman"/>
                <w:sz w:val="12"/>
                <w:szCs w:val="20"/>
                <w:lang w:val="es-ES" w:eastAsia="en-US"/>
              </w:rPr>
              <w:t>Se sugiere que el Programa modifique sus sistemas informáticos para permitir la captación de demanda en todas las líneas de acción, que actualmente sólo admiten el seguimiento de beneficiarios y la comprobación</w:t>
            </w:r>
            <w:r w:rsidRPr="00F77FE5">
              <w:rPr>
                <w:rFonts w:eastAsia="Times New Roman"/>
                <w:sz w:val="12"/>
                <w:szCs w:val="20"/>
                <w:lang w:val="es-ES" w:eastAsia="en-US"/>
              </w:rPr>
              <w:t>].</w:t>
            </w:r>
            <w:r w:rsidRPr="00F77FE5">
              <w:rPr>
                <w:rFonts w:eastAsia="Times New Roman"/>
                <w:sz w:val="12"/>
                <w:szCs w:val="20"/>
                <w:vertAlign w:val="superscript"/>
                <w:lang w:val="es-ES" w:eastAsia="en-US"/>
              </w:rPr>
              <w:t>A_/</w:t>
            </w:r>
          </w:p>
        </w:tc>
        <w:tc>
          <w:tcPr>
            <w:tcW w:w="843" w:type="pct"/>
            <w:tcBorders>
              <w:top w:val="nil"/>
              <w:left w:val="nil"/>
              <w:bottom w:val="nil"/>
              <w:right w:val="nil"/>
            </w:tcBorders>
            <w:shd w:val="clear" w:color="auto" w:fill="auto"/>
            <w:noWrap/>
            <w:vAlign w:val="center"/>
            <w:hideMark/>
          </w:tcPr>
          <w:p w14:paraId="6F485CF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46227E5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3456968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754326D6" w14:textId="77777777" w:rsidTr="005A7CAD">
        <w:trPr>
          <w:trHeight w:val="300"/>
        </w:trPr>
        <w:tc>
          <w:tcPr>
            <w:tcW w:w="297" w:type="pct"/>
            <w:tcBorders>
              <w:top w:val="nil"/>
              <w:left w:val="nil"/>
              <w:bottom w:val="nil"/>
              <w:right w:val="nil"/>
            </w:tcBorders>
            <w:shd w:val="clear" w:color="auto" w:fill="auto"/>
            <w:noWrap/>
            <w:vAlign w:val="center"/>
            <w:hideMark/>
          </w:tcPr>
          <w:p w14:paraId="3F827F7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0C5FDC7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CONADE</w:t>
            </w:r>
          </w:p>
        </w:tc>
        <w:tc>
          <w:tcPr>
            <w:tcW w:w="356" w:type="pct"/>
            <w:tcBorders>
              <w:top w:val="nil"/>
              <w:left w:val="nil"/>
              <w:bottom w:val="nil"/>
              <w:right w:val="nil"/>
            </w:tcBorders>
            <w:shd w:val="clear" w:color="auto" w:fill="auto"/>
            <w:noWrap/>
            <w:vAlign w:val="center"/>
            <w:hideMark/>
          </w:tcPr>
          <w:p w14:paraId="5499362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S269</w:t>
            </w:r>
          </w:p>
        </w:tc>
        <w:tc>
          <w:tcPr>
            <w:tcW w:w="924" w:type="pct"/>
            <w:tcBorders>
              <w:top w:val="nil"/>
              <w:left w:val="nil"/>
              <w:bottom w:val="nil"/>
              <w:right w:val="nil"/>
            </w:tcBorders>
            <w:shd w:val="clear" w:color="auto" w:fill="auto"/>
            <w:noWrap/>
            <w:vAlign w:val="center"/>
            <w:hideMark/>
          </w:tcPr>
          <w:p w14:paraId="14BEE16A"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Cultura Física y Deporte</w:t>
            </w:r>
          </w:p>
        </w:tc>
        <w:tc>
          <w:tcPr>
            <w:tcW w:w="1277" w:type="pct"/>
            <w:tcBorders>
              <w:top w:val="nil"/>
              <w:left w:val="nil"/>
              <w:bottom w:val="nil"/>
              <w:right w:val="nil"/>
            </w:tcBorders>
            <w:shd w:val="clear" w:color="auto" w:fill="auto"/>
            <w:noWrap/>
            <w:vAlign w:val="center"/>
            <w:hideMark/>
          </w:tcPr>
          <w:p w14:paraId="79DA6D48"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Están desactualizados los manuales de procedimientos de la CONADE.</w:t>
            </w:r>
          </w:p>
        </w:tc>
        <w:tc>
          <w:tcPr>
            <w:tcW w:w="843" w:type="pct"/>
            <w:tcBorders>
              <w:top w:val="nil"/>
              <w:left w:val="nil"/>
              <w:bottom w:val="nil"/>
              <w:right w:val="nil"/>
            </w:tcBorders>
            <w:shd w:val="clear" w:color="auto" w:fill="auto"/>
            <w:noWrap/>
            <w:vAlign w:val="center"/>
            <w:hideMark/>
          </w:tcPr>
          <w:p w14:paraId="4B9F51D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3A12F06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039E919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45</w:t>
            </w:r>
          </w:p>
        </w:tc>
      </w:tr>
      <w:tr w:rsidR="00F77FE5" w:rsidRPr="00F77FE5" w14:paraId="6EFEB2BA" w14:textId="77777777" w:rsidTr="005A7CAD">
        <w:trPr>
          <w:trHeight w:val="300"/>
        </w:trPr>
        <w:tc>
          <w:tcPr>
            <w:tcW w:w="297" w:type="pct"/>
            <w:tcBorders>
              <w:top w:val="nil"/>
              <w:left w:val="nil"/>
              <w:bottom w:val="nil"/>
              <w:right w:val="nil"/>
            </w:tcBorders>
            <w:shd w:val="clear" w:color="auto" w:fill="auto"/>
            <w:noWrap/>
            <w:vAlign w:val="center"/>
            <w:hideMark/>
          </w:tcPr>
          <w:p w14:paraId="2C35E4A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2A92309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CONADE</w:t>
            </w:r>
          </w:p>
        </w:tc>
        <w:tc>
          <w:tcPr>
            <w:tcW w:w="356" w:type="pct"/>
            <w:tcBorders>
              <w:top w:val="nil"/>
              <w:left w:val="nil"/>
              <w:bottom w:val="nil"/>
              <w:right w:val="nil"/>
            </w:tcBorders>
            <w:shd w:val="clear" w:color="auto" w:fill="auto"/>
            <w:noWrap/>
            <w:vAlign w:val="center"/>
            <w:hideMark/>
          </w:tcPr>
          <w:p w14:paraId="455EDAB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S269</w:t>
            </w:r>
          </w:p>
        </w:tc>
        <w:tc>
          <w:tcPr>
            <w:tcW w:w="924" w:type="pct"/>
            <w:tcBorders>
              <w:top w:val="nil"/>
              <w:left w:val="nil"/>
              <w:bottom w:val="nil"/>
              <w:right w:val="nil"/>
            </w:tcBorders>
            <w:shd w:val="clear" w:color="auto" w:fill="auto"/>
            <w:noWrap/>
            <w:vAlign w:val="center"/>
            <w:hideMark/>
          </w:tcPr>
          <w:p w14:paraId="62FA3BE1"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Cultura Física y Deporte</w:t>
            </w:r>
          </w:p>
        </w:tc>
        <w:tc>
          <w:tcPr>
            <w:tcW w:w="1277" w:type="pct"/>
            <w:tcBorders>
              <w:top w:val="nil"/>
              <w:left w:val="nil"/>
              <w:bottom w:val="nil"/>
              <w:right w:val="nil"/>
            </w:tcBorders>
            <w:shd w:val="clear" w:color="auto" w:fill="auto"/>
            <w:noWrap/>
            <w:vAlign w:val="center"/>
            <w:hideMark/>
          </w:tcPr>
          <w:p w14:paraId="34D821EC"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La población objetivo se encuentra definida de manera diferente: en Reglas de Operación señalan “personas físicas y organismos”, en el diagnóstico mencionan “es la población mexicana que se encuentra en el rango de edad de los 4 años y más”; y en la MIR “Las instituciones públicas estatales responsables del deporte en las 32 entidades federativas”.</w:t>
            </w:r>
          </w:p>
        </w:tc>
        <w:tc>
          <w:tcPr>
            <w:tcW w:w="843" w:type="pct"/>
            <w:tcBorders>
              <w:top w:val="nil"/>
              <w:left w:val="nil"/>
              <w:bottom w:val="nil"/>
              <w:right w:val="nil"/>
            </w:tcBorders>
            <w:shd w:val="clear" w:color="auto" w:fill="auto"/>
            <w:noWrap/>
            <w:vAlign w:val="center"/>
            <w:hideMark/>
          </w:tcPr>
          <w:p w14:paraId="629A25E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4EAC566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447C48B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52.33</w:t>
            </w:r>
          </w:p>
        </w:tc>
      </w:tr>
      <w:tr w:rsidR="00F77FE5" w:rsidRPr="00F77FE5" w14:paraId="4B1B3794" w14:textId="77777777" w:rsidTr="005A7CAD">
        <w:trPr>
          <w:trHeight w:val="300"/>
        </w:trPr>
        <w:tc>
          <w:tcPr>
            <w:tcW w:w="297" w:type="pct"/>
            <w:tcBorders>
              <w:top w:val="nil"/>
              <w:left w:val="nil"/>
              <w:bottom w:val="nil"/>
              <w:right w:val="nil"/>
            </w:tcBorders>
            <w:shd w:val="clear" w:color="auto" w:fill="auto"/>
            <w:noWrap/>
            <w:vAlign w:val="center"/>
            <w:hideMark/>
          </w:tcPr>
          <w:p w14:paraId="3C1B7B6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11</w:t>
            </w:r>
          </w:p>
        </w:tc>
        <w:tc>
          <w:tcPr>
            <w:tcW w:w="497" w:type="pct"/>
            <w:tcBorders>
              <w:top w:val="nil"/>
              <w:left w:val="nil"/>
              <w:bottom w:val="nil"/>
              <w:right w:val="nil"/>
            </w:tcBorders>
            <w:shd w:val="clear" w:color="auto" w:fill="auto"/>
            <w:noWrap/>
            <w:vAlign w:val="center"/>
            <w:hideMark/>
          </w:tcPr>
          <w:p w14:paraId="05595B8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INEA</w:t>
            </w:r>
          </w:p>
        </w:tc>
        <w:tc>
          <w:tcPr>
            <w:tcW w:w="356" w:type="pct"/>
            <w:tcBorders>
              <w:top w:val="nil"/>
              <w:left w:val="nil"/>
              <w:bottom w:val="nil"/>
              <w:right w:val="nil"/>
            </w:tcBorders>
            <w:shd w:val="clear" w:color="auto" w:fill="auto"/>
            <w:noWrap/>
            <w:vAlign w:val="center"/>
            <w:hideMark/>
          </w:tcPr>
          <w:p w14:paraId="50185C3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E064</w:t>
            </w:r>
          </w:p>
        </w:tc>
        <w:tc>
          <w:tcPr>
            <w:tcW w:w="924" w:type="pct"/>
            <w:tcBorders>
              <w:top w:val="nil"/>
              <w:left w:val="nil"/>
              <w:bottom w:val="nil"/>
              <w:right w:val="nil"/>
            </w:tcBorders>
            <w:shd w:val="clear" w:color="auto" w:fill="auto"/>
            <w:noWrap/>
            <w:vAlign w:val="center"/>
            <w:hideMark/>
          </w:tcPr>
          <w:p w14:paraId="5195DF6D"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Educación para Adultos (INEA)</w:t>
            </w:r>
          </w:p>
        </w:tc>
        <w:tc>
          <w:tcPr>
            <w:tcW w:w="1277" w:type="pct"/>
            <w:tcBorders>
              <w:top w:val="nil"/>
              <w:left w:val="nil"/>
              <w:bottom w:val="nil"/>
              <w:right w:val="nil"/>
            </w:tcBorders>
            <w:shd w:val="clear" w:color="auto" w:fill="auto"/>
            <w:noWrap/>
            <w:vAlign w:val="center"/>
            <w:hideMark/>
          </w:tcPr>
          <w:p w14:paraId="7DA93CB3" w14:textId="77777777" w:rsidR="00F77FE5" w:rsidRPr="00F77FE5" w:rsidRDefault="00F77FE5" w:rsidP="00F77FE5">
            <w:pPr>
              <w:spacing w:before="20" w:after="0"/>
              <w:jc w:val="both"/>
              <w:rPr>
                <w:rFonts w:eastAsia="Times New Roman"/>
                <w:sz w:val="12"/>
                <w:szCs w:val="20"/>
                <w:lang w:val="es-ES" w:eastAsia="en-US"/>
              </w:rPr>
            </w:pPr>
            <w:r w:rsidRPr="005156D7">
              <w:rPr>
                <w:rFonts w:eastAsia="Times New Roman"/>
                <w:sz w:val="12"/>
                <w:szCs w:val="20"/>
                <w:lang w:val="es-ES" w:eastAsia="en-US"/>
              </w:rPr>
              <w:t>No se identifican limitaciones, fallas o defectos de los insumos o procesos internos del programa o los factores del entorno que, de manera directa o indirecta, puedan afectar negativamente el quehacer del programa.</w:t>
            </w:r>
          </w:p>
        </w:tc>
        <w:tc>
          <w:tcPr>
            <w:tcW w:w="843" w:type="pct"/>
            <w:tcBorders>
              <w:top w:val="nil"/>
              <w:left w:val="nil"/>
              <w:bottom w:val="nil"/>
              <w:right w:val="nil"/>
            </w:tcBorders>
            <w:shd w:val="clear" w:color="auto" w:fill="auto"/>
            <w:noWrap/>
            <w:vAlign w:val="center"/>
            <w:hideMark/>
          </w:tcPr>
          <w:p w14:paraId="608A92A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3F2881E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100C837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15</w:t>
            </w:r>
          </w:p>
        </w:tc>
      </w:tr>
      <w:tr w:rsidR="00F77FE5" w:rsidRPr="00F77FE5" w14:paraId="15A23E21" w14:textId="77777777" w:rsidTr="005A7CAD">
        <w:trPr>
          <w:trHeight w:val="300"/>
        </w:trPr>
        <w:tc>
          <w:tcPr>
            <w:tcW w:w="297" w:type="pct"/>
            <w:tcBorders>
              <w:top w:val="nil"/>
              <w:left w:val="nil"/>
              <w:bottom w:val="nil"/>
              <w:right w:val="nil"/>
            </w:tcBorders>
            <w:shd w:val="clear" w:color="auto" w:fill="auto"/>
            <w:noWrap/>
            <w:vAlign w:val="center"/>
            <w:hideMark/>
          </w:tcPr>
          <w:p w14:paraId="6E30051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433FA1B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CNPSS</w:t>
            </w:r>
          </w:p>
        </w:tc>
        <w:tc>
          <w:tcPr>
            <w:tcW w:w="356" w:type="pct"/>
            <w:tcBorders>
              <w:top w:val="nil"/>
              <w:left w:val="nil"/>
              <w:bottom w:val="nil"/>
              <w:right w:val="nil"/>
            </w:tcBorders>
            <w:shd w:val="clear" w:color="auto" w:fill="auto"/>
            <w:noWrap/>
            <w:vAlign w:val="center"/>
            <w:hideMark/>
          </w:tcPr>
          <w:p w14:paraId="7B2BAE0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U005</w:t>
            </w:r>
          </w:p>
        </w:tc>
        <w:tc>
          <w:tcPr>
            <w:tcW w:w="924" w:type="pct"/>
            <w:tcBorders>
              <w:top w:val="nil"/>
              <w:left w:val="nil"/>
              <w:bottom w:val="nil"/>
              <w:right w:val="nil"/>
            </w:tcBorders>
            <w:shd w:val="clear" w:color="auto" w:fill="auto"/>
            <w:noWrap/>
            <w:vAlign w:val="center"/>
            <w:hideMark/>
          </w:tcPr>
          <w:p w14:paraId="55C09730"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Seguro Popular</w:t>
            </w:r>
          </w:p>
        </w:tc>
        <w:tc>
          <w:tcPr>
            <w:tcW w:w="1277" w:type="pct"/>
            <w:tcBorders>
              <w:top w:val="nil"/>
              <w:left w:val="nil"/>
              <w:bottom w:val="nil"/>
              <w:right w:val="nil"/>
            </w:tcBorders>
            <w:shd w:val="clear" w:color="auto" w:fill="auto"/>
            <w:noWrap/>
            <w:vAlign w:val="center"/>
            <w:hideMark/>
          </w:tcPr>
          <w:p w14:paraId="5874F975" w14:textId="77777777" w:rsidR="00F77FE5" w:rsidRPr="00F77FE5" w:rsidRDefault="00F77FE5" w:rsidP="007D0E11">
            <w:pPr>
              <w:spacing w:before="20" w:after="0"/>
              <w:jc w:val="both"/>
              <w:rPr>
                <w:rFonts w:eastAsia="Times New Roman"/>
                <w:sz w:val="12"/>
                <w:szCs w:val="20"/>
                <w:lang w:val="es-ES" w:eastAsia="en-US"/>
              </w:rPr>
            </w:pPr>
            <w:r w:rsidRPr="00F77FE5">
              <w:rPr>
                <w:rFonts w:eastAsia="Times New Roman"/>
                <w:sz w:val="12"/>
                <w:szCs w:val="20"/>
                <w:lang w:val="es-ES" w:eastAsia="en-US"/>
              </w:rPr>
              <w:t>Diseñar un indicador que se refiera a la satisfacción de los beneficiarios de los servicios de salud otorgados con ayuda del Seguro Popular.</w:t>
            </w:r>
          </w:p>
        </w:tc>
        <w:tc>
          <w:tcPr>
            <w:tcW w:w="843" w:type="pct"/>
            <w:tcBorders>
              <w:top w:val="nil"/>
              <w:left w:val="nil"/>
              <w:bottom w:val="nil"/>
              <w:right w:val="nil"/>
            </w:tcBorders>
            <w:shd w:val="clear" w:color="auto" w:fill="auto"/>
            <w:noWrap/>
            <w:vAlign w:val="center"/>
            <w:hideMark/>
          </w:tcPr>
          <w:p w14:paraId="1A92E25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1002A9A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513266E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70</w:t>
            </w:r>
          </w:p>
        </w:tc>
      </w:tr>
      <w:tr w:rsidR="00F77FE5" w:rsidRPr="00F77FE5" w14:paraId="17EB3DFD" w14:textId="77777777" w:rsidTr="005A7CAD">
        <w:trPr>
          <w:trHeight w:val="300"/>
        </w:trPr>
        <w:tc>
          <w:tcPr>
            <w:tcW w:w="297" w:type="pct"/>
            <w:tcBorders>
              <w:top w:val="nil"/>
              <w:left w:val="nil"/>
              <w:bottom w:val="nil"/>
              <w:right w:val="nil"/>
            </w:tcBorders>
            <w:shd w:val="clear" w:color="auto" w:fill="auto"/>
            <w:noWrap/>
            <w:vAlign w:val="center"/>
            <w:hideMark/>
          </w:tcPr>
          <w:p w14:paraId="0C3630C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15FA5CB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CNPSS</w:t>
            </w:r>
          </w:p>
        </w:tc>
        <w:tc>
          <w:tcPr>
            <w:tcW w:w="356" w:type="pct"/>
            <w:tcBorders>
              <w:top w:val="nil"/>
              <w:left w:val="nil"/>
              <w:bottom w:val="nil"/>
              <w:right w:val="nil"/>
            </w:tcBorders>
            <w:shd w:val="clear" w:color="auto" w:fill="auto"/>
            <w:noWrap/>
            <w:vAlign w:val="center"/>
            <w:hideMark/>
          </w:tcPr>
          <w:p w14:paraId="40C3E68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U005</w:t>
            </w:r>
          </w:p>
        </w:tc>
        <w:tc>
          <w:tcPr>
            <w:tcW w:w="924" w:type="pct"/>
            <w:tcBorders>
              <w:top w:val="nil"/>
              <w:left w:val="nil"/>
              <w:bottom w:val="nil"/>
              <w:right w:val="nil"/>
            </w:tcBorders>
            <w:shd w:val="clear" w:color="auto" w:fill="auto"/>
            <w:noWrap/>
            <w:vAlign w:val="center"/>
            <w:hideMark/>
          </w:tcPr>
          <w:p w14:paraId="36704B52"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Seguro Popular</w:t>
            </w:r>
          </w:p>
        </w:tc>
        <w:tc>
          <w:tcPr>
            <w:tcW w:w="1277" w:type="pct"/>
            <w:tcBorders>
              <w:top w:val="nil"/>
              <w:left w:val="nil"/>
              <w:bottom w:val="nil"/>
              <w:right w:val="nil"/>
            </w:tcBorders>
            <w:shd w:val="clear" w:color="auto" w:fill="auto"/>
            <w:noWrap/>
            <w:vAlign w:val="center"/>
            <w:hideMark/>
          </w:tcPr>
          <w:p w14:paraId="0D06670D"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Realizar modificaciones a la MIR de acuerdo con recomendaciones de la evaluación.</w:t>
            </w:r>
          </w:p>
        </w:tc>
        <w:tc>
          <w:tcPr>
            <w:tcW w:w="843" w:type="pct"/>
            <w:tcBorders>
              <w:top w:val="nil"/>
              <w:left w:val="nil"/>
              <w:bottom w:val="nil"/>
              <w:right w:val="nil"/>
            </w:tcBorders>
            <w:shd w:val="clear" w:color="auto" w:fill="auto"/>
            <w:noWrap/>
            <w:vAlign w:val="center"/>
            <w:hideMark/>
          </w:tcPr>
          <w:p w14:paraId="49AC248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6C0241D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2DA46CB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95</w:t>
            </w:r>
          </w:p>
        </w:tc>
      </w:tr>
      <w:tr w:rsidR="00F77FE5" w:rsidRPr="00F77FE5" w14:paraId="005D1F50" w14:textId="77777777" w:rsidTr="005A7CAD">
        <w:trPr>
          <w:trHeight w:val="300"/>
        </w:trPr>
        <w:tc>
          <w:tcPr>
            <w:tcW w:w="297" w:type="pct"/>
            <w:tcBorders>
              <w:top w:val="nil"/>
              <w:left w:val="nil"/>
              <w:bottom w:val="nil"/>
              <w:right w:val="nil"/>
            </w:tcBorders>
            <w:shd w:val="clear" w:color="auto" w:fill="auto"/>
            <w:noWrap/>
            <w:vAlign w:val="center"/>
            <w:hideMark/>
          </w:tcPr>
          <w:p w14:paraId="36B5CB6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77492CF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DIF</w:t>
            </w:r>
          </w:p>
        </w:tc>
        <w:tc>
          <w:tcPr>
            <w:tcW w:w="356" w:type="pct"/>
            <w:tcBorders>
              <w:top w:val="nil"/>
              <w:left w:val="nil"/>
              <w:bottom w:val="nil"/>
              <w:right w:val="nil"/>
            </w:tcBorders>
            <w:shd w:val="clear" w:color="auto" w:fill="auto"/>
            <w:noWrap/>
            <w:vAlign w:val="center"/>
            <w:hideMark/>
          </w:tcPr>
          <w:p w14:paraId="4D4F1E4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S039</w:t>
            </w:r>
          </w:p>
        </w:tc>
        <w:tc>
          <w:tcPr>
            <w:tcW w:w="924" w:type="pct"/>
            <w:tcBorders>
              <w:top w:val="nil"/>
              <w:left w:val="nil"/>
              <w:bottom w:val="nil"/>
              <w:right w:val="nil"/>
            </w:tcBorders>
            <w:shd w:val="clear" w:color="auto" w:fill="auto"/>
            <w:noWrap/>
            <w:vAlign w:val="center"/>
            <w:hideMark/>
          </w:tcPr>
          <w:p w14:paraId="6F49711E"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Atención a Personas con Discapacidad</w:t>
            </w:r>
          </w:p>
        </w:tc>
        <w:tc>
          <w:tcPr>
            <w:tcW w:w="1277" w:type="pct"/>
            <w:tcBorders>
              <w:top w:val="nil"/>
              <w:left w:val="nil"/>
              <w:bottom w:val="nil"/>
              <w:right w:val="nil"/>
            </w:tcBorders>
            <w:shd w:val="clear" w:color="auto" w:fill="auto"/>
            <w:noWrap/>
            <w:vAlign w:val="center"/>
            <w:hideMark/>
          </w:tcPr>
          <w:p w14:paraId="6F85783E"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Sistematizar los Padrones de la Población Objetivo Beneficiada por el Programa.</w:t>
            </w:r>
          </w:p>
        </w:tc>
        <w:tc>
          <w:tcPr>
            <w:tcW w:w="843" w:type="pct"/>
            <w:tcBorders>
              <w:top w:val="nil"/>
              <w:left w:val="nil"/>
              <w:bottom w:val="nil"/>
              <w:right w:val="nil"/>
            </w:tcBorders>
            <w:shd w:val="clear" w:color="auto" w:fill="auto"/>
            <w:noWrap/>
            <w:vAlign w:val="center"/>
            <w:hideMark/>
          </w:tcPr>
          <w:p w14:paraId="6E62D58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60A6E21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7D3BF61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75</w:t>
            </w:r>
          </w:p>
        </w:tc>
      </w:tr>
      <w:tr w:rsidR="00F77FE5" w:rsidRPr="00F77FE5" w14:paraId="1AA8D419" w14:textId="77777777" w:rsidTr="005A7CAD">
        <w:trPr>
          <w:trHeight w:val="300"/>
        </w:trPr>
        <w:tc>
          <w:tcPr>
            <w:tcW w:w="297" w:type="pct"/>
            <w:tcBorders>
              <w:top w:val="nil"/>
              <w:left w:val="nil"/>
              <w:bottom w:val="nil"/>
              <w:right w:val="nil"/>
            </w:tcBorders>
            <w:shd w:val="clear" w:color="auto" w:fill="auto"/>
            <w:noWrap/>
            <w:vAlign w:val="center"/>
            <w:hideMark/>
          </w:tcPr>
          <w:p w14:paraId="0F86E7D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45795AF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DIF</w:t>
            </w:r>
          </w:p>
        </w:tc>
        <w:tc>
          <w:tcPr>
            <w:tcW w:w="356" w:type="pct"/>
            <w:tcBorders>
              <w:top w:val="nil"/>
              <w:left w:val="nil"/>
              <w:bottom w:val="nil"/>
              <w:right w:val="nil"/>
            </w:tcBorders>
            <w:shd w:val="clear" w:color="auto" w:fill="auto"/>
            <w:noWrap/>
            <w:vAlign w:val="center"/>
            <w:hideMark/>
          </w:tcPr>
          <w:p w14:paraId="5BA42DA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S272</w:t>
            </w:r>
          </w:p>
        </w:tc>
        <w:tc>
          <w:tcPr>
            <w:tcW w:w="924" w:type="pct"/>
            <w:tcBorders>
              <w:top w:val="nil"/>
              <w:left w:val="nil"/>
              <w:bottom w:val="nil"/>
              <w:right w:val="nil"/>
            </w:tcBorders>
            <w:shd w:val="clear" w:color="auto" w:fill="auto"/>
            <w:noWrap/>
            <w:vAlign w:val="center"/>
            <w:hideMark/>
          </w:tcPr>
          <w:p w14:paraId="44781CE2"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Apoyos para la protección de las personas en estado de necesidad</w:t>
            </w:r>
          </w:p>
        </w:tc>
        <w:tc>
          <w:tcPr>
            <w:tcW w:w="1277" w:type="pct"/>
            <w:tcBorders>
              <w:top w:val="nil"/>
              <w:left w:val="nil"/>
              <w:bottom w:val="nil"/>
              <w:right w:val="nil"/>
            </w:tcBorders>
            <w:shd w:val="clear" w:color="auto" w:fill="auto"/>
            <w:noWrap/>
            <w:vAlign w:val="center"/>
            <w:hideMark/>
          </w:tcPr>
          <w:p w14:paraId="4EF8F34D"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Definir y delimitar las poblaciones para mejor focalización de la intervención.</w:t>
            </w:r>
          </w:p>
        </w:tc>
        <w:tc>
          <w:tcPr>
            <w:tcW w:w="843" w:type="pct"/>
            <w:tcBorders>
              <w:top w:val="nil"/>
              <w:left w:val="nil"/>
              <w:bottom w:val="nil"/>
              <w:right w:val="nil"/>
            </w:tcBorders>
            <w:shd w:val="clear" w:color="auto" w:fill="auto"/>
            <w:noWrap/>
            <w:vAlign w:val="center"/>
            <w:hideMark/>
          </w:tcPr>
          <w:p w14:paraId="3F9AABB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2BBA3DA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22DD30E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AD4065" w:rsidRPr="00F77FE5" w14:paraId="0506DA43" w14:textId="77777777" w:rsidTr="00734546">
        <w:trPr>
          <w:trHeight w:val="300"/>
        </w:trPr>
        <w:tc>
          <w:tcPr>
            <w:tcW w:w="297" w:type="pct"/>
            <w:tcBorders>
              <w:top w:val="nil"/>
              <w:left w:val="nil"/>
              <w:bottom w:val="nil"/>
              <w:right w:val="nil"/>
            </w:tcBorders>
            <w:shd w:val="clear" w:color="auto" w:fill="auto"/>
            <w:noWrap/>
            <w:vAlign w:val="center"/>
            <w:hideMark/>
          </w:tcPr>
          <w:p w14:paraId="59DD8AF0" w14:textId="77777777" w:rsidR="00AD4065" w:rsidRPr="00F77FE5" w:rsidRDefault="00AD4065" w:rsidP="00734546">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2327FA72" w14:textId="77777777" w:rsidR="00AD4065" w:rsidRPr="00F77FE5" w:rsidRDefault="00AD4065" w:rsidP="00734546">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DIF</w:t>
            </w:r>
          </w:p>
        </w:tc>
        <w:tc>
          <w:tcPr>
            <w:tcW w:w="356" w:type="pct"/>
            <w:tcBorders>
              <w:top w:val="nil"/>
              <w:left w:val="nil"/>
              <w:bottom w:val="nil"/>
              <w:right w:val="nil"/>
            </w:tcBorders>
            <w:shd w:val="clear" w:color="auto" w:fill="auto"/>
            <w:noWrap/>
            <w:vAlign w:val="center"/>
            <w:hideMark/>
          </w:tcPr>
          <w:p w14:paraId="4FBFB869" w14:textId="77777777" w:rsidR="00AD4065" w:rsidRPr="00F77FE5" w:rsidRDefault="00AD4065" w:rsidP="00734546">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S272</w:t>
            </w:r>
          </w:p>
        </w:tc>
        <w:tc>
          <w:tcPr>
            <w:tcW w:w="924" w:type="pct"/>
            <w:tcBorders>
              <w:top w:val="nil"/>
              <w:left w:val="nil"/>
              <w:bottom w:val="nil"/>
              <w:right w:val="nil"/>
            </w:tcBorders>
            <w:shd w:val="clear" w:color="auto" w:fill="auto"/>
            <w:noWrap/>
            <w:vAlign w:val="center"/>
            <w:hideMark/>
          </w:tcPr>
          <w:p w14:paraId="09127B8D" w14:textId="77777777" w:rsidR="00AD4065" w:rsidRPr="00F77FE5" w:rsidRDefault="00AD4065" w:rsidP="00734546">
            <w:pPr>
              <w:spacing w:before="20" w:after="0"/>
              <w:rPr>
                <w:rFonts w:eastAsia="Times New Roman"/>
                <w:sz w:val="12"/>
                <w:szCs w:val="20"/>
                <w:lang w:val="es-ES" w:eastAsia="en-US"/>
              </w:rPr>
            </w:pPr>
            <w:r w:rsidRPr="00F77FE5">
              <w:rPr>
                <w:rFonts w:eastAsia="Times New Roman"/>
                <w:sz w:val="12"/>
                <w:szCs w:val="20"/>
                <w:lang w:val="es-ES" w:eastAsia="en-US"/>
              </w:rPr>
              <w:t>Apoyos para la protección de las personas en estado de necesidad</w:t>
            </w:r>
          </w:p>
        </w:tc>
        <w:tc>
          <w:tcPr>
            <w:tcW w:w="1277" w:type="pct"/>
            <w:tcBorders>
              <w:top w:val="nil"/>
              <w:left w:val="nil"/>
              <w:bottom w:val="nil"/>
              <w:right w:val="nil"/>
            </w:tcBorders>
            <w:shd w:val="clear" w:color="auto" w:fill="auto"/>
            <w:noWrap/>
            <w:vAlign w:val="center"/>
            <w:hideMark/>
          </w:tcPr>
          <w:p w14:paraId="251A76D0" w14:textId="77777777" w:rsidR="00AD4065" w:rsidRDefault="00AD4065" w:rsidP="00734546">
            <w:pPr>
              <w:spacing w:before="20" w:after="0"/>
              <w:jc w:val="both"/>
              <w:rPr>
                <w:rFonts w:eastAsia="Times New Roman"/>
                <w:sz w:val="12"/>
                <w:szCs w:val="20"/>
                <w:lang w:val="es-ES" w:eastAsia="en-US"/>
              </w:rPr>
            </w:pPr>
            <w:r w:rsidRPr="00F77FE5">
              <w:rPr>
                <w:rFonts w:eastAsia="Times New Roman"/>
                <w:sz w:val="12"/>
                <w:szCs w:val="20"/>
                <w:lang w:val="es-ES" w:eastAsia="en-US"/>
              </w:rPr>
              <w:t>Diseñar indicadores que midan el desempeño del Programa.</w:t>
            </w:r>
            <w:r w:rsidR="00F42A12">
              <w:rPr>
                <w:rFonts w:eastAsia="Times New Roman"/>
                <w:sz w:val="12"/>
                <w:szCs w:val="20"/>
                <w:lang w:val="es-ES" w:eastAsia="en-US"/>
              </w:rPr>
              <w:t xml:space="preserve"> </w:t>
            </w:r>
          </w:p>
          <w:p w14:paraId="034CD1F2" w14:textId="77777777" w:rsidR="00F42A12" w:rsidRPr="00F77FE5" w:rsidRDefault="00F42A12" w:rsidP="00734546">
            <w:pPr>
              <w:spacing w:before="20" w:after="0"/>
              <w:jc w:val="both"/>
              <w:rPr>
                <w:rFonts w:eastAsia="Times New Roman"/>
                <w:sz w:val="12"/>
                <w:szCs w:val="20"/>
                <w:lang w:val="es-ES" w:eastAsia="en-US"/>
              </w:rPr>
            </w:pPr>
            <w:r>
              <w:rPr>
                <w:rFonts w:eastAsia="Times New Roman"/>
                <w:sz w:val="12"/>
                <w:szCs w:val="20"/>
                <w:lang w:val="es-ES" w:eastAsia="en-US"/>
              </w:rPr>
              <w:t>(Indicadores)</w:t>
            </w:r>
          </w:p>
        </w:tc>
        <w:tc>
          <w:tcPr>
            <w:tcW w:w="843" w:type="pct"/>
            <w:tcBorders>
              <w:top w:val="nil"/>
              <w:left w:val="nil"/>
              <w:bottom w:val="nil"/>
              <w:right w:val="nil"/>
            </w:tcBorders>
            <w:shd w:val="clear" w:color="auto" w:fill="auto"/>
            <w:noWrap/>
            <w:vAlign w:val="center"/>
            <w:hideMark/>
          </w:tcPr>
          <w:p w14:paraId="351EF639" w14:textId="77777777" w:rsidR="00AD4065" w:rsidRPr="00F77FE5" w:rsidRDefault="00AD4065" w:rsidP="00734546">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7FD8C338" w14:textId="77777777" w:rsidR="00AD4065" w:rsidRPr="00F77FE5" w:rsidRDefault="00AD4065" w:rsidP="00734546">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39C63C5F" w14:textId="77777777" w:rsidR="00AD4065" w:rsidRPr="00F77FE5" w:rsidRDefault="00AD4065" w:rsidP="00734546">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6D3C702A" w14:textId="77777777" w:rsidTr="005A7CAD">
        <w:trPr>
          <w:trHeight w:val="300"/>
        </w:trPr>
        <w:tc>
          <w:tcPr>
            <w:tcW w:w="297" w:type="pct"/>
            <w:tcBorders>
              <w:top w:val="nil"/>
              <w:left w:val="nil"/>
              <w:bottom w:val="nil"/>
              <w:right w:val="nil"/>
            </w:tcBorders>
            <w:shd w:val="clear" w:color="auto" w:fill="auto"/>
            <w:noWrap/>
            <w:vAlign w:val="center"/>
            <w:hideMark/>
          </w:tcPr>
          <w:p w14:paraId="72EFF65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7ACA0B5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DIF</w:t>
            </w:r>
          </w:p>
        </w:tc>
        <w:tc>
          <w:tcPr>
            <w:tcW w:w="356" w:type="pct"/>
            <w:tcBorders>
              <w:top w:val="nil"/>
              <w:left w:val="nil"/>
              <w:bottom w:val="nil"/>
              <w:right w:val="nil"/>
            </w:tcBorders>
            <w:shd w:val="clear" w:color="auto" w:fill="auto"/>
            <w:noWrap/>
            <w:vAlign w:val="center"/>
            <w:hideMark/>
          </w:tcPr>
          <w:p w14:paraId="3422218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S272</w:t>
            </w:r>
          </w:p>
        </w:tc>
        <w:tc>
          <w:tcPr>
            <w:tcW w:w="924" w:type="pct"/>
            <w:tcBorders>
              <w:top w:val="nil"/>
              <w:left w:val="nil"/>
              <w:bottom w:val="nil"/>
              <w:right w:val="nil"/>
            </w:tcBorders>
            <w:shd w:val="clear" w:color="auto" w:fill="auto"/>
            <w:noWrap/>
            <w:vAlign w:val="center"/>
            <w:hideMark/>
          </w:tcPr>
          <w:p w14:paraId="1C6D5445"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Apoyos para la protección de las personas en estado de necesidad</w:t>
            </w:r>
          </w:p>
        </w:tc>
        <w:tc>
          <w:tcPr>
            <w:tcW w:w="1277" w:type="pct"/>
            <w:tcBorders>
              <w:top w:val="nil"/>
              <w:left w:val="nil"/>
              <w:bottom w:val="nil"/>
              <w:right w:val="nil"/>
            </w:tcBorders>
            <w:shd w:val="clear" w:color="auto" w:fill="auto"/>
            <w:noWrap/>
            <w:vAlign w:val="center"/>
            <w:hideMark/>
          </w:tcPr>
          <w:p w14:paraId="2946AA31" w14:textId="77777777" w:rsid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Diseñar indicadores que midan el desempeño del Programa.</w:t>
            </w:r>
          </w:p>
          <w:p w14:paraId="16FBEC73" w14:textId="77777777" w:rsidR="00F42A12" w:rsidRPr="00F77FE5" w:rsidRDefault="00F42A12" w:rsidP="00F77FE5">
            <w:pPr>
              <w:spacing w:before="20" w:after="0"/>
              <w:jc w:val="both"/>
              <w:rPr>
                <w:rFonts w:eastAsia="Times New Roman"/>
                <w:sz w:val="12"/>
                <w:szCs w:val="20"/>
                <w:lang w:val="es-ES" w:eastAsia="en-US"/>
              </w:rPr>
            </w:pPr>
            <w:r>
              <w:rPr>
                <w:rFonts w:eastAsia="Times New Roman"/>
                <w:sz w:val="12"/>
                <w:szCs w:val="20"/>
                <w:lang w:val="es-ES" w:eastAsia="en-US"/>
              </w:rPr>
              <w:t>(Diseño)</w:t>
            </w:r>
          </w:p>
        </w:tc>
        <w:tc>
          <w:tcPr>
            <w:tcW w:w="843" w:type="pct"/>
            <w:tcBorders>
              <w:top w:val="nil"/>
              <w:left w:val="nil"/>
              <w:bottom w:val="nil"/>
              <w:right w:val="nil"/>
            </w:tcBorders>
            <w:shd w:val="clear" w:color="auto" w:fill="auto"/>
            <w:noWrap/>
            <w:vAlign w:val="center"/>
            <w:hideMark/>
          </w:tcPr>
          <w:p w14:paraId="59AAB8A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057B372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62FF0A5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7C368789" w14:textId="77777777" w:rsidTr="005A7CAD">
        <w:trPr>
          <w:trHeight w:val="300"/>
        </w:trPr>
        <w:tc>
          <w:tcPr>
            <w:tcW w:w="297" w:type="pct"/>
            <w:tcBorders>
              <w:top w:val="nil"/>
              <w:left w:val="nil"/>
              <w:bottom w:val="nil"/>
              <w:right w:val="nil"/>
            </w:tcBorders>
            <w:shd w:val="clear" w:color="auto" w:fill="auto"/>
            <w:noWrap/>
            <w:vAlign w:val="center"/>
            <w:hideMark/>
          </w:tcPr>
          <w:p w14:paraId="42A7DCD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3CCF049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DIF</w:t>
            </w:r>
          </w:p>
        </w:tc>
        <w:tc>
          <w:tcPr>
            <w:tcW w:w="356" w:type="pct"/>
            <w:tcBorders>
              <w:top w:val="nil"/>
              <w:left w:val="nil"/>
              <w:bottom w:val="nil"/>
              <w:right w:val="nil"/>
            </w:tcBorders>
            <w:shd w:val="clear" w:color="auto" w:fill="auto"/>
            <w:noWrap/>
            <w:vAlign w:val="center"/>
            <w:hideMark/>
          </w:tcPr>
          <w:p w14:paraId="6CEFACF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S272</w:t>
            </w:r>
          </w:p>
        </w:tc>
        <w:tc>
          <w:tcPr>
            <w:tcW w:w="924" w:type="pct"/>
            <w:tcBorders>
              <w:top w:val="nil"/>
              <w:left w:val="nil"/>
              <w:bottom w:val="nil"/>
              <w:right w:val="nil"/>
            </w:tcBorders>
            <w:shd w:val="clear" w:color="auto" w:fill="auto"/>
            <w:noWrap/>
            <w:vAlign w:val="center"/>
            <w:hideMark/>
          </w:tcPr>
          <w:p w14:paraId="41CC05C1"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Apoyos para la protección de las personas en estado de necesidad</w:t>
            </w:r>
          </w:p>
        </w:tc>
        <w:tc>
          <w:tcPr>
            <w:tcW w:w="1277" w:type="pct"/>
            <w:tcBorders>
              <w:top w:val="nil"/>
              <w:left w:val="nil"/>
              <w:bottom w:val="nil"/>
              <w:right w:val="nil"/>
            </w:tcBorders>
            <w:shd w:val="clear" w:color="auto" w:fill="auto"/>
            <w:noWrap/>
            <w:vAlign w:val="center"/>
            <w:hideMark/>
          </w:tcPr>
          <w:p w14:paraId="4B059E98"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Focalización del programa en función de las poblaciones en desamparo.</w:t>
            </w:r>
          </w:p>
        </w:tc>
        <w:tc>
          <w:tcPr>
            <w:tcW w:w="843" w:type="pct"/>
            <w:tcBorders>
              <w:top w:val="nil"/>
              <w:left w:val="nil"/>
              <w:bottom w:val="nil"/>
              <w:right w:val="nil"/>
            </w:tcBorders>
            <w:shd w:val="clear" w:color="auto" w:fill="auto"/>
            <w:noWrap/>
            <w:vAlign w:val="center"/>
            <w:hideMark/>
          </w:tcPr>
          <w:p w14:paraId="31A2131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31C4674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56BBC30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5C864301" w14:textId="77777777" w:rsidTr="005A7CAD">
        <w:trPr>
          <w:trHeight w:val="300"/>
        </w:trPr>
        <w:tc>
          <w:tcPr>
            <w:tcW w:w="297" w:type="pct"/>
            <w:tcBorders>
              <w:top w:val="nil"/>
              <w:left w:val="nil"/>
              <w:bottom w:val="nil"/>
              <w:right w:val="nil"/>
            </w:tcBorders>
            <w:shd w:val="clear" w:color="auto" w:fill="auto"/>
            <w:noWrap/>
            <w:vAlign w:val="center"/>
            <w:hideMark/>
          </w:tcPr>
          <w:p w14:paraId="52FA8D5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lastRenderedPageBreak/>
              <w:t>12</w:t>
            </w:r>
          </w:p>
        </w:tc>
        <w:tc>
          <w:tcPr>
            <w:tcW w:w="497" w:type="pct"/>
            <w:tcBorders>
              <w:top w:val="nil"/>
              <w:left w:val="nil"/>
              <w:bottom w:val="nil"/>
              <w:right w:val="nil"/>
            </w:tcBorders>
            <w:shd w:val="clear" w:color="auto" w:fill="auto"/>
            <w:noWrap/>
            <w:vAlign w:val="center"/>
            <w:hideMark/>
          </w:tcPr>
          <w:p w14:paraId="710D95D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DIF</w:t>
            </w:r>
          </w:p>
        </w:tc>
        <w:tc>
          <w:tcPr>
            <w:tcW w:w="356" w:type="pct"/>
            <w:tcBorders>
              <w:top w:val="nil"/>
              <w:left w:val="nil"/>
              <w:bottom w:val="nil"/>
              <w:right w:val="nil"/>
            </w:tcBorders>
            <w:shd w:val="clear" w:color="auto" w:fill="auto"/>
            <w:noWrap/>
            <w:vAlign w:val="center"/>
            <w:hideMark/>
          </w:tcPr>
          <w:p w14:paraId="3139C19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S272</w:t>
            </w:r>
          </w:p>
        </w:tc>
        <w:tc>
          <w:tcPr>
            <w:tcW w:w="924" w:type="pct"/>
            <w:tcBorders>
              <w:top w:val="nil"/>
              <w:left w:val="nil"/>
              <w:bottom w:val="nil"/>
              <w:right w:val="nil"/>
            </w:tcBorders>
            <w:shd w:val="clear" w:color="auto" w:fill="auto"/>
            <w:noWrap/>
            <w:vAlign w:val="center"/>
            <w:hideMark/>
          </w:tcPr>
          <w:p w14:paraId="0FC42369"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Apoyos para la protección de las personas en estado de necesidad</w:t>
            </w:r>
          </w:p>
        </w:tc>
        <w:tc>
          <w:tcPr>
            <w:tcW w:w="1277" w:type="pct"/>
            <w:tcBorders>
              <w:top w:val="nil"/>
              <w:left w:val="nil"/>
              <w:bottom w:val="nil"/>
              <w:right w:val="nil"/>
            </w:tcBorders>
            <w:shd w:val="clear" w:color="auto" w:fill="auto"/>
            <w:noWrap/>
            <w:vAlign w:val="center"/>
            <w:hideMark/>
          </w:tcPr>
          <w:p w14:paraId="728F220C" w14:textId="77777777" w:rsidR="007D0E11"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Fortalecer la definición de problemática que el programa atiende.</w:t>
            </w:r>
          </w:p>
          <w:p w14:paraId="781A1B52" w14:textId="77777777" w:rsidR="00F77FE5" w:rsidRPr="00F77FE5" w:rsidRDefault="00F77FE5" w:rsidP="00F77FE5">
            <w:pPr>
              <w:spacing w:before="20" w:after="0"/>
              <w:jc w:val="both"/>
              <w:rPr>
                <w:rFonts w:eastAsia="Times New Roman"/>
                <w:sz w:val="12"/>
                <w:szCs w:val="20"/>
                <w:lang w:val="es-ES" w:eastAsia="en-US"/>
              </w:rPr>
            </w:pPr>
          </w:p>
        </w:tc>
        <w:tc>
          <w:tcPr>
            <w:tcW w:w="843" w:type="pct"/>
            <w:tcBorders>
              <w:top w:val="nil"/>
              <w:left w:val="nil"/>
              <w:bottom w:val="nil"/>
              <w:right w:val="nil"/>
            </w:tcBorders>
            <w:shd w:val="clear" w:color="auto" w:fill="auto"/>
            <w:noWrap/>
            <w:vAlign w:val="center"/>
            <w:hideMark/>
          </w:tcPr>
          <w:p w14:paraId="1C97077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6905F84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2512C7C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4CAB0964" w14:textId="77777777" w:rsidTr="005A7CAD">
        <w:trPr>
          <w:trHeight w:val="300"/>
        </w:trPr>
        <w:tc>
          <w:tcPr>
            <w:tcW w:w="297" w:type="pct"/>
            <w:tcBorders>
              <w:top w:val="nil"/>
              <w:left w:val="nil"/>
              <w:bottom w:val="nil"/>
              <w:right w:val="nil"/>
            </w:tcBorders>
            <w:shd w:val="clear" w:color="auto" w:fill="auto"/>
            <w:noWrap/>
            <w:vAlign w:val="center"/>
            <w:hideMark/>
          </w:tcPr>
          <w:p w14:paraId="25C55BE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1F644F6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DIF</w:t>
            </w:r>
          </w:p>
        </w:tc>
        <w:tc>
          <w:tcPr>
            <w:tcW w:w="356" w:type="pct"/>
            <w:tcBorders>
              <w:top w:val="nil"/>
              <w:left w:val="nil"/>
              <w:bottom w:val="nil"/>
              <w:right w:val="nil"/>
            </w:tcBorders>
            <w:shd w:val="clear" w:color="auto" w:fill="auto"/>
            <w:noWrap/>
            <w:vAlign w:val="center"/>
            <w:hideMark/>
          </w:tcPr>
          <w:p w14:paraId="664777D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S272</w:t>
            </w:r>
          </w:p>
        </w:tc>
        <w:tc>
          <w:tcPr>
            <w:tcW w:w="924" w:type="pct"/>
            <w:tcBorders>
              <w:top w:val="nil"/>
              <w:left w:val="nil"/>
              <w:bottom w:val="nil"/>
              <w:right w:val="nil"/>
            </w:tcBorders>
            <w:shd w:val="clear" w:color="auto" w:fill="auto"/>
            <w:noWrap/>
            <w:vAlign w:val="center"/>
            <w:hideMark/>
          </w:tcPr>
          <w:p w14:paraId="5ECC4C63"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Apoyos para la protección de las personas en estado de necesidad</w:t>
            </w:r>
          </w:p>
        </w:tc>
        <w:tc>
          <w:tcPr>
            <w:tcW w:w="1277" w:type="pct"/>
            <w:tcBorders>
              <w:top w:val="nil"/>
              <w:left w:val="nil"/>
              <w:bottom w:val="nil"/>
              <w:right w:val="nil"/>
            </w:tcBorders>
            <w:shd w:val="clear" w:color="auto" w:fill="auto"/>
            <w:noWrap/>
            <w:vAlign w:val="center"/>
            <w:hideMark/>
          </w:tcPr>
          <w:p w14:paraId="5E9B6C65"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Redefinir el problema que se busca resolver.</w:t>
            </w:r>
          </w:p>
        </w:tc>
        <w:tc>
          <w:tcPr>
            <w:tcW w:w="843" w:type="pct"/>
            <w:tcBorders>
              <w:top w:val="nil"/>
              <w:left w:val="nil"/>
              <w:bottom w:val="nil"/>
              <w:right w:val="nil"/>
            </w:tcBorders>
            <w:shd w:val="clear" w:color="auto" w:fill="auto"/>
            <w:noWrap/>
            <w:vAlign w:val="center"/>
            <w:hideMark/>
          </w:tcPr>
          <w:p w14:paraId="0B9A574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3B12160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3FE4EED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7A26B955" w14:textId="77777777" w:rsidTr="005A7CAD">
        <w:trPr>
          <w:trHeight w:val="300"/>
        </w:trPr>
        <w:tc>
          <w:tcPr>
            <w:tcW w:w="297" w:type="pct"/>
            <w:tcBorders>
              <w:top w:val="nil"/>
              <w:left w:val="nil"/>
              <w:bottom w:val="nil"/>
              <w:right w:val="nil"/>
            </w:tcBorders>
            <w:shd w:val="clear" w:color="auto" w:fill="auto"/>
            <w:noWrap/>
            <w:vAlign w:val="center"/>
            <w:hideMark/>
          </w:tcPr>
          <w:p w14:paraId="58941B0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44DD528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DIF</w:t>
            </w:r>
          </w:p>
        </w:tc>
        <w:tc>
          <w:tcPr>
            <w:tcW w:w="356" w:type="pct"/>
            <w:tcBorders>
              <w:top w:val="nil"/>
              <w:left w:val="nil"/>
              <w:bottom w:val="nil"/>
              <w:right w:val="nil"/>
            </w:tcBorders>
            <w:shd w:val="clear" w:color="auto" w:fill="auto"/>
            <w:noWrap/>
            <w:vAlign w:val="center"/>
            <w:hideMark/>
          </w:tcPr>
          <w:p w14:paraId="79B4CCD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S272</w:t>
            </w:r>
          </w:p>
        </w:tc>
        <w:tc>
          <w:tcPr>
            <w:tcW w:w="924" w:type="pct"/>
            <w:tcBorders>
              <w:top w:val="nil"/>
              <w:left w:val="nil"/>
              <w:bottom w:val="nil"/>
              <w:right w:val="nil"/>
            </w:tcBorders>
            <w:shd w:val="clear" w:color="auto" w:fill="auto"/>
            <w:noWrap/>
            <w:vAlign w:val="center"/>
            <w:hideMark/>
          </w:tcPr>
          <w:p w14:paraId="2823BB09"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Apoyos para la protección de las personas en estado de necesidad</w:t>
            </w:r>
          </w:p>
        </w:tc>
        <w:tc>
          <w:tcPr>
            <w:tcW w:w="1277" w:type="pct"/>
            <w:tcBorders>
              <w:top w:val="nil"/>
              <w:left w:val="nil"/>
              <w:bottom w:val="nil"/>
              <w:right w:val="nil"/>
            </w:tcBorders>
            <w:shd w:val="clear" w:color="auto" w:fill="auto"/>
            <w:noWrap/>
            <w:vAlign w:val="center"/>
            <w:hideMark/>
          </w:tcPr>
          <w:p w14:paraId="7DCB1B36"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Revisión de los indicadores de resultados.</w:t>
            </w:r>
          </w:p>
        </w:tc>
        <w:tc>
          <w:tcPr>
            <w:tcW w:w="843" w:type="pct"/>
            <w:tcBorders>
              <w:top w:val="nil"/>
              <w:left w:val="nil"/>
              <w:bottom w:val="nil"/>
              <w:right w:val="nil"/>
            </w:tcBorders>
            <w:shd w:val="clear" w:color="auto" w:fill="auto"/>
            <w:noWrap/>
            <w:vAlign w:val="center"/>
            <w:hideMark/>
          </w:tcPr>
          <w:p w14:paraId="73DFE9B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7016F31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3B77B34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7571B213" w14:textId="77777777" w:rsidTr="005A7CAD">
        <w:trPr>
          <w:trHeight w:val="300"/>
        </w:trPr>
        <w:tc>
          <w:tcPr>
            <w:tcW w:w="297" w:type="pct"/>
            <w:tcBorders>
              <w:top w:val="nil"/>
              <w:left w:val="nil"/>
              <w:bottom w:val="nil"/>
              <w:right w:val="nil"/>
            </w:tcBorders>
            <w:shd w:val="clear" w:color="auto" w:fill="auto"/>
            <w:noWrap/>
            <w:vAlign w:val="center"/>
            <w:hideMark/>
          </w:tcPr>
          <w:p w14:paraId="3AA0F7B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4C4B77C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DIF</w:t>
            </w:r>
          </w:p>
        </w:tc>
        <w:tc>
          <w:tcPr>
            <w:tcW w:w="356" w:type="pct"/>
            <w:tcBorders>
              <w:top w:val="nil"/>
              <w:left w:val="nil"/>
              <w:bottom w:val="nil"/>
              <w:right w:val="nil"/>
            </w:tcBorders>
            <w:shd w:val="clear" w:color="auto" w:fill="auto"/>
            <w:noWrap/>
            <w:vAlign w:val="center"/>
            <w:hideMark/>
          </w:tcPr>
          <w:p w14:paraId="063DE5E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S272</w:t>
            </w:r>
          </w:p>
        </w:tc>
        <w:tc>
          <w:tcPr>
            <w:tcW w:w="924" w:type="pct"/>
            <w:tcBorders>
              <w:top w:val="nil"/>
              <w:left w:val="nil"/>
              <w:bottom w:val="nil"/>
              <w:right w:val="nil"/>
            </w:tcBorders>
            <w:shd w:val="clear" w:color="auto" w:fill="auto"/>
            <w:noWrap/>
            <w:vAlign w:val="center"/>
            <w:hideMark/>
          </w:tcPr>
          <w:p w14:paraId="0FA9B101"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Apoyos para la protección de las personas en estado de necesidad</w:t>
            </w:r>
          </w:p>
        </w:tc>
        <w:tc>
          <w:tcPr>
            <w:tcW w:w="1277" w:type="pct"/>
            <w:tcBorders>
              <w:top w:val="nil"/>
              <w:left w:val="nil"/>
              <w:bottom w:val="nil"/>
              <w:right w:val="nil"/>
            </w:tcBorders>
            <w:shd w:val="clear" w:color="auto" w:fill="auto"/>
            <w:noWrap/>
            <w:vAlign w:val="center"/>
            <w:hideMark/>
          </w:tcPr>
          <w:p w14:paraId="7BF81DEB"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Sustentar el problema que se busca atender con un Diagnóstico.</w:t>
            </w:r>
          </w:p>
        </w:tc>
        <w:tc>
          <w:tcPr>
            <w:tcW w:w="843" w:type="pct"/>
            <w:tcBorders>
              <w:top w:val="nil"/>
              <w:left w:val="nil"/>
              <w:bottom w:val="nil"/>
              <w:right w:val="nil"/>
            </w:tcBorders>
            <w:shd w:val="clear" w:color="auto" w:fill="auto"/>
            <w:noWrap/>
            <w:vAlign w:val="center"/>
            <w:hideMark/>
          </w:tcPr>
          <w:p w14:paraId="78A0C72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4B058DC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2F1C8D9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67F62188" w14:textId="77777777" w:rsidTr="005A7CAD">
        <w:trPr>
          <w:trHeight w:val="300"/>
        </w:trPr>
        <w:tc>
          <w:tcPr>
            <w:tcW w:w="297" w:type="pct"/>
            <w:tcBorders>
              <w:top w:val="nil"/>
              <w:left w:val="nil"/>
              <w:bottom w:val="nil"/>
              <w:right w:val="nil"/>
            </w:tcBorders>
            <w:shd w:val="clear" w:color="auto" w:fill="auto"/>
            <w:noWrap/>
            <w:vAlign w:val="center"/>
            <w:hideMark/>
          </w:tcPr>
          <w:p w14:paraId="25C96E4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3B98588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SALUD</w:t>
            </w:r>
          </w:p>
        </w:tc>
        <w:tc>
          <w:tcPr>
            <w:tcW w:w="356" w:type="pct"/>
            <w:tcBorders>
              <w:top w:val="nil"/>
              <w:left w:val="nil"/>
              <w:bottom w:val="nil"/>
              <w:right w:val="nil"/>
            </w:tcBorders>
            <w:shd w:val="clear" w:color="auto" w:fill="auto"/>
            <w:noWrap/>
            <w:vAlign w:val="center"/>
            <w:hideMark/>
          </w:tcPr>
          <w:p w14:paraId="5E884E5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P016</w:t>
            </w:r>
          </w:p>
        </w:tc>
        <w:tc>
          <w:tcPr>
            <w:tcW w:w="924" w:type="pct"/>
            <w:tcBorders>
              <w:top w:val="nil"/>
              <w:left w:val="nil"/>
              <w:bottom w:val="nil"/>
              <w:right w:val="nil"/>
            </w:tcBorders>
            <w:shd w:val="clear" w:color="auto" w:fill="auto"/>
            <w:noWrap/>
            <w:vAlign w:val="center"/>
            <w:hideMark/>
          </w:tcPr>
          <w:p w14:paraId="2E3234A7"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Prevención y atención de VIH/SIDA y otras ITS</w:t>
            </w:r>
          </w:p>
        </w:tc>
        <w:tc>
          <w:tcPr>
            <w:tcW w:w="1277" w:type="pct"/>
            <w:tcBorders>
              <w:top w:val="nil"/>
              <w:left w:val="nil"/>
              <w:bottom w:val="nil"/>
              <w:right w:val="nil"/>
            </w:tcBorders>
            <w:shd w:val="clear" w:color="auto" w:fill="auto"/>
            <w:noWrap/>
            <w:vAlign w:val="center"/>
            <w:hideMark/>
          </w:tcPr>
          <w:p w14:paraId="571AA45D"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Elaboración de un diagnóstico ampliado que incluya replanteamiento acorde con las facultades y atribuciones, se analice la conveniencia no de tener población beneficiaria y valorar la reasignación de participación de las OSC en las entidades e incluya una matriz</w:t>
            </w:r>
            <w:r w:rsidR="006F4A52">
              <w:rPr>
                <w:rFonts w:eastAsia="Times New Roman"/>
                <w:sz w:val="12"/>
                <w:szCs w:val="20"/>
                <w:lang w:val="es-ES" w:eastAsia="en-US"/>
              </w:rPr>
              <w:t xml:space="preserve"> </w:t>
            </w:r>
            <w:r w:rsidRPr="00F77FE5">
              <w:rPr>
                <w:rFonts w:eastAsia="Times New Roman"/>
                <w:sz w:val="12"/>
                <w:szCs w:val="20"/>
                <w:lang w:val="es-ES" w:eastAsia="en-US"/>
              </w:rPr>
              <w:t>e indicadores que midan y permitan la evaluación de las actividades rectoras que realiza Censida.</w:t>
            </w:r>
          </w:p>
        </w:tc>
        <w:tc>
          <w:tcPr>
            <w:tcW w:w="843" w:type="pct"/>
            <w:tcBorders>
              <w:top w:val="nil"/>
              <w:left w:val="nil"/>
              <w:bottom w:val="nil"/>
              <w:right w:val="nil"/>
            </w:tcBorders>
            <w:shd w:val="clear" w:color="auto" w:fill="auto"/>
            <w:noWrap/>
            <w:vAlign w:val="center"/>
            <w:hideMark/>
          </w:tcPr>
          <w:p w14:paraId="3420586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57EB5DD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7B7C3B2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5F3AE572" w14:textId="77777777" w:rsidTr="005A7CAD">
        <w:trPr>
          <w:trHeight w:val="300"/>
        </w:trPr>
        <w:tc>
          <w:tcPr>
            <w:tcW w:w="297" w:type="pct"/>
            <w:tcBorders>
              <w:top w:val="nil"/>
              <w:left w:val="nil"/>
              <w:bottom w:val="nil"/>
              <w:right w:val="nil"/>
            </w:tcBorders>
            <w:shd w:val="clear" w:color="auto" w:fill="auto"/>
            <w:noWrap/>
            <w:vAlign w:val="center"/>
            <w:hideMark/>
          </w:tcPr>
          <w:p w14:paraId="68713AA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5AE3966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SALUD</w:t>
            </w:r>
          </w:p>
        </w:tc>
        <w:tc>
          <w:tcPr>
            <w:tcW w:w="356" w:type="pct"/>
            <w:tcBorders>
              <w:top w:val="nil"/>
              <w:left w:val="nil"/>
              <w:bottom w:val="nil"/>
              <w:right w:val="nil"/>
            </w:tcBorders>
            <w:shd w:val="clear" w:color="auto" w:fill="auto"/>
            <w:noWrap/>
            <w:vAlign w:val="center"/>
            <w:hideMark/>
          </w:tcPr>
          <w:p w14:paraId="680E75D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P018</w:t>
            </w:r>
          </w:p>
        </w:tc>
        <w:tc>
          <w:tcPr>
            <w:tcW w:w="924" w:type="pct"/>
            <w:tcBorders>
              <w:top w:val="nil"/>
              <w:left w:val="nil"/>
              <w:bottom w:val="nil"/>
              <w:right w:val="nil"/>
            </w:tcBorders>
            <w:shd w:val="clear" w:color="auto" w:fill="auto"/>
            <w:noWrap/>
            <w:vAlign w:val="center"/>
            <w:hideMark/>
          </w:tcPr>
          <w:p w14:paraId="0DCB9353"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Prevención y control de enfermedades</w:t>
            </w:r>
          </w:p>
        </w:tc>
        <w:tc>
          <w:tcPr>
            <w:tcW w:w="1277" w:type="pct"/>
            <w:tcBorders>
              <w:top w:val="nil"/>
              <w:left w:val="nil"/>
              <w:bottom w:val="nil"/>
              <w:right w:val="nil"/>
            </w:tcBorders>
            <w:shd w:val="clear" w:color="auto" w:fill="auto"/>
            <w:noWrap/>
            <w:vAlign w:val="center"/>
            <w:hideMark/>
          </w:tcPr>
          <w:p w14:paraId="55DF7EF0"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Elaboración de un documento normativo.</w:t>
            </w:r>
          </w:p>
        </w:tc>
        <w:tc>
          <w:tcPr>
            <w:tcW w:w="843" w:type="pct"/>
            <w:tcBorders>
              <w:top w:val="nil"/>
              <w:left w:val="nil"/>
              <w:bottom w:val="nil"/>
              <w:right w:val="nil"/>
            </w:tcBorders>
            <w:shd w:val="clear" w:color="auto" w:fill="auto"/>
            <w:noWrap/>
            <w:vAlign w:val="center"/>
            <w:hideMark/>
          </w:tcPr>
          <w:p w14:paraId="7A15A85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2BE7BB5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740AD92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6ABC9C74" w14:textId="77777777" w:rsidTr="005A7CAD">
        <w:trPr>
          <w:trHeight w:val="300"/>
        </w:trPr>
        <w:tc>
          <w:tcPr>
            <w:tcW w:w="297" w:type="pct"/>
            <w:tcBorders>
              <w:top w:val="nil"/>
              <w:left w:val="nil"/>
              <w:bottom w:val="nil"/>
              <w:right w:val="nil"/>
            </w:tcBorders>
            <w:shd w:val="clear" w:color="auto" w:fill="auto"/>
            <w:noWrap/>
            <w:vAlign w:val="center"/>
            <w:hideMark/>
          </w:tcPr>
          <w:p w14:paraId="71812C8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03969A1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SALUD</w:t>
            </w:r>
          </w:p>
        </w:tc>
        <w:tc>
          <w:tcPr>
            <w:tcW w:w="356" w:type="pct"/>
            <w:tcBorders>
              <w:top w:val="nil"/>
              <w:left w:val="nil"/>
              <w:bottom w:val="nil"/>
              <w:right w:val="nil"/>
            </w:tcBorders>
            <w:shd w:val="clear" w:color="auto" w:fill="auto"/>
            <w:noWrap/>
            <w:vAlign w:val="center"/>
            <w:hideMark/>
          </w:tcPr>
          <w:p w14:paraId="43A1B32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P020</w:t>
            </w:r>
          </w:p>
        </w:tc>
        <w:tc>
          <w:tcPr>
            <w:tcW w:w="924" w:type="pct"/>
            <w:tcBorders>
              <w:top w:val="nil"/>
              <w:left w:val="nil"/>
              <w:bottom w:val="nil"/>
              <w:right w:val="nil"/>
            </w:tcBorders>
            <w:shd w:val="clear" w:color="auto" w:fill="auto"/>
            <w:noWrap/>
            <w:vAlign w:val="center"/>
            <w:hideMark/>
          </w:tcPr>
          <w:p w14:paraId="2D61C5DE"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Salud materna, sexual y reproductiva</w:t>
            </w:r>
          </w:p>
        </w:tc>
        <w:tc>
          <w:tcPr>
            <w:tcW w:w="1277" w:type="pct"/>
            <w:tcBorders>
              <w:top w:val="nil"/>
              <w:left w:val="nil"/>
              <w:bottom w:val="nil"/>
              <w:right w:val="nil"/>
            </w:tcBorders>
            <w:shd w:val="clear" w:color="auto" w:fill="auto"/>
            <w:noWrap/>
            <w:vAlign w:val="center"/>
            <w:hideMark/>
          </w:tcPr>
          <w:p w14:paraId="1AF09710"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Elaboración del diagnóstico ampliado del programa presupuestario P024.</w:t>
            </w:r>
          </w:p>
        </w:tc>
        <w:tc>
          <w:tcPr>
            <w:tcW w:w="843" w:type="pct"/>
            <w:tcBorders>
              <w:top w:val="nil"/>
              <w:left w:val="nil"/>
              <w:bottom w:val="nil"/>
              <w:right w:val="nil"/>
            </w:tcBorders>
            <w:shd w:val="clear" w:color="auto" w:fill="auto"/>
            <w:noWrap/>
            <w:vAlign w:val="center"/>
            <w:hideMark/>
          </w:tcPr>
          <w:p w14:paraId="1AE00A3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1FF5C6A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32D32EF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90</w:t>
            </w:r>
          </w:p>
        </w:tc>
      </w:tr>
      <w:tr w:rsidR="00F77FE5" w:rsidRPr="00F77FE5" w14:paraId="6D73F210" w14:textId="77777777" w:rsidTr="005A7CAD">
        <w:trPr>
          <w:trHeight w:val="300"/>
        </w:trPr>
        <w:tc>
          <w:tcPr>
            <w:tcW w:w="297" w:type="pct"/>
            <w:tcBorders>
              <w:top w:val="nil"/>
              <w:left w:val="nil"/>
              <w:bottom w:val="nil"/>
              <w:right w:val="nil"/>
            </w:tcBorders>
            <w:shd w:val="clear" w:color="auto" w:fill="auto"/>
            <w:noWrap/>
            <w:vAlign w:val="center"/>
            <w:hideMark/>
          </w:tcPr>
          <w:p w14:paraId="60CB043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676E091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SALUD</w:t>
            </w:r>
          </w:p>
        </w:tc>
        <w:tc>
          <w:tcPr>
            <w:tcW w:w="356" w:type="pct"/>
            <w:tcBorders>
              <w:top w:val="nil"/>
              <w:left w:val="nil"/>
              <w:bottom w:val="nil"/>
              <w:right w:val="nil"/>
            </w:tcBorders>
            <w:shd w:val="clear" w:color="auto" w:fill="auto"/>
            <w:noWrap/>
            <w:vAlign w:val="center"/>
            <w:hideMark/>
          </w:tcPr>
          <w:p w14:paraId="035FF0B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S200</w:t>
            </w:r>
          </w:p>
        </w:tc>
        <w:tc>
          <w:tcPr>
            <w:tcW w:w="924" w:type="pct"/>
            <w:tcBorders>
              <w:top w:val="nil"/>
              <w:left w:val="nil"/>
              <w:bottom w:val="nil"/>
              <w:right w:val="nil"/>
            </w:tcBorders>
            <w:shd w:val="clear" w:color="auto" w:fill="auto"/>
            <w:noWrap/>
            <w:vAlign w:val="center"/>
            <w:hideMark/>
          </w:tcPr>
          <w:p w14:paraId="12A2F7F3"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Caravanas de la Salud</w:t>
            </w:r>
          </w:p>
        </w:tc>
        <w:tc>
          <w:tcPr>
            <w:tcW w:w="1277" w:type="pct"/>
            <w:tcBorders>
              <w:top w:val="nil"/>
              <w:left w:val="nil"/>
              <w:bottom w:val="nil"/>
              <w:right w:val="nil"/>
            </w:tcBorders>
            <w:shd w:val="clear" w:color="auto" w:fill="auto"/>
            <w:noWrap/>
            <w:vAlign w:val="center"/>
            <w:hideMark/>
          </w:tcPr>
          <w:p w14:paraId="110ED9BB"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Contar con una herramienta informática para la integración, organización y análisis de las rutas del Programa Caravanas de la Salud en operación, propuestas de nuevas rutas o modificación a las mismas.</w:t>
            </w:r>
          </w:p>
        </w:tc>
        <w:tc>
          <w:tcPr>
            <w:tcW w:w="843" w:type="pct"/>
            <w:tcBorders>
              <w:top w:val="nil"/>
              <w:left w:val="nil"/>
              <w:bottom w:val="nil"/>
              <w:right w:val="nil"/>
            </w:tcBorders>
            <w:shd w:val="clear" w:color="auto" w:fill="auto"/>
            <w:noWrap/>
            <w:vAlign w:val="center"/>
            <w:hideMark/>
          </w:tcPr>
          <w:p w14:paraId="01C3941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471599F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22C1520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65D736D4" w14:textId="77777777" w:rsidTr="005A7CAD">
        <w:trPr>
          <w:trHeight w:val="300"/>
        </w:trPr>
        <w:tc>
          <w:tcPr>
            <w:tcW w:w="297" w:type="pct"/>
            <w:tcBorders>
              <w:top w:val="nil"/>
              <w:left w:val="nil"/>
              <w:bottom w:val="nil"/>
              <w:right w:val="nil"/>
            </w:tcBorders>
            <w:shd w:val="clear" w:color="auto" w:fill="auto"/>
            <w:noWrap/>
            <w:vAlign w:val="center"/>
            <w:hideMark/>
          </w:tcPr>
          <w:p w14:paraId="141A39C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4D26C1A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SALUD</w:t>
            </w:r>
          </w:p>
        </w:tc>
        <w:tc>
          <w:tcPr>
            <w:tcW w:w="356" w:type="pct"/>
            <w:tcBorders>
              <w:top w:val="nil"/>
              <w:left w:val="nil"/>
              <w:bottom w:val="nil"/>
              <w:right w:val="nil"/>
            </w:tcBorders>
            <w:shd w:val="clear" w:color="auto" w:fill="auto"/>
            <w:noWrap/>
            <w:vAlign w:val="center"/>
            <w:hideMark/>
          </w:tcPr>
          <w:p w14:paraId="62E13A3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S200</w:t>
            </w:r>
          </w:p>
        </w:tc>
        <w:tc>
          <w:tcPr>
            <w:tcW w:w="924" w:type="pct"/>
            <w:tcBorders>
              <w:top w:val="nil"/>
              <w:left w:val="nil"/>
              <w:bottom w:val="nil"/>
              <w:right w:val="nil"/>
            </w:tcBorders>
            <w:shd w:val="clear" w:color="auto" w:fill="auto"/>
            <w:noWrap/>
            <w:vAlign w:val="center"/>
            <w:hideMark/>
          </w:tcPr>
          <w:p w14:paraId="7583B33C"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Fortalecimiento a la atención médica</w:t>
            </w:r>
          </w:p>
        </w:tc>
        <w:tc>
          <w:tcPr>
            <w:tcW w:w="1277" w:type="pct"/>
            <w:tcBorders>
              <w:top w:val="nil"/>
              <w:left w:val="nil"/>
              <w:bottom w:val="nil"/>
              <w:right w:val="nil"/>
            </w:tcBorders>
            <w:shd w:val="clear" w:color="auto" w:fill="auto"/>
            <w:noWrap/>
            <w:vAlign w:val="center"/>
            <w:hideMark/>
          </w:tcPr>
          <w:p w14:paraId="588001C7"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Actualización del Diagnóstico.</w:t>
            </w:r>
          </w:p>
        </w:tc>
        <w:tc>
          <w:tcPr>
            <w:tcW w:w="843" w:type="pct"/>
            <w:tcBorders>
              <w:top w:val="nil"/>
              <w:left w:val="nil"/>
              <w:bottom w:val="nil"/>
              <w:right w:val="nil"/>
            </w:tcBorders>
            <w:shd w:val="clear" w:color="auto" w:fill="auto"/>
            <w:noWrap/>
            <w:vAlign w:val="center"/>
            <w:hideMark/>
          </w:tcPr>
          <w:p w14:paraId="41D1083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0B35B09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25C3DBE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7B618462" w14:textId="77777777" w:rsidTr="005A7CAD">
        <w:trPr>
          <w:trHeight w:val="300"/>
        </w:trPr>
        <w:tc>
          <w:tcPr>
            <w:tcW w:w="297" w:type="pct"/>
            <w:tcBorders>
              <w:top w:val="nil"/>
              <w:left w:val="nil"/>
              <w:bottom w:val="nil"/>
              <w:right w:val="nil"/>
            </w:tcBorders>
            <w:shd w:val="clear" w:color="auto" w:fill="auto"/>
            <w:noWrap/>
            <w:vAlign w:val="center"/>
            <w:hideMark/>
          </w:tcPr>
          <w:p w14:paraId="0C5F590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40E73E9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SALUD</w:t>
            </w:r>
          </w:p>
        </w:tc>
        <w:tc>
          <w:tcPr>
            <w:tcW w:w="356" w:type="pct"/>
            <w:tcBorders>
              <w:top w:val="nil"/>
              <w:left w:val="nil"/>
              <w:bottom w:val="nil"/>
              <w:right w:val="nil"/>
            </w:tcBorders>
            <w:shd w:val="clear" w:color="auto" w:fill="auto"/>
            <w:noWrap/>
            <w:vAlign w:val="center"/>
            <w:hideMark/>
          </w:tcPr>
          <w:p w14:paraId="02598AB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S200</w:t>
            </w:r>
          </w:p>
        </w:tc>
        <w:tc>
          <w:tcPr>
            <w:tcW w:w="924" w:type="pct"/>
            <w:tcBorders>
              <w:top w:val="nil"/>
              <w:left w:val="nil"/>
              <w:bottom w:val="nil"/>
              <w:right w:val="nil"/>
            </w:tcBorders>
            <w:shd w:val="clear" w:color="auto" w:fill="auto"/>
            <w:noWrap/>
            <w:vAlign w:val="center"/>
            <w:hideMark/>
          </w:tcPr>
          <w:p w14:paraId="402B501E"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Fortalecimiento a la atención médica</w:t>
            </w:r>
          </w:p>
        </w:tc>
        <w:tc>
          <w:tcPr>
            <w:tcW w:w="1277" w:type="pct"/>
            <w:tcBorders>
              <w:top w:val="nil"/>
              <w:left w:val="nil"/>
              <w:bottom w:val="nil"/>
              <w:right w:val="nil"/>
            </w:tcBorders>
            <w:shd w:val="clear" w:color="auto" w:fill="auto"/>
            <w:noWrap/>
            <w:vAlign w:val="center"/>
            <w:hideMark/>
          </w:tcPr>
          <w:p w14:paraId="58AD6D3C"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Fortalecimiento de la MIR.</w:t>
            </w:r>
          </w:p>
        </w:tc>
        <w:tc>
          <w:tcPr>
            <w:tcW w:w="843" w:type="pct"/>
            <w:tcBorders>
              <w:top w:val="nil"/>
              <w:left w:val="nil"/>
              <w:bottom w:val="nil"/>
              <w:right w:val="nil"/>
            </w:tcBorders>
            <w:shd w:val="clear" w:color="auto" w:fill="auto"/>
            <w:noWrap/>
            <w:vAlign w:val="center"/>
            <w:hideMark/>
          </w:tcPr>
          <w:p w14:paraId="10447B9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2E459C0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3F7EB7E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483459B1" w14:textId="77777777" w:rsidTr="005A7CAD">
        <w:trPr>
          <w:trHeight w:val="300"/>
        </w:trPr>
        <w:tc>
          <w:tcPr>
            <w:tcW w:w="297" w:type="pct"/>
            <w:tcBorders>
              <w:top w:val="nil"/>
              <w:left w:val="nil"/>
              <w:bottom w:val="nil"/>
              <w:right w:val="nil"/>
            </w:tcBorders>
            <w:shd w:val="clear" w:color="auto" w:fill="auto"/>
            <w:noWrap/>
            <w:vAlign w:val="center"/>
            <w:hideMark/>
          </w:tcPr>
          <w:p w14:paraId="6720ACA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6B8C185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SALUD</w:t>
            </w:r>
          </w:p>
        </w:tc>
        <w:tc>
          <w:tcPr>
            <w:tcW w:w="356" w:type="pct"/>
            <w:tcBorders>
              <w:top w:val="nil"/>
              <w:left w:val="nil"/>
              <w:bottom w:val="nil"/>
              <w:right w:val="nil"/>
            </w:tcBorders>
            <w:shd w:val="clear" w:color="auto" w:fill="auto"/>
            <w:noWrap/>
            <w:vAlign w:val="center"/>
            <w:hideMark/>
          </w:tcPr>
          <w:p w14:paraId="788DEE9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S200</w:t>
            </w:r>
          </w:p>
        </w:tc>
        <w:tc>
          <w:tcPr>
            <w:tcW w:w="924" w:type="pct"/>
            <w:tcBorders>
              <w:top w:val="nil"/>
              <w:left w:val="nil"/>
              <w:bottom w:val="nil"/>
              <w:right w:val="nil"/>
            </w:tcBorders>
            <w:shd w:val="clear" w:color="auto" w:fill="auto"/>
            <w:noWrap/>
            <w:vAlign w:val="center"/>
            <w:hideMark/>
          </w:tcPr>
          <w:p w14:paraId="7806C070"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Fortalecimiento a la atención médica</w:t>
            </w:r>
          </w:p>
        </w:tc>
        <w:tc>
          <w:tcPr>
            <w:tcW w:w="1277" w:type="pct"/>
            <w:tcBorders>
              <w:top w:val="nil"/>
              <w:left w:val="nil"/>
              <w:bottom w:val="nil"/>
              <w:right w:val="nil"/>
            </w:tcBorders>
            <w:shd w:val="clear" w:color="auto" w:fill="auto"/>
            <w:noWrap/>
            <w:vAlign w:val="center"/>
            <w:hideMark/>
          </w:tcPr>
          <w:p w14:paraId="361181B3"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Reorientación</w:t>
            </w:r>
            <w:r w:rsidR="006F4A52">
              <w:rPr>
                <w:rFonts w:eastAsia="Times New Roman"/>
                <w:sz w:val="12"/>
                <w:szCs w:val="20"/>
                <w:lang w:val="es-ES" w:eastAsia="en-US"/>
              </w:rPr>
              <w:t xml:space="preserve"> </w:t>
            </w:r>
            <w:r w:rsidRPr="00F77FE5">
              <w:rPr>
                <w:rFonts w:eastAsia="Times New Roman"/>
                <w:sz w:val="12"/>
                <w:szCs w:val="20"/>
                <w:lang w:val="es-ES" w:eastAsia="en-US"/>
              </w:rPr>
              <w:t>del Programa para la actualización de la MIR.</w:t>
            </w:r>
          </w:p>
        </w:tc>
        <w:tc>
          <w:tcPr>
            <w:tcW w:w="843" w:type="pct"/>
            <w:tcBorders>
              <w:top w:val="nil"/>
              <w:left w:val="nil"/>
              <w:bottom w:val="nil"/>
              <w:right w:val="nil"/>
            </w:tcBorders>
            <w:shd w:val="clear" w:color="auto" w:fill="auto"/>
            <w:noWrap/>
            <w:vAlign w:val="center"/>
            <w:hideMark/>
          </w:tcPr>
          <w:p w14:paraId="58A970F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7760864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4D0B5E7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0C4F1C04" w14:textId="77777777" w:rsidTr="005A7CAD">
        <w:trPr>
          <w:trHeight w:val="300"/>
        </w:trPr>
        <w:tc>
          <w:tcPr>
            <w:tcW w:w="297" w:type="pct"/>
            <w:tcBorders>
              <w:top w:val="nil"/>
              <w:left w:val="nil"/>
              <w:bottom w:val="nil"/>
              <w:right w:val="nil"/>
            </w:tcBorders>
            <w:shd w:val="clear" w:color="auto" w:fill="auto"/>
            <w:noWrap/>
            <w:vAlign w:val="center"/>
            <w:hideMark/>
          </w:tcPr>
          <w:p w14:paraId="1B61C04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101B447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SALUD</w:t>
            </w:r>
          </w:p>
        </w:tc>
        <w:tc>
          <w:tcPr>
            <w:tcW w:w="356" w:type="pct"/>
            <w:tcBorders>
              <w:top w:val="nil"/>
              <w:left w:val="nil"/>
              <w:bottom w:val="nil"/>
              <w:right w:val="nil"/>
            </w:tcBorders>
            <w:shd w:val="clear" w:color="auto" w:fill="auto"/>
            <w:noWrap/>
            <w:vAlign w:val="center"/>
            <w:hideMark/>
          </w:tcPr>
          <w:p w14:paraId="011EFBD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U005</w:t>
            </w:r>
          </w:p>
        </w:tc>
        <w:tc>
          <w:tcPr>
            <w:tcW w:w="924" w:type="pct"/>
            <w:tcBorders>
              <w:top w:val="nil"/>
              <w:left w:val="nil"/>
              <w:bottom w:val="nil"/>
              <w:right w:val="nil"/>
            </w:tcBorders>
            <w:shd w:val="clear" w:color="auto" w:fill="auto"/>
            <w:noWrap/>
            <w:vAlign w:val="center"/>
            <w:hideMark/>
          </w:tcPr>
          <w:p w14:paraId="1CB09385"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Seguro Popular</w:t>
            </w:r>
          </w:p>
        </w:tc>
        <w:tc>
          <w:tcPr>
            <w:tcW w:w="1277" w:type="pct"/>
            <w:tcBorders>
              <w:top w:val="nil"/>
              <w:left w:val="nil"/>
              <w:bottom w:val="nil"/>
              <w:right w:val="nil"/>
            </w:tcBorders>
            <w:shd w:val="clear" w:color="auto" w:fill="auto"/>
            <w:noWrap/>
            <w:vAlign w:val="center"/>
            <w:hideMark/>
          </w:tcPr>
          <w:p w14:paraId="3D180712"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Gestionar cursos de capacitación en línea para el personal de Gestión de Servicios de Salud en los REPSS a través del Aula Virtual de la CNPSS con relación al tema de tutela de derechos así como de afiliación y operación.</w:t>
            </w:r>
          </w:p>
        </w:tc>
        <w:tc>
          <w:tcPr>
            <w:tcW w:w="843" w:type="pct"/>
            <w:tcBorders>
              <w:top w:val="nil"/>
              <w:left w:val="nil"/>
              <w:bottom w:val="nil"/>
              <w:right w:val="nil"/>
            </w:tcBorders>
            <w:shd w:val="clear" w:color="auto" w:fill="auto"/>
            <w:noWrap/>
            <w:vAlign w:val="center"/>
            <w:hideMark/>
          </w:tcPr>
          <w:p w14:paraId="5DD413E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2C0C0BF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6533B90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58E48BCF" w14:textId="77777777" w:rsidTr="005A7CAD">
        <w:trPr>
          <w:trHeight w:val="300"/>
        </w:trPr>
        <w:tc>
          <w:tcPr>
            <w:tcW w:w="297" w:type="pct"/>
            <w:tcBorders>
              <w:top w:val="nil"/>
              <w:left w:val="nil"/>
              <w:bottom w:val="nil"/>
              <w:right w:val="nil"/>
            </w:tcBorders>
            <w:shd w:val="clear" w:color="auto" w:fill="auto"/>
            <w:noWrap/>
            <w:vAlign w:val="center"/>
            <w:hideMark/>
          </w:tcPr>
          <w:p w14:paraId="51F2755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5D8C1A5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SALUD</w:t>
            </w:r>
          </w:p>
        </w:tc>
        <w:tc>
          <w:tcPr>
            <w:tcW w:w="356" w:type="pct"/>
            <w:tcBorders>
              <w:top w:val="nil"/>
              <w:left w:val="nil"/>
              <w:bottom w:val="nil"/>
              <w:right w:val="nil"/>
            </w:tcBorders>
            <w:shd w:val="clear" w:color="auto" w:fill="auto"/>
            <w:noWrap/>
            <w:vAlign w:val="center"/>
            <w:hideMark/>
          </w:tcPr>
          <w:p w14:paraId="62DB5AF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U005</w:t>
            </w:r>
          </w:p>
        </w:tc>
        <w:tc>
          <w:tcPr>
            <w:tcW w:w="924" w:type="pct"/>
            <w:tcBorders>
              <w:top w:val="nil"/>
              <w:left w:val="nil"/>
              <w:bottom w:val="nil"/>
              <w:right w:val="nil"/>
            </w:tcBorders>
            <w:shd w:val="clear" w:color="auto" w:fill="auto"/>
            <w:noWrap/>
            <w:vAlign w:val="center"/>
            <w:hideMark/>
          </w:tcPr>
          <w:p w14:paraId="143E7E85"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Seguro Popular</w:t>
            </w:r>
          </w:p>
        </w:tc>
        <w:tc>
          <w:tcPr>
            <w:tcW w:w="1277" w:type="pct"/>
            <w:tcBorders>
              <w:top w:val="nil"/>
              <w:left w:val="nil"/>
              <w:bottom w:val="nil"/>
              <w:right w:val="nil"/>
            </w:tcBorders>
            <w:shd w:val="clear" w:color="auto" w:fill="auto"/>
            <w:noWrap/>
            <w:vAlign w:val="center"/>
            <w:hideMark/>
          </w:tcPr>
          <w:p w14:paraId="3C88694B"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Gestionar Modelo de Seguimiento de los Servicios de Salud (MOSESS) así como el Plan Estratégico de Supervisión (PES).</w:t>
            </w:r>
          </w:p>
        </w:tc>
        <w:tc>
          <w:tcPr>
            <w:tcW w:w="843" w:type="pct"/>
            <w:tcBorders>
              <w:top w:val="nil"/>
              <w:left w:val="nil"/>
              <w:bottom w:val="nil"/>
              <w:right w:val="nil"/>
            </w:tcBorders>
            <w:shd w:val="clear" w:color="auto" w:fill="auto"/>
            <w:noWrap/>
            <w:vAlign w:val="center"/>
            <w:hideMark/>
          </w:tcPr>
          <w:p w14:paraId="583C25D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1684301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68351E9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1130C56E" w14:textId="77777777" w:rsidTr="005A7CAD">
        <w:trPr>
          <w:trHeight w:val="300"/>
        </w:trPr>
        <w:tc>
          <w:tcPr>
            <w:tcW w:w="297" w:type="pct"/>
            <w:tcBorders>
              <w:top w:val="nil"/>
              <w:left w:val="nil"/>
              <w:bottom w:val="nil"/>
              <w:right w:val="nil"/>
            </w:tcBorders>
            <w:shd w:val="clear" w:color="auto" w:fill="auto"/>
            <w:noWrap/>
            <w:vAlign w:val="center"/>
            <w:hideMark/>
          </w:tcPr>
          <w:p w14:paraId="52D45A1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37901E2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SALUD</w:t>
            </w:r>
          </w:p>
        </w:tc>
        <w:tc>
          <w:tcPr>
            <w:tcW w:w="356" w:type="pct"/>
            <w:tcBorders>
              <w:top w:val="nil"/>
              <w:left w:val="nil"/>
              <w:bottom w:val="nil"/>
              <w:right w:val="nil"/>
            </w:tcBorders>
            <w:shd w:val="clear" w:color="auto" w:fill="auto"/>
            <w:noWrap/>
            <w:vAlign w:val="center"/>
            <w:hideMark/>
          </w:tcPr>
          <w:p w14:paraId="2EE1D88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U005</w:t>
            </w:r>
          </w:p>
        </w:tc>
        <w:tc>
          <w:tcPr>
            <w:tcW w:w="924" w:type="pct"/>
            <w:tcBorders>
              <w:top w:val="nil"/>
              <w:left w:val="nil"/>
              <w:bottom w:val="nil"/>
              <w:right w:val="nil"/>
            </w:tcBorders>
            <w:shd w:val="clear" w:color="auto" w:fill="auto"/>
            <w:noWrap/>
            <w:vAlign w:val="center"/>
            <w:hideMark/>
          </w:tcPr>
          <w:p w14:paraId="293C470D"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Seguro Popular</w:t>
            </w:r>
          </w:p>
        </w:tc>
        <w:tc>
          <w:tcPr>
            <w:tcW w:w="1277" w:type="pct"/>
            <w:tcBorders>
              <w:top w:val="nil"/>
              <w:left w:val="nil"/>
              <w:bottom w:val="nil"/>
              <w:right w:val="nil"/>
            </w:tcBorders>
            <w:shd w:val="clear" w:color="auto" w:fill="auto"/>
            <w:noWrap/>
            <w:vAlign w:val="center"/>
            <w:hideMark/>
          </w:tcPr>
          <w:p w14:paraId="087E844F"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Realizar modificaciones a la MIR de acuerdo con recomendaciones de la evaluación como implementar indicadores de gestión y resultados para hacerla una herramienta útil y eficaz en la toma de decisiones.</w:t>
            </w:r>
            <w:r w:rsidR="006F4A52">
              <w:rPr>
                <w:rFonts w:eastAsia="Times New Roman"/>
                <w:sz w:val="12"/>
                <w:szCs w:val="20"/>
                <w:lang w:val="es-ES" w:eastAsia="en-US"/>
              </w:rPr>
              <w:t xml:space="preserve"> </w:t>
            </w:r>
          </w:p>
        </w:tc>
        <w:tc>
          <w:tcPr>
            <w:tcW w:w="843" w:type="pct"/>
            <w:tcBorders>
              <w:top w:val="nil"/>
              <w:left w:val="nil"/>
              <w:bottom w:val="nil"/>
              <w:right w:val="nil"/>
            </w:tcBorders>
            <w:shd w:val="clear" w:color="auto" w:fill="auto"/>
            <w:noWrap/>
            <w:vAlign w:val="center"/>
            <w:hideMark/>
          </w:tcPr>
          <w:p w14:paraId="78A6823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Institucional</w:t>
            </w:r>
          </w:p>
        </w:tc>
        <w:tc>
          <w:tcPr>
            <w:tcW w:w="366" w:type="pct"/>
            <w:tcBorders>
              <w:top w:val="nil"/>
              <w:left w:val="nil"/>
              <w:bottom w:val="nil"/>
              <w:right w:val="nil"/>
            </w:tcBorders>
            <w:shd w:val="clear" w:color="auto" w:fill="auto"/>
            <w:noWrap/>
            <w:vAlign w:val="center"/>
            <w:hideMark/>
          </w:tcPr>
          <w:p w14:paraId="26DE8F0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43222D4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85</w:t>
            </w:r>
          </w:p>
        </w:tc>
      </w:tr>
      <w:tr w:rsidR="00F77FE5" w:rsidRPr="00F77FE5" w14:paraId="27B2E0EA" w14:textId="77777777" w:rsidTr="005A7CAD">
        <w:trPr>
          <w:trHeight w:val="300"/>
        </w:trPr>
        <w:tc>
          <w:tcPr>
            <w:tcW w:w="297" w:type="pct"/>
            <w:tcBorders>
              <w:top w:val="nil"/>
              <w:left w:val="nil"/>
              <w:bottom w:val="nil"/>
              <w:right w:val="nil"/>
            </w:tcBorders>
            <w:shd w:val="clear" w:color="auto" w:fill="auto"/>
            <w:noWrap/>
            <w:vAlign w:val="center"/>
            <w:hideMark/>
          </w:tcPr>
          <w:p w14:paraId="1712DA5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494FED9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SALUD</w:t>
            </w:r>
          </w:p>
        </w:tc>
        <w:tc>
          <w:tcPr>
            <w:tcW w:w="356" w:type="pct"/>
            <w:tcBorders>
              <w:top w:val="nil"/>
              <w:left w:val="nil"/>
              <w:bottom w:val="nil"/>
              <w:right w:val="nil"/>
            </w:tcBorders>
            <w:shd w:val="clear" w:color="auto" w:fill="auto"/>
            <w:noWrap/>
            <w:vAlign w:val="center"/>
            <w:hideMark/>
          </w:tcPr>
          <w:p w14:paraId="1A5B72F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U005</w:t>
            </w:r>
          </w:p>
        </w:tc>
        <w:tc>
          <w:tcPr>
            <w:tcW w:w="924" w:type="pct"/>
            <w:tcBorders>
              <w:top w:val="nil"/>
              <w:left w:val="nil"/>
              <w:bottom w:val="nil"/>
              <w:right w:val="nil"/>
            </w:tcBorders>
            <w:shd w:val="clear" w:color="auto" w:fill="auto"/>
            <w:noWrap/>
            <w:vAlign w:val="center"/>
            <w:hideMark/>
          </w:tcPr>
          <w:p w14:paraId="4156E3F2"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Seguro Popular</w:t>
            </w:r>
          </w:p>
        </w:tc>
        <w:tc>
          <w:tcPr>
            <w:tcW w:w="1277" w:type="pct"/>
            <w:tcBorders>
              <w:top w:val="nil"/>
              <w:left w:val="nil"/>
              <w:bottom w:val="nil"/>
              <w:right w:val="nil"/>
            </w:tcBorders>
            <w:shd w:val="clear" w:color="auto" w:fill="auto"/>
            <w:noWrap/>
            <w:vAlign w:val="center"/>
            <w:hideMark/>
          </w:tcPr>
          <w:p w14:paraId="3D738FCF"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Revisión de los tres componentes de evaluación con el fin de cumplir con lo mandatado para el programa, para así estar en condiciones de construir un sistema de evaluación que permita la buena toma de decisiones y un correcto seguimiento a lo establecido por el programa.</w:t>
            </w:r>
          </w:p>
        </w:tc>
        <w:tc>
          <w:tcPr>
            <w:tcW w:w="843" w:type="pct"/>
            <w:tcBorders>
              <w:top w:val="nil"/>
              <w:left w:val="nil"/>
              <w:bottom w:val="nil"/>
              <w:right w:val="nil"/>
            </w:tcBorders>
            <w:shd w:val="clear" w:color="auto" w:fill="auto"/>
            <w:noWrap/>
            <w:vAlign w:val="center"/>
            <w:hideMark/>
          </w:tcPr>
          <w:p w14:paraId="1560CA5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3D3E88A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230C3DF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25</w:t>
            </w:r>
          </w:p>
        </w:tc>
      </w:tr>
      <w:tr w:rsidR="00F77FE5" w:rsidRPr="00F77FE5" w14:paraId="1B9FEC47" w14:textId="77777777" w:rsidTr="005A7CAD">
        <w:trPr>
          <w:trHeight w:val="300"/>
        </w:trPr>
        <w:tc>
          <w:tcPr>
            <w:tcW w:w="297" w:type="pct"/>
            <w:tcBorders>
              <w:top w:val="nil"/>
              <w:left w:val="nil"/>
              <w:bottom w:val="nil"/>
              <w:right w:val="nil"/>
            </w:tcBorders>
            <w:shd w:val="clear" w:color="auto" w:fill="auto"/>
            <w:noWrap/>
            <w:vAlign w:val="center"/>
            <w:hideMark/>
          </w:tcPr>
          <w:p w14:paraId="146B27D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12</w:t>
            </w:r>
          </w:p>
        </w:tc>
        <w:tc>
          <w:tcPr>
            <w:tcW w:w="497" w:type="pct"/>
            <w:tcBorders>
              <w:top w:val="nil"/>
              <w:left w:val="nil"/>
              <w:bottom w:val="nil"/>
              <w:right w:val="nil"/>
            </w:tcBorders>
            <w:shd w:val="clear" w:color="auto" w:fill="auto"/>
            <w:noWrap/>
            <w:vAlign w:val="center"/>
            <w:hideMark/>
          </w:tcPr>
          <w:p w14:paraId="6DE4D4E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SALUD</w:t>
            </w:r>
          </w:p>
        </w:tc>
        <w:tc>
          <w:tcPr>
            <w:tcW w:w="356" w:type="pct"/>
            <w:tcBorders>
              <w:top w:val="nil"/>
              <w:left w:val="nil"/>
              <w:bottom w:val="nil"/>
              <w:right w:val="nil"/>
            </w:tcBorders>
            <w:shd w:val="clear" w:color="auto" w:fill="auto"/>
            <w:noWrap/>
            <w:vAlign w:val="center"/>
            <w:hideMark/>
          </w:tcPr>
          <w:p w14:paraId="7EC85B4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U008</w:t>
            </w:r>
          </w:p>
        </w:tc>
        <w:tc>
          <w:tcPr>
            <w:tcW w:w="924" w:type="pct"/>
            <w:tcBorders>
              <w:top w:val="nil"/>
              <w:left w:val="nil"/>
              <w:bottom w:val="nil"/>
              <w:right w:val="nil"/>
            </w:tcBorders>
            <w:shd w:val="clear" w:color="auto" w:fill="auto"/>
            <w:noWrap/>
            <w:vAlign w:val="center"/>
            <w:hideMark/>
          </w:tcPr>
          <w:p w14:paraId="6763EB4B"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Prevención y Control de Sobrepeso, Obesidad y Diabetes</w:t>
            </w:r>
          </w:p>
        </w:tc>
        <w:tc>
          <w:tcPr>
            <w:tcW w:w="1277" w:type="pct"/>
            <w:tcBorders>
              <w:top w:val="nil"/>
              <w:left w:val="nil"/>
              <w:bottom w:val="nil"/>
              <w:right w:val="nil"/>
            </w:tcBorders>
            <w:shd w:val="clear" w:color="auto" w:fill="auto"/>
            <w:noWrap/>
            <w:vAlign w:val="center"/>
            <w:hideMark/>
          </w:tcPr>
          <w:p w14:paraId="7F46975A"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Describir en el diagnóstico del problema identificado que debe de contemplar un abordaje multisectorial, por lo que se debe precisar que las acciones del programa contribuyen a la atención del problema.</w:t>
            </w:r>
          </w:p>
        </w:tc>
        <w:tc>
          <w:tcPr>
            <w:tcW w:w="843" w:type="pct"/>
            <w:tcBorders>
              <w:top w:val="nil"/>
              <w:left w:val="nil"/>
              <w:bottom w:val="nil"/>
              <w:right w:val="nil"/>
            </w:tcBorders>
            <w:shd w:val="clear" w:color="auto" w:fill="auto"/>
            <w:noWrap/>
            <w:vAlign w:val="center"/>
            <w:hideMark/>
          </w:tcPr>
          <w:p w14:paraId="5229423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13DF29C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735193C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64624807" w14:textId="77777777" w:rsidTr="005A7CAD">
        <w:trPr>
          <w:trHeight w:val="300"/>
        </w:trPr>
        <w:tc>
          <w:tcPr>
            <w:tcW w:w="297" w:type="pct"/>
            <w:tcBorders>
              <w:top w:val="nil"/>
              <w:left w:val="nil"/>
              <w:bottom w:val="nil"/>
              <w:right w:val="nil"/>
            </w:tcBorders>
            <w:shd w:val="clear" w:color="auto" w:fill="auto"/>
            <w:noWrap/>
            <w:vAlign w:val="center"/>
            <w:hideMark/>
          </w:tcPr>
          <w:p w14:paraId="61381A4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15</w:t>
            </w:r>
          </w:p>
        </w:tc>
        <w:tc>
          <w:tcPr>
            <w:tcW w:w="497" w:type="pct"/>
            <w:tcBorders>
              <w:top w:val="nil"/>
              <w:left w:val="nil"/>
              <w:bottom w:val="nil"/>
              <w:right w:val="nil"/>
            </w:tcBorders>
            <w:shd w:val="clear" w:color="auto" w:fill="auto"/>
            <w:noWrap/>
            <w:vAlign w:val="center"/>
            <w:hideMark/>
          </w:tcPr>
          <w:p w14:paraId="4056439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CONAVI</w:t>
            </w:r>
          </w:p>
        </w:tc>
        <w:tc>
          <w:tcPr>
            <w:tcW w:w="356" w:type="pct"/>
            <w:tcBorders>
              <w:top w:val="nil"/>
              <w:left w:val="nil"/>
              <w:bottom w:val="nil"/>
              <w:right w:val="nil"/>
            </w:tcBorders>
            <w:shd w:val="clear" w:color="auto" w:fill="auto"/>
            <w:noWrap/>
            <w:vAlign w:val="center"/>
            <w:hideMark/>
          </w:tcPr>
          <w:p w14:paraId="486B80C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S177</w:t>
            </w:r>
          </w:p>
        </w:tc>
        <w:tc>
          <w:tcPr>
            <w:tcW w:w="924" w:type="pct"/>
            <w:tcBorders>
              <w:top w:val="nil"/>
              <w:left w:val="nil"/>
              <w:bottom w:val="nil"/>
              <w:right w:val="nil"/>
            </w:tcBorders>
            <w:shd w:val="clear" w:color="auto" w:fill="auto"/>
            <w:noWrap/>
            <w:vAlign w:val="center"/>
            <w:hideMark/>
          </w:tcPr>
          <w:p w14:paraId="5F37F702"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esquema de financiamiento y subsidio federal para vivienda</w:t>
            </w:r>
          </w:p>
        </w:tc>
        <w:tc>
          <w:tcPr>
            <w:tcW w:w="1277" w:type="pct"/>
            <w:tcBorders>
              <w:top w:val="nil"/>
              <w:left w:val="nil"/>
              <w:bottom w:val="nil"/>
              <w:right w:val="nil"/>
            </w:tcBorders>
            <w:shd w:val="clear" w:color="auto" w:fill="auto"/>
            <w:noWrap/>
            <w:vAlign w:val="center"/>
            <w:hideMark/>
          </w:tcPr>
          <w:p w14:paraId="010BE1B8"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Elaborar documentos de planeación que sean exclusivos del Programa.</w:t>
            </w:r>
          </w:p>
        </w:tc>
        <w:tc>
          <w:tcPr>
            <w:tcW w:w="843" w:type="pct"/>
            <w:tcBorders>
              <w:top w:val="nil"/>
              <w:left w:val="nil"/>
              <w:bottom w:val="nil"/>
              <w:right w:val="nil"/>
            </w:tcBorders>
            <w:shd w:val="clear" w:color="auto" w:fill="auto"/>
            <w:noWrap/>
            <w:vAlign w:val="center"/>
            <w:hideMark/>
          </w:tcPr>
          <w:p w14:paraId="3FDF091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6A6C888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60BD974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65.33</w:t>
            </w:r>
          </w:p>
        </w:tc>
      </w:tr>
      <w:tr w:rsidR="00F77FE5" w:rsidRPr="00F77FE5" w14:paraId="60EDBEB6" w14:textId="77777777" w:rsidTr="005A7CAD">
        <w:trPr>
          <w:trHeight w:val="300"/>
        </w:trPr>
        <w:tc>
          <w:tcPr>
            <w:tcW w:w="297" w:type="pct"/>
            <w:tcBorders>
              <w:top w:val="nil"/>
              <w:left w:val="nil"/>
              <w:bottom w:val="nil"/>
              <w:right w:val="nil"/>
            </w:tcBorders>
            <w:shd w:val="clear" w:color="auto" w:fill="auto"/>
            <w:noWrap/>
            <w:vAlign w:val="center"/>
            <w:hideMark/>
          </w:tcPr>
          <w:p w14:paraId="2972135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15</w:t>
            </w:r>
          </w:p>
        </w:tc>
        <w:tc>
          <w:tcPr>
            <w:tcW w:w="497" w:type="pct"/>
            <w:tcBorders>
              <w:top w:val="nil"/>
              <w:left w:val="nil"/>
              <w:bottom w:val="nil"/>
              <w:right w:val="nil"/>
            </w:tcBorders>
            <w:shd w:val="clear" w:color="auto" w:fill="auto"/>
            <w:noWrap/>
            <w:vAlign w:val="center"/>
            <w:hideMark/>
          </w:tcPr>
          <w:p w14:paraId="185C4EB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SEDATU</w:t>
            </w:r>
          </w:p>
        </w:tc>
        <w:tc>
          <w:tcPr>
            <w:tcW w:w="356" w:type="pct"/>
            <w:tcBorders>
              <w:top w:val="nil"/>
              <w:left w:val="nil"/>
              <w:bottom w:val="nil"/>
              <w:right w:val="nil"/>
            </w:tcBorders>
            <w:shd w:val="clear" w:color="auto" w:fill="auto"/>
            <w:noWrap/>
            <w:vAlign w:val="center"/>
            <w:hideMark/>
          </w:tcPr>
          <w:p w14:paraId="28457E9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S177</w:t>
            </w:r>
          </w:p>
        </w:tc>
        <w:tc>
          <w:tcPr>
            <w:tcW w:w="924" w:type="pct"/>
            <w:tcBorders>
              <w:top w:val="nil"/>
              <w:left w:val="nil"/>
              <w:bottom w:val="nil"/>
              <w:right w:val="nil"/>
            </w:tcBorders>
            <w:shd w:val="clear" w:color="auto" w:fill="auto"/>
            <w:noWrap/>
            <w:vAlign w:val="center"/>
            <w:hideMark/>
          </w:tcPr>
          <w:p w14:paraId="0D16C0E6"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acceso al financiamiento para soluciones habitacionales</w:t>
            </w:r>
          </w:p>
        </w:tc>
        <w:tc>
          <w:tcPr>
            <w:tcW w:w="1277" w:type="pct"/>
            <w:tcBorders>
              <w:top w:val="nil"/>
              <w:left w:val="nil"/>
              <w:bottom w:val="nil"/>
              <w:right w:val="nil"/>
            </w:tcBorders>
            <w:shd w:val="clear" w:color="auto" w:fill="auto"/>
            <w:noWrap/>
            <w:vAlign w:val="center"/>
            <w:hideMark/>
          </w:tcPr>
          <w:p w14:paraId="3CF3010F"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Diagnóstico prospectivo de atención del Programa a 2030.</w:t>
            </w:r>
          </w:p>
        </w:tc>
        <w:tc>
          <w:tcPr>
            <w:tcW w:w="843" w:type="pct"/>
            <w:tcBorders>
              <w:top w:val="nil"/>
              <w:left w:val="nil"/>
              <w:bottom w:val="nil"/>
              <w:right w:val="nil"/>
            </w:tcBorders>
            <w:shd w:val="clear" w:color="auto" w:fill="auto"/>
            <w:noWrap/>
            <w:vAlign w:val="center"/>
            <w:hideMark/>
          </w:tcPr>
          <w:p w14:paraId="517C7D8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2FE99A0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2FC62E5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4E1DA665" w14:textId="77777777" w:rsidTr="005A7CAD">
        <w:trPr>
          <w:trHeight w:val="300"/>
        </w:trPr>
        <w:tc>
          <w:tcPr>
            <w:tcW w:w="297" w:type="pct"/>
            <w:tcBorders>
              <w:top w:val="nil"/>
              <w:left w:val="nil"/>
              <w:bottom w:val="nil"/>
              <w:right w:val="nil"/>
            </w:tcBorders>
            <w:shd w:val="clear" w:color="auto" w:fill="auto"/>
            <w:noWrap/>
            <w:vAlign w:val="center"/>
            <w:hideMark/>
          </w:tcPr>
          <w:p w14:paraId="1BBA41E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15</w:t>
            </w:r>
          </w:p>
        </w:tc>
        <w:tc>
          <w:tcPr>
            <w:tcW w:w="497" w:type="pct"/>
            <w:tcBorders>
              <w:top w:val="nil"/>
              <w:left w:val="nil"/>
              <w:bottom w:val="nil"/>
              <w:right w:val="nil"/>
            </w:tcBorders>
            <w:shd w:val="clear" w:color="auto" w:fill="auto"/>
            <w:noWrap/>
            <w:vAlign w:val="center"/>
            <w:hideMark/>
          </w:tcPr>
          <w:p w14:paraId="537F297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SEDATU</w:t>
            </w:r>
          </w:p>
        </w:tc>
        <w:tc>
          <w:tcPr>
            <w:tcW w:w="356" w:type="pct"/>
            <w:tcBorders>
              <w:top w:val="nil"/>
              <w:left w:val="nil"/>
              <w:bottom w:val="nil"/>
              <w:right w:val="nil"/>
            </w:tcBorders>
            <w:shd w:val="clear" w:color="auto" w:fill="auto"/>
            <w:noWrap/>
            <w:vAlign w:val="center"/>
            <w:hideMark/>
          </w:tcPr>
          <w:p w14:paraId="5065847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S177</w:t>
            </w:r>
          </w:p>
        </w:tc>
        <w:tc>
          <w:tcPr>
            <w:tcW w:w="924" w:type="pct"/>
            <w:tcBorders>
              <w:top w:val="nil"/>
              <w:left w:val="nil"/>
              <w:bottom w:val="nil"/>
              <w:right w:val="nil"/>
            </w:tcBorders>
            <w:shd w:val="clear" w:color="auto" w:fill="auto"/>
            <w:noWrap/>
            <w:vAlign w:val="center"/>
            <w:hideMark/>
          </w:tcPr>
          <w:p w14:paraId="61973D04"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acceso al financiamiento para soluciones habitacionales</w:t>
            </w:r>
          </w:p>
        </w:tc>
        <w:tc>
          <w:tcPr>
            <w:tcW w:w="1277" w:type="pct"/>
            <w:tcBorders>
              <w:top w:val="nil"/>
              <w:left w:val="nil"/>
              <w:bottom w:val="nil"/>
              <w:right w:val="nil"/>
            </w:tcBorders>
            <w:shd w:val="clear" w:color="auto" w:fill="auto"/>
            <w:noWrap/>
            <w:vAlign w:val="center"/>
            <w:hideMark/>
          </w:tcPr>
          <w:p w14:paraId="020CAB5B"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Metodología para recopilación de información ex ante y ex post al otorgamiento de subsidio.</w:t>
            </w:r>
          </w:p>
        </w:tc>
        <w:tc>
          <w:tcPr>
            <w:tcW w:w="843" w:type="pct"/>
            <w:tcBorders>
              <w:top w:val="nil"/>
              <w:left w:val="nil"/>
              <w:bottom w:val="nil"/>
              <w:right w:val="nil"/>
            </w:tcBorders>
            <w:shd w:val="clear" w:color="auto" w:fill="auto"/>
            <w:noWrap/>
            <w:vAlign w:val="center"/>
            <w:hideMark/>
          </w:tcPr>
          <w:p w14:paraId="3B1680E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695CC6C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2742F0D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70</w:t>
            </w:r>
          </w:p>
        </w:tc>
      </w:tr>
      <w:tr w:rsidR="00F77FE5" w:rsidRPr="00F77FE5" w14:paraId="3324E442" w14:textId="77777777" w:rsidTr="005A7CAD">
        <w:trPr>
          <w:trHeight w:val="300"/>
        </w:trPr>
        <w:tc>
          <w:tcPr>
            <w:tcW w:w="297" w:type="pct"/>
            <w:tcBorders>
              <w:top w:val="nil"/>
              <w:left w:val="nil"/>
              <w:bottom w:val="nil"/>
              <w:right w:val="nil"/>
            </w:tcBorders>
            <w:shd w:val="clear" w:color="auto" w:fill="auto"/>
            <w:noWrap/>
            <w:vAlign w:val="center"/>
            <w:hideMark/>
          </w:tcPr>
          <w:p w14:paraId="62853F1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lastRenderedPageBreak/>
              <w:t>16</w:t>
            </w:r>
          </w:p>
        </w:tc>
        <w:tc>
          <w:tcPr>
            <w:tcW w:w="497" w:type="pct"/>
            <w:tcBorders>
              <w:top w:val="nil"/>
              <w:left w:val="nil"/>
              <w:bottom w:val="nil"/>
              <w:right w:val="nil"/>
            </w:tcBorders>
            <w:shd w:val="clear" w:color="auto" w:fill="auto"/>
            <w:noWrap/>
            <w:vAlign w:val="center"/>
            <w:hideMark/>
          </w:tcPr>
          <w:p w14:paraId="2CD148D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CONAFOR</w:t>
            </w:r>
          </w:p>
        </w:tc>
        <w:tc>
          <w:tcPr>
            <w:tcW w:w="356" w:type="pct"/>
            <w:tcBorders>
              <w:top w:val="nil"/>
              <w:left w:val="nil"/>
              <w:bottom w:val="nil"/>
              <w:right w:val="nil"/>
            </w:tcBorders>
            <w:shd w:val="clear" w:color="auto" w:fill="auto"/>
            <w:noWrap/>
            <w:vAlign w:val="center"/>
            <w:hideMark/>
          </w:tcPr>
          <w:p w14:paraId="73E5306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S219</w:t>
            </w:r>
          </w:p>
        </w:tc>
        <w:tc>
          <w:tcPr>
            <w:tcW w:w="924" w:type="pct"/>
            <w:tcBorders>
              <w:top w:val="nil"/>
              <w:left w:val="nil"/>
              <w:bottom w:val="nil"/>
              <w:right w:val="nil"/>
            </w:tcBorders>
            <w:shd w:val="clear" w:color="auto" w:fill="auto"/>
            <w:noWrap/>
            <w:vAlign w:val="center"/>
            <w:hideMark/>
          </w:tcPr>
          <w:p w14:paraId="3A7E013C"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Apoyos para el Desarrollo Forestal Sustentable</w:t>
            </w:r>
          </w:p>
        </w:tc>
        <w:tc>
          <w:tcPr>
            <w:tcW w:w="1277" w:type="pct"/>
            <w:tcBorders>
              <w:top w:val="nil"/>
              <w:left w:val="nil"/>
              <w:bottom w:val="nil"/>
              <w:right w:val="nil"/>
            </w:tcBorders>
            <w:shd w:val="clear" w:color="auto" w:fill="auto"/>
            <w:noWrap/>
            <w:vAlign w:val="center"/>
            <w:hideMark/>
          </w:tcPr>
          <w:p w14:paraId="0F02285A"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Actualización de la NORMA Oficial Mexicana NOM-019-SEMARNAT-2006 (U036 EC).</w:t>
            </w:r>
          </w:p>
        </w:tc>
        <w:tc>
          <w:tcPr>
            <w:tcW w:w="843" w:type="pct"/>
            <w:tcBorders>
              <w:top w:val="nil"/>
              <w:left w:val="nil"/>
              <w:bottom w:val="nil"/>
              <w:right w:val="nil"/>
            </w:tcBorders>
            <w:shd w:val="clear" w:color="auto" w:fill="auto"/>
            <w:noWrap/>
            <w:vAlign w:val="center"/>
            <w:hideMark/>
          </w:tcPr>
          <w:p w14:paraId="60D2B81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0EED61C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43CD398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35623F5F" w14:textId="77777777" w:rsidTr="005A7CAD">
        <w:trPr>
          <w:trHeight w:val="300"/>
        </w:trPr>
        <w:tc>
          <w:tcPr>
            <w:tcW w:w="297" w:type="pct"/>
            <w:tcBorders>
              <w:top w:val="nil"/>
              <w:left w:val="nil"/>
              <w:bottom w:val="nil"/>
              <w:right w:val="nil"/>
            </w:tcBorders>
            <w:shd w:val="clear" w:color="auto" w:fill="auto"/>
            <w:noWrap/>
            <w:vAlign w:val="center"/>
            <w:hideMark/>
          </w:tcPr>
          <w:p w14:paraId="2955874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16</w:t>
            </w:r>
          </w:p>
        </w:tc>
        <w:tc>
          <w:tcPr>
            <w:tcW w:w="497" w:type="pct"/>
            <w:tcBorders>
              <w:top w:val="nil"/>
              <w:left w:val="nil"/>
              <w:bottom w:val="nil"/>
              <w:right w:val="nil"/>
            </w:tcBorders>
            <w:shd w:val="clear" w:color="auto" w:fill="auto"/>
            <w:noWrap/>
            <w:vAlign w:val="center"/>
            <w:hideMark/>
          </w:tcPr>
          <w:p w14:paraId="513282D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CONAFOR</w:t>
            </w:r>
          </w:p>
        </w:tc>
        <w:tc>
          <w:tcPr>
            <w:tcW w:w="356" w:type="pct"/>
            <w:tcBorders>
              <w:top w:val="nil"/>
              <w:left w:val="nil"/>
              <w:bottom w:val="nil"/>
              <w:right w:val="nil"/>
            </w:tcBorders>
            <w:shd w:val="clear" w:color="auto" w:fill="auto"/>
            <w:noWrap/>
            <w:vAlign w:val="center"/>
            <w:hideMark/>
          </w:tcPr>
          <w:p w14:paraId="19D2046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S219</w:t>
            </w:r>
          </w:p>
        </w:tc>
        <w:tc>
          <w:tcPr>
            <w:tcW w:w="924" w:type="pct"/>
            <w:tcBorders>
              <w:top w:val="nil"/>
              <w:left w:val="nil"/>
              <w:bottom w:val="nil"/>
              <w:right w:val="nil"/>
            </w:tcBorders>
            <w:shd w:val="clear" w:color="auto" w:fill="auto"/>
            <w:noWrap/>
            <w:vAlign w:val="center"/>
            <w:hideMark/>
          </w:tcPr>
          <w:p w14:paraId="28FF3018"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Apoyos para el Desarrollo Forestal Sustentable</w:t>
            </w:r>
          </w:p>
        </w:tc>
        <w:tc>
          <w:tcPr>
            <w:tcW w:w="1277" w:type="pct"/>
            <w:tcBorders>
              <w:top w:val="nil"/>
              <w:left w:val="nil"/>
              <w:bottom w:val="nil"/>
              <w:right w:val="nil"/>
            </w:tcBorders>
            <w:shd w:val="clear" w:color="auto" w:fill="auto"/>
            <w:noWrap/>
            <w:vAlign w:val="center"/>
            <w:hideMark/>
          </w:tcPr>
          <w:p w14:paraId="60E4D24C"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Difundir el documento de planeación de la ENAIPROS actualizado. (S219 Procesos).</w:t>
            </w:r>
          </w:p>
        </w:tc>
        <w:tc>
          <w:tcPr>
            <w:tcW w:w="843" w:type="pct"/>
            <w:tcBorders>
              <w:top w:val="nil"/>
              <w:left w:val="nil"/>
              <w:bottom w:val="nil"/>
              <w:right w:val="nil"/>
            </w:tcBorders>
            <w:shd w:val="clear" w:color="auto" w:fill="auto"/>
            <w:noWrap/>
            <w:vAlign w:val="center"/>
            <w:hideMark/>
          </w:tcPr>
          <w:p w14:paraId="456495A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Institucional</w:t>
            </w:r>
          </w:p>
        </w:tc>
        <w:tc>
          <w:tcPr>
            <w:tcW w:w="366" w:type="pct"/>
            <w:tcBorders>
              <w:top w:val="nil"/>
              <w:left w:val="nil"/>
              <w:bottom w:val="nil"/>
              <w:right w:val="nil"/>
            </w:tcBorders>
            <w:shd w:val="clear" w:color="auto" w:fill="auto"/>
            <w:noWrap/>
            <w:vAlign w:val="center"/>
            <w:hideMark/>
          </w:tcPr>
          <w:p w14:paraId="3ECF3FE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2FD2646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6FC45294" w14:textId="77777777" w:rsidTr="005A7CAD">
        <w:trPr>
          <w:trHeight w:val="300"/>
        </w:trPr>
        <w:tc>
          <w:tcPr>
            <w:tcW w:w="297" w:type="pct"/>
            <w:tcBorders>
              <w:top w:val="nil"/>
              <w:left w:val="nil"/>
              <w:bottom w:val="nil"/>
              <w:right w:val="nil"/>
            </w:tcBorders>
            <w:shd w:val="clear" w:color="auto" w:fill="auto"/>
            <w:noWrap/>
            <w:vAlign w:val="center"/>
            <w:hideMark/>
          </w:tcPr>
          <w:p w14:paraId="152600B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16</w:t>
            </w:r>
          </w:p>
        </w:tc>
        <w:tc>
          <w:tcPr>
            <w:tcW w:w="497" w:type="pct"/>
            <w:tcBorders>
              <w:top w:val="nil"/>
              <w:left w:val="nil"/>
              <w:bottom w:val="nil"/>
              <w:right w:val="nil"/>
            </w:tcBorders>
            <w:shd w:val="clear" w:color="auto" w:fill="auto"/>
            <w:noWrap/>
            <w:vAlign w:val="center"/>
            <w:hideMark/>
          </w:tcPr>
          <w:p w14:paraId="6DF576B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CONAFOR</w:t>
            </w:r>
          </w:p>
        </w:tc>
        <w:tc>
          <w:tcPr>
            <w:tcW w:w="356" w:type="pct"/>
            <w:tcBorders>
              <w:top w:val="nil"/>
              <w:left w:val="nil"/>
              <w:bottom w:val="nil"/>
              <w:right w:val="nil"/>
            </w:tcBorders>
            <w:shd w:val="clear" w:color="auto" w:fill="auto"/>
            <w:noWrap/>
            <w:vAlign w:val="center"/>
            <w:hideMark/>
          </w:tcPr>
          <w:p w14:paraId="7CD74FD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S219</w:t>
            </w:r>
          </w:p>
        </w:tc>
        <w:tc>
          <w:tcPr>
            <w:tcW w:w="924" w:type="pct"/>
            <w:tcBorders>
              <w:top w:val="nil"/>
              <w:left w:val="nil"/>
              <w:bottom w:val="nil"/>
              <w:right w:val="nil"/>
            </w:tcBorders>
            <w:shd w:val="clear" w:color="auto" w:fill="auto"/>
            <w:noWrap/>
            <w:vAlign w:val="center"/>
            <w:hideMark/>
          </w:tcPr>
          <w:p w14:paraId="6B1E1E4D"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Apoyos para el Desarrollo Forestal Sustentable</w:t>
            </w:r>
          </w:p>
        </w:tc>
        <w:tc>
          <w:tcPr>
            <w:tcW w:w="1277" w:type="pct"/>
            <w:tcBorders>
              <w:top w:val="nil"/>
              <w:left w:val="nil"/>
              <w:bottom w:val="nil"/>
              <w:right w:val="nil"/>
            </w:tcBorders>
            <w:shd w:val="clear" w:color="auto" w:fill="auto"/>
            <w:noWrap/>
            <w:vAlign w:val="center"/>
            <w:hideMark/>
          </w:tcPr>
          <w:p w14:paraId="7D7D6947"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Difundir material informativo de la estrategia. (S219 Procesos).</w:t>
            </w:r>
          </w:p>
        </w:tc>
        <w:tc>
          <w:tcPr>
            <w:tcW w:w="843" w:type="pct"/>
            <w:tcBorders>
              <w:top w:val="nil"/>
              <w:left w:val="nil"/>
              <w:bottom w:val="nil"/>
              <w:right w:val="nil"/>
            </w:tcBorders>
            <w:shd w:val="clear" w:color="auto" w:fill="auto"/>
            <w:noWrap/>
            <w:vAlign w:val="center"/>
            <w:hideMark/>
          </w:tcPr>
          <w:p w14:paraId="4F3CCBF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Institucional</w:t>
            </w:r>
          </w:p>
        </w:tc>
        <w:tc>
          <w:tcPr>
            <w:tcW w:w="366" w:type="pct"/>
            <w:tcBorders>
              <w:top w:val="nil"/>
              <w:left w:val="nil"/>
              <w:bottom w:val="nil"/>
              <w:right w:val="nil"/>
            </w:tcBorders>
            <w:shd w:val="clear" w:color="auto" w:fill="auto"/>
            <w:noWrap/>
            <w:vAlign w:val="center"/>
            <w:hideMark/>
          </w:tcPr>
          <w:p w14:paraId="6A6AAB3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19370B9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33.33</w:t>
            </w:r>
          </w:p>
        </w:tc>
      </w:tr>
      <w:tr w:rsidR="00F77FE5" w:rsidRPr="00F77FE5" w14:paraId="73E757CB" w14:textId="77777777" w:rsidTr="005A7CAD">
        <w:trPr>
          <w:trHeight w:val="300"/>
        </w:trPr>
        <w:tc>
          <w:tcPr>
            <w:tcW w:w="297" w:type="pct"/>
            <w:tcBorders>
              <w:top w:val="nil"/>
              <w:left w:val="nil"/>
              <w:bottom w:val="nil"/>
              <w:right w:val="nil"/>
            </w:tcBorders>
            <w:shd w:val="clear" w:color="auto" w:fill="auto"/>
            <w:noWrap/>
            <w:vAlign w:val="center"/>
            <w:hideMark/>
          </w:tcPr>
          <w:p w14:paraId="59A0F6D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16</w:t>
            </w:r>
          </w:p>
        </w:tc>
        <w:tc>
          <w:tcPr>
            <w:tcW w:w="497" w:type="pct"/>
            <w:tcBorders>
              <w:top w:val="nil"/>
              <w:left w:val="nil"/>
              <w:bottom w:val="nil"/>
              <w:right w:val="nil"/>
            </w:tcBorders>
            <w:shd w:val="clear" w:color="auto" w:fill="auto"/>
            <w:noWrap/>
            <w:vAlign w:val="center"/>
            <w:hideMark/>
          </w:tcPr>
          <w:p w14:paraId="0F2A98B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CONAFOR</w:t>
            </w:r>
          </w:p>
        </w:tc>
        <w:tc>
          <w:tcPr>
            <w:tcW w:w="356" w:type="pct"/>
            <w:tcBorders>
              <w:top w:val="nil"/>
              <w:left w:val="nil"/>
              <w:bottom w:val="nil"/>
              <w:right w:val="nil"/>
            </w:tcBorders>
            <w:shd w:val="clear" w:color="auto" w:fill="auto"/>
            <w:noWrap/>
            <w:vAlign w:val="center"/>
            <w:hideMark/>
          </w:tcPr>
          <w:p w14:paraId="7031223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S219</w:t>
            </w:r>
          </w:p>
        </w:tc>
        <w:tc>
          <w:tcPr>
            <w:tcW w:w="924" w:type="pct"/>
            <w:tcBorders>
              <w:top w:val="nil"/>
              <w:left w:val="nil"/>
              <w:bottom w:val="nil"/>
              <w:right w:val="nil"/>
            </w:tcBorders>
            <w:shd w:val="clear" w:color="auto" w:fill="auto"/>
            <w:noWrap/>
            <w:vAlign w:val="center"/>
            <w:hideMark/>
          </w:tcPr>
          <w:p w14:paraId="27FB2067"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Apoyos para el Desarrollo Forestal Sustentable</w:t>
            </w:r>
          </w:p>
        </w:tc>
        <w:tc>
          <w:tcPr>
            <w:tcW w:w="1277" w:type="pct"/>
            <w:tcBorders>
              <w:top w:val="nil"/>
              <w:left w:val="nil"/>
              <w:bottom w:val="nil"/>
              <w:right w:val="nil"/>
            </w:tcBorders>
            <w:shd w:val="clear" w:color="auto" w:fill="auto"/>
            <w:noWrap/>
            <w:vAlign w:val="center"/>
            <w:hideMark/>
          </w:tcPr>
          <w:p w14:paraId="6816E9B4"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Establecer y operar un esquema de capacitación para la profesionalización de la asistencia técnica forestal. (S219 EC).</w:t>
            </w:r>
          </w:p>
        </w:tc>
        <w:tc>
          <w:tcPr>
            <w:tcW w:w="843" w:type="pct"/>
            <w:tcBorders>
              <w:top w:val="nil"/>
              <w:left w:val="nil"/>
              <w:bottom w:val="nil"/>
              <w:right w:val="nil"/>
            </w:tcBorders>
            <w:shd w:val="clear" w:color="auto" w:fill="auto"/>
            <w:noWrap/>
            <w:vAlign w:val="center"/>
            <w:hideMark/>
          </w:tcPr>
          <w:p w14:paraId="521099D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61EBE70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320B3B1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94</w:t>
            </w:r>
          </w:p>
        </w:tc>
      </w:tr>
      <w:tr w:rsidR="00F77FE5" w:rsidRPr="00F77FE5" w14:paraId="1EA79D12" w14:textId="77777777" w:rsidTr="005A7CAD">
        <w:trPr>
          <w:trHeight w:val="300"/>
        </w:trPr>
        <w:tc>
          <w:tcPr>
            <w:tcW w:w="297" w:type="pct"/>
            <w:tcBorders>
              <w:top w:val="nil"/>
              <w:left w:val="nil"/>
              <w:bottom w:val="nil"/>
              <w:right w:val="nil"/>
            </w:tcBorders>
            <w:shd w:val="clear" w:color="auto" w:fill="auto"/>
            <w:noWrap/>
            <w:vAlign w:val="center"/>
            <w:hideMark/>
          </w:tcPr>
          <w:p w14:paraId="0D1FF08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16</w:t>
            </w:r>
          </w:p>
        </w:tc>
        <w:tc>
          <w:tcPr>
            <w:tcW w:w="497" w:type="pct"/>
            <w:tcBorders>
              <w:top w:val="nil"/>
              <w:left w:val="nil"/>
              <w:bottom w:val="nil"/>
              <w:right w:val="nil"/>
            </w:tcBorders>
            <w:shd w:val="clear" w:color="auto" w:fill="auto"/>
            <w:noWrap/>
            <w:vAlign w:val="center"/>
            <w:hideMark/>
          </w:tcPr>
          <w:p w14:paraId="1D5BF09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CONAFOR</w:t>
            </w:r>
          </w:p>
        </w:tc>
        <w:tc>
          <w:tcPr>
            <w:tcW w:w="356" w:type="pct"/>
            <w:tcBorders>
              <w:top w:val="nil"/>
              <w:left w:val="nil"/>
              <w:bottom w:val="nil"/>
              <w:right w:val="nil"/>
            </w:tcBorders>
            <w:shd w:val="clear" w:color="auto" w:fill="auto"/>
            <w:noWrap/>
            <w:vAlign w:val="center"/>
            <w:hideMark/>
          </w:tcPr>
          <w:p w14:paraId="6B2ABB5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S219</w:t>
            </w:r>
          </w:p>
        </w:tc>
        <w:tc>
          <w:tcPr>
            <w:tcW w:w="924" w:type="pct"/>
            <w:tcBorders>
              <w:top w:val="nil"/>
              <w:left w:val="nil"/>
              <w:bottom w:val="nil"/>
              <w:right w:val="nil"/>
            </w:tcBorders>
            <w:shd w:val="clear" w:color="auto" w:fill="auto"/>
            <w:noWrap/>
            <w:vAlign w:val="center"/>
            <w:hideMark/>
          </w:tcPr>
          <w:p w14:paraId="616289B8"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Apoyos para el Desarrollo Forestal Sustentable</w:t>
            </w:r>
          </w:p>
        </w:tc>
        <w:tc>
          <w:tcPr>
            <w:tcW w:w="1277" w:type="pct"/>
            <w:tcBorders>
              <w:top w:val="nil"/>
              <w:left w:val="nil"/>
              <w:bottom w:val="nil"/>
              <w:right w:val="nil"/>
            </w:tcBorders>
            <w:shd w:val="clear" w:color="auto" w:fill="auto"/>
            <w:noWrap/>
            <w:vAlign w:val="center"/>
            <w:hideMark/>
          </w:tcPr>
          <w:p w14:paraId="1C4A34D5" w14:textId="77777777" w:rsidR="00F77FE5" w:rsidRPr="00F77FE5" w:rsidRDefault="00F77FE5" w:rsidP="007D0E11">
            <w:pPr>
              <w:spacing w:before="20" w:after="0"/>
              <w:jc w:val="both"/>
              <w:rPr>
                <w:rFonts w:eastAsia="Times New Roman"/>
                <w:sz w:val="12"/>
                <w:szCs w:val="20"/>
                <w:lang w:val="es-ES" w:eastAsia="en-US"/>
              </w:rPr>
            </w:pPr>
            <w:r w:rsidRPr="00F77FE5">
              <w:rPr>
                <w:rFonts w:eastAsia="Times New Roman"/>
                <w:sz w:val="12"/>
                <w:szCs w:val="20"/>
                <w:lang w:val="es-ES" w:eastAsia="en-US"/>
              </w:rPr>
              <w:t>Implementar la evaluación al desempeño por parte de las Gerencias Estatales. (U036 EC).</w:t>
            </w:r>
          </w:p>
        </w:tc>
        <w:tc>
          <w:tcPr>
            <w:tcW w:w="843" w:type="pct"/>
            <w:tcBorders>
              <w:top w:val="nil"/>
              <w:left w:val="nil"/>
              <w:bottom w:val="nil"/>
              <w:right w:val="nil"/>
            </w:tcBorders>
            <w:shd w:val="clear" w:color="auto" w:fill="auto"/>
            <w:noWrap/>
            <w:vAlign w:val="center"/>
            <w:hideMark/>
          </w:tcPr>
          <w:p w14:paraId="65D992D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66E221A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0C33148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90</w:t>
            </w:r>
          </w:p>
        </w:tc>
      </w:tr>
      <w:tr w:rsidR="00F77FE5" w:rsidRPr="00F77FE5" w14:paraId="47278378" w14:textId="77777777" w:rsidTr="005A7CAD">
        <w:trPr>
          <w:trHeight w:val="300"/>
        </w:trPr>
        <w:tc>
          <w:tcPr>
            <w:tcW w:w="297" w:type="pct"/>
            <w:tcBorders>
              <w:top w:val="nil"/>
              <w:left w:val="nil"/>
              <w:bottom w:val="nil"/>
              <w:right w:val="nil"/>
            </w:tcBorders>
            <w:shd w:val="clear" w:color="auto" w:fill="auto"/>
            <w:noWrap/>
            <w:vAlign w:val="center"/>
            <w:hideMark/>
          </w:tcPr>
          <w:p w14:paraId="1F41721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16</w:t>
            </w:r>
          </w:p>
        </w:tc>
        <w:tc>
          <w:tcPr>
            <w:tcW w:w="497" w:type="pct"/>
            <w:tcBorders>
              <w:top w:val="nil"/>
              <w:left w:val="nil"/>
              <w:bottom w:val="nil"/>
              <w:right w:val="nil"/>
            </w:tcBorders>
            <w:shd w:val="clear" w:color="auto" w:fill="auto"/>
            <w:noWrap/>
            <w:vAlign w:val="center"/>
            <w:hideMark/>
          </w:tcPr>
          <w:p w14:paraId="2CC298D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CONAFOR</w:t>
            </w:r>
          </w:p>
        </w:tc>
        <w:tc>
          <w:tcPr>
            <w:tcW w:w="356" w:type="pct"/>
            <w:tcBorders>
              <w:top w:val="nil"/>
              <w:left w:val="nil"/>
              <w:bottom w:val="nil"/>
              <w:right w:val="nil"/>
            </w:tcBorders>
            <w:shd w:val="clear" w:color="auto" w:fill="auto"/>
            <w:noWrap/>
            <w:vAlign w:val="center"/>
            <w:hideMark/>
          </w:tcPr>
          <w:p w14:paraId="406DA08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S219</w:t>
            </w:r>
          </w:p>
        </w:tc>
        <w:tc>
          <w:tcPr>
            <w:tcW w:w="924" w:type="pct"/>
            <w:tcBorders>
              <w:top w:val="nil"/>
              <w:left w:val="nil"/>
              <w:bottom w:val="nil"/>
              <w:right w:val="nil"/>
            </w:tcBorders>
            <w:shd w:val="clear" w:color="auto" w:fill="auto"/>
            <w:noWrap/>
            <w:vAlign w:val="center"/>
            <w:hideMark/>
          </w:tcPr>
          <w:p w14:paraId="48B45EFE"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Apoyos para el Desarrollo Forestal Sustentable</w:t>
            </w:r>
          </w:p>
        </w:tc>
        <w:tc>
          <w:tcPr>
            <w:tcW w:w="1277" w:type="pct"/>
            <w:tcBorders>
              <w:top w:val="nil"/>
              <w:left w:val="nil"/>
              <w:bottom w:val="nil"/>
              <w:right w:val="nil"/>
            </w:tcBorders>
            <w:shd w:val="clear" w:color="auto" w:fill="auto"/>
            <w:noWrap/>
            <w:vAlign w:val="center"/>
            <w:hideMark/>
          </w:tcPr>
          <w:p w14:paraId="4AAD0B18"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Implementar una metodología y un sistema institucional para el monitoreo ambiental que aporte información periódica para la evaluación de los impactos generados en el Esquema de Servicios Ambientales que implementa la CONAFOR. (U036 EC).</w:t>
            </w:r>
          </w:p>
        </w:tc>
        <w:tc>
          <w:tcPr>
            <w:tcW w:w="843" w:type="pct"/>
            <w:tcBorders>
              <w:top w:val="nil"/>
              <w:left w:val="nil"/>
              <w:bottom w:val="nil"/>
              <w:right w:val="nil"/>
            </w:tcBorders>
            <w:shd w:val="clear" w:color="auto" w:fill="auto"/>
            <w:noWrap/>
            <w:vAlign w:val="center"/>
            <w:hideMark/>
          </w:tcPr>
          <w:p w14:paraId="6B8F62D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76D0E5F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471336B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2B7FC54B" w14:textId="77777777" w:rsidTr="005A7CAD">
        <w:trPr>
          <w:trHeight w:val="300"/>
        </w:trPr>
        <w:tc>
          <w:tcPr>
            <w:tcW w:w="297" w:type="pct"/>
            <w:tcBorders>
              <w:top w:val="nil"/>
              <w:left w:val="nil"/>
              <w:bottom w:val="nil"/>
              <w:right w:val="nil"/>
            </w:tcBorders>
            <w:shd w:val="clear" w:color="auto" w:fill="auto"/>
            <w:noWrap/>
            <w:vAlign w:val="center"/>
            <w:hideMark/>
          </w:tcPr>
          <w:p w14:paraId="51EB5CC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16</w:t>
            </w:r>
          </w:p>
        </w:tc>
        <w:tc>
          <w:tcPr>
            <w:tcW w:w="497" w:type="pct"/>
            <w:tcBorders>
              <w:top w:val="nil"/>
              <w:left w:val="nil"/>
              <w:bottom w:val="nil"/>
              <w:right w:val="nil"/>
            </w:tcBorders>
            <w:shd w:val="clear" w:color="auto" w:fill="auto"/>
            <w:noWrap/>
            <w:vAlign w:val="center"/>
            <w:hideMark/>
          </w:tcPr>
          <w:p w14:paraId="4D52EB0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CONAFOR</w:t>
            </w:r>
          </w:p>
        </w:tc>
        <w:tc>
          <w:tcPr>
            <w:tcW w:w="356" w:type="pct"/>
            <w:tcBorders>
              <w:top w:val="nil"/>
              <w:left w:val="nil"/>
              <w:bottom w:val="nil"/>
              <w:right w:val="nil"/>
            </w:tcBorders>
            <w:shd w:val="clear" w:color="auto" w:fill="auto"/>
            <w:noWrap/>
            <w:vAlign w:val="center"/>
            <w:hideMark/>
          </w:tcPr>
          <w:p w14:paraId="010F2FE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S219</w:t>
            </w:r>
          </w:p>
        </w:tc>
        <w:tc>
          <w:tcPr>
            <w:tcW w:w="924" w:type="pct"/>
            <w:tcBorders>
              <w:top w:val="nil"/>
              <w:left w:val="nil"/>
              <w:bottom w:val="nil"/>
              <w:right w:val="nil"/>
            </w:tcBorders>
            <w:shd w:val="clear" w:color="auto" w:fill="auto"/>
            <w:noWrap/>
            <w:vAlign w:val="center"/>
            <w:hideMark/>
          </w:tcPr>
          <w:p w14:paraId="3EAC9764"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Apoyos para el Desarrollo Forestal Sustentable</w:t>
            </w:r>
          </w:p>
        </w:tc>
        <w:tc>
          <w:tcPr>
            <w:tcW w:w="1277" w:type="pct"/>
            <w:tcBorders>
              <w:top w:val="nil"/>
              <w:left w:val="nil"/>
              <w:bottom w:val="nil"/>
              <w:right w:val="nil"/>
            </w:tcBorders>
            <w:shd w:val="clear" w:color="auto" w:fill="auto"/>
            <w:noWrap/>
            <w:vAlign w:val="center"/>
            <w:hideMark/>
          </w:tcPr>
          <w:p w14:paraId="7E38AA32"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Medir los efectos del componente de Pago por Servicios Ambientales (PSA) sobre su población beneficiaria y conocer si dichos efectos son en realidad atribuibles a su intervención, a través de una Evaluación de Impacto. (S219 EED).</w:t>
            </w:r>
          </w:p>
        </w:tc>
        <w:tc>
          <w:tcPr>
            <w:tcW w:w="843" w:type="pct"/>
            <w:tcBorders>
              <w:top w:val="nil"/>
              <w:left w:val="nil"/>
              <w:bottom w:val="nil"/>
              <w:right w:val="nil"/>
            </w:tcBorders>
            <w:shd w:val="clear" w:color="auto" w:fill="auto"/>
            <w:noWrap/>
            <w:vAlign w:val="center"/>
            <w:hideMark/>
          </w:tcPr>
          <w:p w14:paraId="5EE647C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435CBB2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57852F9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2C260390" w14:textId="77777777" w:rsidTr="005A7CAD">
        <w:trPr>
          <w:trHeight w:val="300"/>
        </w:trPr>
        <w:tc>
          <w:tcPr>
            <w:tcW w:w="297" w:type="pct"/>
            <w:tcBorders>
              <w:top w:val="nil"/>
              <w:left w:val="nil"/>
              <w:bottom w:val="nil"/>
              <w:right w:val="nil"/>
            </w:tcBorders>
            <w:shd w:val="clear" w:color="auto" w:fill="auto"/>
            <w:noWrap/>
            <w:vAlign w:val="center"/>
            <w:hideMark/>
          </w:tcPr>
          <w:p w14:paraId="5FC0976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16</w:t>
            </w:r>
          </w:p>
        </w:tc>
        <w:tc>
          <w:tcPr>
            <w:tcW w:w="497" w:type="pct"/>
            <w:tcBorders>
              <w:top w:val="nil"/>
              <w:left w:val="nil"/>
              <w:bottom w:val="nil"/>
              <w:right w:val="nil"/>
            </w:tcBorders>
            <w:shd w:val="clear" w:color="auto" w:fill="auto"/>
            <w:noWrap/>
            <w:vAlign w:val="center"/>
            <w:hideMark/>
          </w:tcPr>
          <w:p w14:paraId="7A7C228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CONAGUA</w:t>
            </w:r>
          </w:p>
        </w:tc>
        <w:tc>
          <w:tcPr>
            <w:tcW w:w="356" w:type="pct"/>
            <w:tcBorders>
              <w:top w:val="nil"/>
              <w:left w:val="nil"/>
              <w:bottom w:val="nil"/>
              <w:right w:val="nil"/>
            </w:tcBorders>
            <w:shd w:val="clear" w:color="auto" w:fill="auto"/>
            <w:noWrap/>
            <w:vAlign w:val="center"/>
            <w:hideMark/>
          </w:tcPr>
          <w:p w14:paraId="0744868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S074</w:t>
            </w:r>
          </w:p>
        </w:tc>
        <w:tc>
          <w:tcPr>
            <w:tcW w:w="924" w:type="pct"/>
            <w:tcBorders>
              <w:top w:val="nil"/>
              <w:left w:val="nil"/>
              <w:bottom w:val="nil"/>
              <w:right w:val="nil"/>
            </w:tcBorders>
            <w:shd w:val="clear" w:color="auto" w:fill="auto"/>
            <w:noWrap/>
            <w:vAlign w:val="center"/>
            <w:hideMark/>
          </w:tcPr>
          <w:p w14:paraId="6AE9D6F6"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Agua potable, Alcantarillado y Saneamiento</w:t>
            </w:r>
          </w:p>
        </w:tc>
        <w:tc>
          <w:tcPr>
            <w:tcW w:w="1277" w:type="pct"/>
            <w:tcBorders>
              <w:top w:val="nil"/>
              <w:left w:val="nil"/>
              <w:bottom w:val="nil"/>
              <w:right w:val="nil"/>
            </w:tcBorders>
            <w:shd w:val="clear" w:color="auto" w:fill="auto"/>
            <w:noWrap/>
            <w:vAlign w:val="center"/>
            <w:hideMark/>
          </w:tcPr>
          <w:p w14:paraId="27E8871E"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Actualizar el Diagnóstico del programa S074. (ED S074).</w:t>
            </w:r>
          </w:p>
        </w:tc>
        <w:tc>
          <w:tcPr>
            <w:tcW w:w="843" w:type="pct"/>
            <w:tcBorders>
              <w:top w:val="nil"/>
              <w:left w:val="nil"/>
              <w:bottom w:val="nil"/>
              <w:right w:val="nil"/>
            </w:tcBorders>
            <w:shd w:val="clear" w:color="auto" w:fill="auto"/>
            <w:noWrap/>
            <w:vAlign w:val="center"/>
            <w:hideMark/>
          </w:tcPr>
          <w:p w14:paraId="1E94452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392E501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40C3A1E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8</w:t>
            </w:r>
          </w:p>
        </w:tc>
      </w:tr>
      <w:tr w:rsidR="00F77FE5" w:rsidRPr="00F77FE5" w14:paraId="4180E90E" w14:textId="77777777" w:rsidTr="005A7CAD">
        <w:trPr>
          <w:trHeight w:val="300"/>
        </w:trPr>
        <w:tc>
          <w:tcPr>
            <w:tcW w:w="297" w:type="pct"/>
            <w:tcBorders>
              <w:top w:val="nil"/>
              <w:left w:val="nil"/>
              <w:bottom w:val="nil"/>
              <w:right w:val="nil"/>
            </w:tcBorders>
            <w:shd w:val="clear" w:color="auto" w:fill="auto"/>
            <w:noWrap/>
            <w:vAlign w:val="center"/>
            <w:hideMark/>
          </w:tcPr>
          <w:p w14:paraId="4963887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16</w:t>
            </w:r>
          </w:p>
        </w:tc>
        <w:tc>
          <w:tcPr>
            <w:tcW w:w="497" w:type="pct"/>
            <w:tcBorders>
              <w:top w:val="nil"/>
              <w:left w:val="nil"/>
              <w:bottom w:val="nil"/>
              <w:right w:val="nil"/>
            </w:tcBorders>
            <w:shd w:val="clear" w:color="auto" w:fill="auto"/>
            <w:noWrap/>
            <w:vAlign w:val="center"/>
            <w:hideMark/>
          </w:tcPr>
          <w:p w14:paraId="0A76752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CONAGUA</w:t>
            </w:r>
          </w:p>
        </w:tc>
        <w:tc>
          <w:tcPr>
            <w:tcW w:w="356" w:type="pct"/>
            <w:tcBorders>
              <w:top w:val="nil"/>
              <w:left w:val="nil"/>
              <w:bottom w:val="nil"/>
              <w:right w:val="nil"/>
            </w:tcBorders>
            <w:shd w:val="clear" w:color="auto" w:fill="auto"/>
            <w:noWrap/>
            <w:vAlign w:val="center"/>
            <w:hideMark/>
          </w:tcPr>
          <w:p w14:paraId="7D7916A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S217</w:t>
            </w:r>
          </w:p>
        </w:tc>
        <w:tc>
          <w:tcPr>
            <w:tcW w:w="924" w:type="pct"/>
            <w:tcBorders>
              <w:top w:val="nil"/>
              <w:left w:val="nil"/>
              <w:bottom w:val="nil"/>
              <w:right w:val="nil"/>
            </w:tcBorders>
            <w:shd w:val="clear" w:color="auto" w:fill="auto"/>
            <w:noWrap/>
            <w:vAlign w:val="center"/>
            <w:hideMark/>
          </w:tcPr>
          <w:p w14:paraId="29681649"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 xml:space="preserve">Programa de Apoyo a la Infraestructura </w:t>
            </w:r>
            <w:proofErr w:type="spellStart"/>
            <w:r w:rsidRPr="00F77FE5">
              <w:rPr>
                <w:rFonts w:eastAsia="Times New Roman"/>
                <w:sz w:val="12"/>
                <w:szCs w:val="20"/>
                <w:lang w:val="es-ES" w:eastAsia="en-US"/>
              </w:rPr>
              <w:t>Hidroagrícola</w:t>
            </w:r>
            <w:proofErr w:type="spellEnd"/>
          </w:p>
        </w:tc>
        <w:tc>
          <w:tcPr>
            <w:tcW w:w="1277" w:type="pct"/>
            <w:tcBorders>
              <w:top w:val="nil"/>
              <w:left w:val="nil"/>
              <w:bottom w:val="nil"/>
              <w:right w:val="nil"/>
            </w:tcBorders>
            <w:shd w:val="clear" w:color="auto" w:fill="auto"/>
            <w:noWrap/>
            <w:vAlign w:val="center"/>
            <w:hideMark/>
          </w:tcPr>
          <w:p w14:paraId="192BB8C7"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Actualizar el Diagnóstico del programa S217.</w:t>
            </w:r>
          </w:p>
        </w:tc>
        <w:tc>
          <w:tcPr>
            <w:tcW w:w="843" w:type="pct"/>
            <w:tcBorders>
              <w:top w:val="nil"/>
              <w:left w:val="nil"/>
              <w:bottom w:val="nil"/>
              <w:right w:val="nil"/>
            </w:tcBorders>
            <w:shd w:val="clear" w:color="auto" w:fill="auto"/>
            <w:noWrap/>
            <w:vAlign w:val="center"/>
            <w:hideMark/>
          </w:tcPr>
          <w:p w14:paraId="3D5C5DF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1B8EBFD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4E62DB3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20</w:t>
            </w:r>
          </w:p>
        </w:tc>
      </w:tr>
      <w:tr w:rsidR="00F77FE5" w:rsidRPr="00F77FE5" w14:paraId="6A808D7A" w14:textId="77777777" w:rsidTr="005A7CAD">
        <w:trPr>
          <w:trHeight w:val="300"/>
        </w:trPr>
        <w:tc>
          <w:tcPr>
            <w:tcW w:w="297" w:type="pct"/>
            <w:tcBorders>
              <w:top w:val="nil"/>
              <w:left w:val="nil"/>
              <w:bottom w:val="nil"/>
              <w:right w:val="nil"/>
            </w:tcBorders>
            <w:shd w:val="clear" w:color="auto" w:fill="auto"/>
            <w:noWrap/>
            <w:vAlign w:val="center"/>
            <w:hideMark/>
          </w:tcPr>
          <w:p w14:paraId="0979A5A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16</w:t>
            </w:r>
          </w:p>
        </w:tc>
        <w:tc>
          <w:tcPr>
            <w:tcW w:w="497" w:type="pct"/>
            <w:tcBorders>
              <w:top w:val="nil"/>
              <w:left w:val="nil"/>
              <w:bottom w:val="nil"/>
              <w:right w:val="nil"/>
            </w:tcBorders>
            <w:shd w:val="clear" w:color="auto" w:fill="auto"/>
            <w:noWrap/>
            <w:vAlign w:val="center"/>
            <w:hideMark/>
          </w:tcPr>
          <w:p w14:paraId="1AD4391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CONAGUA</w:t>
            </w:r>
          </w:p>
        </w:tc>
        <w:tc>
          <w:tcPr>
            <w:tcW w:w="356" w:type="pct"/>
            <w:tcBorders>
              <w:top w:val="nil"/>
              <w:left w:val="nil"/>
              <w:bottom w:val="nil"/>
              <w:right w:val="nil"/>
            </w:tcBorders>
            <w:shd w:val="clear" w:color="auto" w:fill="auto"/>
            <w:noWrap/>
            <w:vAlign w:val="center"/>
            <w:hideMark/>
          </w:tcPr>
          <w:p w14:paraId="5A9F80F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S217</w:t>
            </w:r>
          </w:p>
        </w:tc>
        <w:tc>
          <w:tcPr>
            <w:tcW w:w="924" w:type="pct"/>
            <w:tcBorders>
              <w:top w:val="nil"/>
              <w:left w:val="nil"/>
              <w:bottom w:val="nil"/>
              <w:right w:val="nil"/>
            </w:tcBorders>
            <w:shd w:val="clear" w:color="auto" w:fill="auto"/>
            <w:noWrap/>
            <w:vAlign w:val="center"/>
            <w:hideMark/>
          </w:tcPr>
          <w:p w14:paraId="3422B056"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 xml:space="preserve">Programa de Apoyo a la Infraestructura </w:t>
            </w:r>
            <w:proofErr w:type="spellStart"/>
            <w:r w:rsidRPr="00F77FE5">
              <w:rPr>
                <w:rFonts w:eastAsia="Times New Roman"/>
                <w:sz w:val="12"/>
                <w:szCs w:val="20"/>
                <w:lang w:val="es-ES" w:eastAsia="en-US"/>
              </w:rPr>
              <w:t>Hidroagrícola</w:t>
            </w:r>
            <w:proofErr w:type="spellEnd"/>
          </w:p>
        </w:tc>
        <w:tc>
          <w:tcPr>
            <w:tcW w:w="1277" w:type="pct"/>
            <w:tcBorders>
              <w:top w:val="nil"/>
              <w:left w:val="nil"/>
              <w:bottom w:val="nil"/>
              <w:right w:val="nil"/>
            </w:tcBorders>
            <w:shd w:val="clear" w:color="auto" w:fill="auto"/>
            <w:noWrap/>
            <w:vAlign w:val="center"/>
            <w:hideMark/>
          </w:tcPr>
          <w:p w14:paraId="31D3A6B7"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 xml:space="preserve">Concluir el 100% de los inventarios y elaboración de un diagnóstico integral de las Unidades de Riego. (S217 </w:t>
            </w:r>
            <w:proofErr w:type="spellStart"/>
            <w:r w:rsidRPr="00F77FE5">
              <w:rPr>
                <w:rFonts w:eastAsia="Times New Roman"/>
                <w:sz w:val="12"/>
                <w:szCs w:val="20"/>
                <w:lang w:val="es-ES" w:eastAsia="en-US"/>
              </w:rPr>
              <w:t>ECyR</w:t>
            </w:r>
            <w:proofErr w:type="spellEnd"/>
            <w:r w:rsidRPr="00F77FE5">
              <w:rPr>
                <w:rFonts w:eastAsia="Times New Roman"/>
                <w:sz w:val="12"/>
                <w:szCs w:val="20"/>
                <w:lang w:val="es-ES" w:eastAsia="en-US"/>
              </w:rPr>
              <w:t xml:space="preserve"> Mecanismo 2013)</w:t>
            </w:r>
          </w:p>
        </w:tc>
        <w:tc>
          <w:tcPr>
            <w:tcW w:w="843" w:type="pct"/>
            <w:tcBorders>
              <w:top w:val="nil"/>
              <w:left w:val="nil"/>
              <w:bottom w:val="nil"/>
              <w:right w:val="nil"/>
            </w:tcBorders>
            <w:shd w:val="clear" w:color="auto" w:fill="auto"/>
            <w:noWrap/>
            <w:vAlign w:val="center"/>
            <w:hideMark/>
          </w:tcPr>
          <w:p w14:paraId="1FAF7B4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2A19CAA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3A8063C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49.5</w:t>
            </w:r>
          </w:p>
        </w:tc>
      </w:tr>
      <w:tr w:rsidR="00F77FE5" w:rsidRPr="00F77FE5" w14:paraId="05EAA717" w14:textId="77777777" w:rsidTr="005A7CAD">
        <w:trPr>
          <w:trHeight w:val="300"/>
        </w:trPr>
        <w:tc>
          <w:tcPr>
            <w:tcW w:w="297" w:type="pct"/>
            <w:tcBorders>
              <w:top w:val="nil"/>
              <w:left w:val="nil"/>
              <w:bottom w:val="nil"/>
              <w:right w:val="nil"/>
            </w:tcBorders>
            <w:shd w:val="clear" w:color="auto" w:fill="auto"/>
            <w:noWrap/>
            <w:vAlign w:val="center"/>
            <w:hideMark/>
          </w:tcPr>
          <w:p w14:paraId="60C0666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16</w:t>
            </w:r>
          </w:p>
        </w:tc>
        <w:tc>
          <w:tcPr>
            <w:tcW w:w="497" w:type="pct"/>
            <w:tcBorders>
              <w:top w:val="nil"/>
              <w:left w:val="nil"/>
              <w:bottom w:val="nil"/>
              <w:right w:val="nil"/>
            </w:tcBorders>
            <w:shd w:val="clear" w:color="auto" w:fill="auto"/>
            <w:noWrap/>
            <w:vAlign w:val="center"/>
            <w:hideMark/>
          </w:tcPr>
          <w:p w14:paraId="5025322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CONAGUA</w:t>
            </w:r>
          </w:p>
        </w:tc>
        <w:tc>
          <w:tcPr>
            <w:tcW w:w="356" w:type="pct"/>
            <w:tcBorders>
              <w:top w:val="nil"/>
              <w:left w:val="nil"/>
              <w:bottom w:val="nil"/>
              <w:right w:val="nil"/>
            </w:tcBorders>
            <w:shd w:val="clear" w:color="auto" w:fill="auto"/>
            <w:noWrap/>
            <w:vAlign w:val="center"/>
            <w:hideMark/>
          </w:tcPr>
          <w:p w14:paraId="3E0270A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S219</w:t>
            </w:r>
          </w:p>
        </w:tc>
        <w:tc>
          <w:tcPr>
            <w:tcW w:w="924" w:type="pct"/>
            <w:tcBorders>
              <w:top w:val="nil"/>
              <w:left w:val="nil"/>
              <w:bottom w:val="nil"/>
              <w:right w:val="nil"/>
            </w:tcBorders>
            <w:shd w:val="clear" w:color="auto" w:fill="auto"/>
            <w:noWrap/>
            <w:vAlign w:val="center"/>
            <w:hideMark/>
          </w:tcPr>
          <w:p w14:paraId="7EA909D0"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Apoyos para el Desarrollo Forestal Sustentable</w:t>
            </w:r>
          </w:p>
        </w:tc>
        <w:tc>
          <w:tcPr>
            <w:tcW w:w="1277" w:type="pct"/>
            <w:tcBorders>
              <w:top w:val="nil"/>
              <w:left w:val="nil"/>
              <w:bottom w:val="nil"/>
              <w:right w:val="nil"/>
            </w:tcBorders>
            <w:shd w:val="clear" w:color="auto" w:fill="auto"/>
            <w:noWrap/>
            <w:vAlign w:val="center"/>
            <w:hideMark/>
          </w:tcPr>
          <w:p w14:paraId="35EA6B85"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Definir de manera clara los medios de verificación y ponerlos al alcance del público en general a través sitios en el internet.</w:t>
            </w:r>
          </w:p>
        </w:tc>
        <w:tc>
          <w:tcPr>
            <w:tcW w:w="843" w:type="pct"/>
            <w:tcBorders>
              <w:top w:val="nil"/>
              <w:left w:val="nil"/>
              <w:bottom w:val="nil"/>
              <w:right w:val="nil"/>
            </w:tcBorders>
            <w:shd w:val="clear" w:color="auto" w:fill="auto"/>
            <w:noWrap/>
            <w:vAlign w:val="center"/>
            <w:hideMark/>
          </w:tcPr>
          <w:p w14:paraId="7D2BAA0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Institucional</w:t>
            </w:r>
          </w:p>
        </w:tc>
        <w:tc>
          <w:tcPr>
            <w:tcW w:w="366" w:type="pct"/>
            <w:tcBorders>
              <w:top w:val="nil"/>
              <w:left w:val="nil"/>
              <w:bottom w:val="nil"/>
              <w:right w:val="nil"/>
            </w:tcBorders>
            <w:shd w:val="clear" w:color="auto" w:fill="auto"/>
            <w:noWrap/>
            <w:vAlign w:val="center"/>
            <w:hideMark/>
          </w:tcPr>
          <w:p w14:paraId="0F25B64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34CF0B2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33C41F4B" w14:textId="77777777" w:rsidTr="005A7CAD">
        <w:trPr>
          <w:trHeight w:val="300"/>
        </w:trPr>
        <w:tc>
          <w:tcPr>
            <w:tcW w:w="297" w:type="pct"/>
            <w:tcBorders>
              <w:top w:val="nil"/>
              <w:left w:val="nil"/>
              <w:bottom w:val="nil"/>
              <w:right w:val="nil"/>
            </w:tcBorders>
            <w:shd w:val="clear" w:color="auto" w:fill="auto"/>
            <w:noWrap/>
            <w:vAlign w:val="center"/>
            <w:hideMark/>
          </w:tcPr>
          <w:p w14:paraId="1618D66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16</w:t>
            </w:r>
          </w:p>
        </w:tc>
        <w:tc>
          <w:tcPr>
            <w:tcW w:w="497" w:type="pct"/>
            <w:tcBorders>
              <w:top w:val="nil"/>
              <w:left w:val="nil"/>
              <w:bottom w:val="nil"/>
              <w:right w:val="nil"/>
            </w:tcBorders>
            <w:shd w:val="clear" w:color="auto" w:fill="auto"/>
            <w:noWrap/>
            <w:vAlign w:val="center"/>
            <w:hideMark/>
          </w:tcPr>
          <w:p w14:paraId="51E5037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CONAGUA</w:t>
            </w:r>
          </w:p>
        </w:tc>
        <w:tc>
          <w:tcPr>
            <w:tcW w:w="356" w:type="pct"/>
            <w:tcBorders>
              <w:top w:val="nil"/>
              <w:left w:val="nil"/>
              <w:bottom w:val="nil"/>
              <w:right w:val="nil"/>
            </w:tcBorders>
            <w:shd w:val="clear" w:color="auto" w:fill="auto"/>
            <w:noWrap/>
            <w:vAlign w:val="center"/>
            <w:hideMark/>
          </w:tcPr>
          <w:p w14:paraId="59C3610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S219</w:t>
            </w:r>
          </w:p>
        </w:tc>
        <w:tc>
          <w:tcPr>
            <w:tcW w:w="924" w:type="pct"/>
            <w:tcBorders>
              <w:top w:val="nil"/>
              <w:left w:val="nil"/>
              <w:bottom w:val="nil"/>
              <w:right w:val="nil"/>
            </w:tcBorders>
            <w:shd w:val="clear" w:color="auto" w:fill="auto"/>
            <w:noWrap/>
            <w:vAlign w:val="center"/>
            <w:hideMark/>
          </w:tcPr>
          <w:p w14:paraId="376DE6C4"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Apoyos para el Desarrollo Forestal Sustentable</w:t>
            </w:r>
          </w:p>
        </w:tc>
        <w:tc>
          <w:tcPr>
            <w:tcW w:w="1277" w:type="pct"/>
            <w:tcBorders>
              <w:top w:val="nil"/>
              <w:left w:val="nil"/>
              <w:bottom w:val="nil"/>
              <w:right w:val="nil"/>
            </w:tcBorders>
            <w:shd w:val="clear" w:color="auto" w:fill="auto"/>
            <w:noWrap/>
            <w:vAlign w:val="center"/>
            <w:hideMark/>
          </w:tcPr>
          <w:p w14:paraId="0E3AC0E7"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Incluir las metas del ejercicio fiscal en las fichas de los indicadores de nivel fin.</w:t>
            </w:r>
          </w:p>
        </w:tc>
        <w:tc>
          <w:tcPr>
            <w:tcW w:w="843" w:type="pct"/>
            <w:tcBorders>
              <w:top w:val="nil"/>
              <w:left w:val="nil"/>
              <w:bottom w:val="nil"/>
              <w:right w:val="nil"/>
            </w:tcBorders>
            <w:shd w:val="clear" w:color="auto" w:fill="auto"/>
            <w:noWrap/>
            <w:vAlign w:val="center"/>
            <w:hideMark/>
          </w:tcPr>
          <w:p w14:paraId="7F070D4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4C95087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0C73064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1BEF4B47" w14:textId="77777777" w:rsidTr="005A7CAD">
        <w:trPr>
          <w:trHeight w:val="300"/>
        </w:trPr>
        <w:tc>
          <w:tcPr>
            <w:tcW w:w="297" w:type="pct"/>
            <w:tcBorders>
              <w:top w:val="nil"/>
              <w:left w:val="nil"/>
              <w:bottom w:val="nil"/>
              <w:right w:val="nil"/>
            </w:tcBorders>
            <w:shd w:val="clear" w:color="auto" w:fill="auto"/>
            <w:noWrap/>
            <w:vAlign w:val="center"/>
            <w:hideMark/>
          </w:tcPr>
          <w:p w14:paraId="05F149C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16</w:t>
            </w:r>
          </w:p>
        </w:tc>
        <w:tc>
          <w:tcPr>
            <w:tcW w:w="497" w:type="pct"/>
            <w:tcBorders>
              <w:top w:val="nil"/>
              <w:left w:val="nil"/>
              <w:bottom w:val="nil"/>
              <w:right w:val="nil"/>
            </w:tcBorders>
            <w:shd w:val="clear" w:color="auto" w:fill="auto"/>
            <w:noWrap/>
            <w:vAlign w:val="center"/>
            <w:hideMark/>
          </w:tcPr>
          <w:p w14:paraId="14A72BD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CONAGUA</w:t>
            </w:r>
          </w:p>
        </w:tc>
        <w:tc>
          <w:tcPr>
            <w:tcW w:w="356" w:type="pct"/>
            <w:tcBorders>
              <w:top w:val="nil"/>
              <w:left w:val="nil"/>
              <w:bottom w:val="nil"/>
              <w:right w:val="nil"/>
            </w:tcBorders>
            <w:shd w:val="clear" w:color="auto" w:fill="auto"/>
            <w:noWrap/>
            <w:vAlign w:val="center"/>
            <w:hideMark/>
          </w:tcPr>
          <w:p w14:paraId="6C4A59F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S219</w:t>
            </w:r>
          </w:p>
        </w:tc>
        <w:tc>
          <w:tcPr>
            <w:tcW w:w="924" w:type="pct"/>
            <w:tcBorders>
              <w:top w:val="nil"/>
              <w:left w:val="nil"/>
              <w:bottom w:val="nil"/>
              <w:right w:val="nil"/>
            </w:tcBorders>
            <w:shd w:val="clear" w:color="auto" w:fill="auto"/>
            <w:noWrap/>
            <w:vAlign w:val="center"/>
            <w:hideMark/>
          </w:tcPr>
          <w:p w14:paraId="7B6AE1D3"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Apoyos para el Desarrollo Forestal Sustentable</w:t>
            </w:r>
          </w:p>
        </w:tc>
        <w:tc>
          <w:tcPr>
            <w:tcW w:w="1277" w:type="pct"/>
            <w:tcBorders>
              <w:top w:val="nil"/>
              <w:left w:val="nil"/>
              <w:bottom w:val="nil"/>
              <w:right w:val="nil"/>
            </w:tcBorders>
            <w:shd w:val="clear" w:color="auto" w:fill="auto"/>
            <w:noWrap/>
            <w:vAlign w:val="center"/>
            <w:hideMark/>
          </w:tcPr>
          <w:p w14:paraId="4E664E5E"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Reorganización y codificación de los resultados de los componentes de apoyo en la página web de la CONAFOR.</w:t>
            </w:r>
          </w:p>
        </w:tc>
        <w:tc>
          <w:tcPr>
            <w:tcW w:w="843" w:type="pct"/>
            <w:tcBorders>
              <w:top w:val="nil"/>
              <w:left w:val="nil"/>
              <w:bottom w:val="nil"/>
              <w:right w:val="nil"/>
            </w:tcBorders>
            <w:shd w:val="clear" w:color="auto" w:fill="auto"/>
            <w:noWrap/>
            <w:vAlign w:val="center"/>
            <w:hideMark/>
          </w:tcPr>
          <w:p w14:paraId="45D9499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3BE8C66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6C0F244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5F35E146" w14:textId="77777777" w:rsidTr="005A7CAD">
        <w:trPr>
          <w:trHeight w:val="300"/>
        </w:trPr>
        <w:tc>
          <w:tcPr>
            <w:tcW w:w="297" w:type="pct"/>
            <w:tcBorders>
              <w:top w:val="nil"/>
              <w:left w:val="nil"/>
              <w:bottom w:val="nil"/>
              <w:right w:val="nil"/>
            </w:tcBorders>
            <w:shd w:val="clear" w:color="auto" w:fill="auto"/>
            <w:noWrap/>
            <w:vAlign w:val="center"/>
            <w:hideMark/>
          </w:tcPr>
          <w:p w14:paraId="46279EF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16</w:t>
            </w:r>
          </w:p>
        </w:tc>
        <w:tc>
          <w:tcPr>
            <w:tcW w:w="497" w:type="pct"/>
            <w:tcBorders>
              <w:top w:val="nil"/>
              <w:left w:val="nil"/>
              <w:bottom w:val="nil"/>
              <w:right w:val="nil"/>
            </w:tcBorders>
            <w:shd w:val="clear" w:color="auto" w:fill="auto"/>
            <w:noWrap/>
            <w:vAlign w:val="center"/>
            <w:hideMark/>
          </w:tcPr>
          <w:p w14:paraId="790A17B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SEMARNAT</w:t>
            </w:r>
          </w:p>
        </w:tc>
        <w:tc>
          <w:tcPr>
            <w:tcW w:w="356" w:type="pct"/>
            <w:tcBorders>
              <w:top w:val="nil"/>
              <w:left w:val="nil"/>
              <w:bottom w:val="nil"/>
              <w:right w:val="nil"/>
            </w:tcBorders>
            <w:shd w:val="clear" w:color="auto" w:fill="auto"/>
            <w:noWrap/>
            <w:vAlign w:val="center"/>
            <w:hideMark/>
          </w:tcPr>
          <w:p w14:paraId="133D755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E005</w:t>
            </w:r>
          </w:p>
        </w:tc>
        <w:tc>
          <w:tcPr>
            <w:tcW w:w="924" w:type="pct"/>
            <w:tcBorders>
              <w:top w:val="nil"/>
              <w:left w:val="nil"/>
              <w:bottom w:val="nil"/>
              <w:right w:val="nil"/>
            </w:tcBorders>
            <w:shd w:val="clear" w:color="auto" w:fill="auto"/>
            <w:noWrap/>
            <w:vAlign w:val="center"/>
            <w:hideMark/>
          </w:tcPr>
          <w:p w14:paraId="37CC6A8B"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Capacitación Ambiental y Desarrollo Sustentable</w:t>
            </w:r>
          </w:p>
        </w:tc>
        <w:tc>
          <w:tcPr>
            <w:tcW w:w="1277" w:type="pct"/>
            <w:tcBorders>
              <w:top w:val="nil"/>
              <w:left w:val="nil"/>
              <w:bottom w:val="nil"/>
              <w:right w:val="nil"/>
            </w:tcBorders>
            <w:shd w:val="clear" w:color="auto" w:fill="auto"/>
            <w:noWrap/>
            <w:vAlign w:val="center"/>
            <w:hideMark/>
          </w:tcPr>
          <w:p w14:paraId="382036B4"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 xml:space="preserve">Actualizar el Plan Estratégico con base en los documentos de planeación rectores del sector medioambiente y específicamente el sector hídrico de la actual Administración Pública Federal (APF). (U010 </w:t>
            </w:r>
            <w:proofErr w:type="spellStart"/>
            <w:r w:rsidRPr="00F77FE5">
              <w:rPr>
                <w:rFonts w:eastAsia="Times New Roman"/>
                <w:sz w:val="12"/>
                <w:szCs w:val="20"/>
                <w:lang w:val="es-ES" w:eastAsia="en-US"/>
              </w:rPr>
              <w:t>ECyR</w:t>
            </w:r>
            <w:proofErr w:type="spellEnd"/>
            <w:r w:rsidRPr="00F77FE5">
              <w:rPr>
                <w:rFonts w:eastAsia="Times New Roman"/>
                <w:sz w:val="12"/>
                <w:szCs w:val="20"/>
                <w:lang w:val="es-ES" w:eastAsia="en-US"/>
              </w:rPr>
              <w:t xml:space="preserve"> Mecanismo 2013).</w:t>
            </w:r>
          </w:p>
        </w:tc>
        <w:tc>
          <w:tcPr>
            <w:tcW w:w="843" w:type="pct"/>
            <w:tcBorders>
              <w:top w:val="nil"/>
              <w:left w:val="nil"/>
              <w:bottom w:val="nil"/>
              <w:right w:val="nil"/>
            </w:tcBorders>
            <w:shd w:val="clear" w:color="auto" w:fill="auto"/>
            <w:noWrap/>
            <w:vAlign w:val="center"/>
            <w:hideMark/>
          </w:tcPr>
          <w:p w14:paraId="46DF79E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Intergubernamental</w:t>
            </w:r>
          </w:p>
        </w:tc>
        <w:tc>
          <w:tcPr>
            <w:tcW w:w="366" w:type="pct"/>
            <w:tcBorders>
              <w:top w:val="nil"/>
              <w:left w:val="nil"/>
              <w:bottom w:val="nil"/>
              <w:right w:val="nil"/>
            </w:tcBorders>
            <w:shd w:val="clear" w:color="auto" w:fill="auto"/>
            <w:noWrap/>
            <w:vAlign w:val="center"/>
            <w:hideMark/>
          </w:tcPr>
          <w:p w14:paraId="0655271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0BC9FE8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7E578D6F" w14:textId="77777777" w:rsidTr="005A7CAD">
        <w:trPr>
          <w:trHeight w:val="300"/>
        </w:trPr>
        <w:tc>
          <w:tcPr>
            <w:tcW w:w="297" w:type="pct"/>
            <w:tcBorders>
              <w:top w:val="nil"/>
              <w:left w:val="nil"/>
              <w:bottom w:val="nil"/>
              <w:right w:val="nil"/>
            </w:tcBorders>
            <w:shd w:val="clear" w:color="auto" w:fill="auto"/>
            <w:noWrap/>
            <w:vAlign w:val="center"/>
            <w:hideMark/>
          </w:tcPr>
          <w:p w14:paraId="311013A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16</w:t>
            </w:r>
          </w:p>
        </w:tc>
        <w:tc>
          <w:tcPr>
            <w:tcW w:w="497" w:type="pct"/>
            <w:tcBorders>
              <w:top w:val="nil"/>
              <w:left w:val="nil"/>
              <w:bottom w:val="nil"/>
              <w:right w:val="nil"/>
            </w:tcBorders>
            <w:shd w:val="clear" w:color="auto" w:fill="auto"/>
            <w:noWrap/>
            <w:vAlign w:val="center"/>
            <w:hideMark/>
          </w:tcPr>
          <w:p w14:paraId="50CF6DC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SEMARNAT</w:t>
            </w:r>
          </w:p>
        </w:tc>
        <w:tc>
          <w:tcPr>
            <w:tcW w:w="356" w:type="pct"/>
            <w:tcBorders>
              <w:top w:val="nil"/>
              <w:left w:val="nil"/>
              <w:bottom w:val="nil"/>
              <w:right w:val="nil"/>
            </w:tcBorders>
            <w:shd w:val="clear" w:color="auto" w:fill="auto"/>
            <w:noWrap/>
            <w:vAlign w:val="center"/>
            <w:hideMark/>
          </w:tcPr>
          <w:p w14:paraId="40B318E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E005</w:t>
            </w:r>
          </w:p>
        </w:tc>
        <w:tc>
          <w:tcPr>
            <w:tcW w:w="924" w:type="pct"/>
            <w:tcBorders>
              <w:top w:val="nil"/>
              <w:left w:val="nil"/>
              <w:bottom w:val="nil"/>
              <w:right w:val="nil"/>
            </w:tcBorders>
            <w:shd w:val="clear" w:color="auto" w:fill="auto"/>
            <w:noWrap/>
            <w:vAlign w:val="center"/>
            <w:hideMark/>
          </w:tcPr>
          <w:p w14:paraId="31D00754"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Capacitación Ambiental y Desarrollo Sustentable</w:t>
            </w:r>
          </w:p>
        </w:tc>
        <w:tc>
          <w:tcPr>
            <w:tcW w:w="1277" w:type="pct"/>
            <w:tcBorders>
              <w:top w:val="nil"/>
              <w:left w:val="nil"/>
              <w:bottom w:val="nil"/>
              <w:right w:val="nil"/>
            </w:tcBorders>
            <w:shd w:val="clear" w:color="auto" w:fill="auto"/>
            <w:noWrap/>
            <w:vAlign w:val="center"/>
            <w:hideMark/>
          </w:tcPr>
          <w:p w14:paraId="14B5E315"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Comunicación de las características del programa</w:t>
            </w:r>
            <w:r w:rsidR="006F4A52">
              <w:rPr>
                <w:rFonts w:eastAsia="Times New Roman"/>
                <w:sz w:val="12"/>
                <w:szCs w:val="20"/>
                <w:lang w:val="es-ES" w:eastAsia="en-US"/>
              </w:rPr>
              <w:t xml:space="preserve"> </w:t>
            </w:r>
            <w:r w:rsidRPr="00F77FE5">
              <w:rPr>
                <w:rFonts w:eastAsia="Times New Roman"/>
                <w:sz w:val="12"/>
                <w:szCs w:val="20"/>
                <w:lang w:val="es-ES" w:eastAsia="en-US"/>
              </w:rPr>
              <w:t>E005 para optimizar la planeación del trabajo institucional (E005 ED).</w:t>
            </w:r>
          </w:p>
        </w:tc>
        <w:tc>
          <w:tcPr>
            <w:tcW w:w="843" w:type="pct"/>
            <w:tcBorders>
              <w:top w:val="nil"/>
              <w:left w:val="nil"/>
              <w:bottom w:val="nil"/>
              <w:right w:val="nil"/>
            </w:tcBorders>
            <w:shd w:val="clear" w:color="auto" w:fill="auto"/>
            <w:noWrap/>
            <w:vAlign w:val="center"/>
            <w:hideMark/>
          </w:tcPr>
          <w:p w14:paraId="20D54DA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321011C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2D85BAA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6B77F422" w14:textId="77777777" w:rsidTr="005A7CAD">
        <w:trPr>
          <w:trHeight w:val="300"/>
        </w:trPr>
        <w:tc>
          <w:tcPr>
            <w:tcW w:w="297" w:type="pct"/>
            <w:tcBorders>
              <w:top w:val="nil"/>
              <w:left w:val="nil"/>
              <w:bottom w:val="nil"/>
              <w:right w:val="nil"/>
            </w:tcBorders>
            <w:shd w:val="clear" w:color="auto" w:fill="auto"/>
            <w:noWrap/>
            <w:vAlign w:val="center"/>
            <w:hideMark/>
          </w:tcPr>
          <w:p w14:paraId="7FD9CE8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16</w:t>
            </w:r>
          </w:p>
        </w:tc>
        <w:tc>
          <w:tcPr>
            <w:tcW w:w="497" w:type="pct"/>
            <w:tcBorders>
              <w:top w:val="nil"/>
              <w:left w:val="nil"/>
              <w:bottom w:val="nil"/>
              <w:right w:val="nil"/>
            </w:tcBorders>
            <w:shd w:val="clear" w:color="auto" w:fill="auto"/>
            <w:noWrap/>
            <w:vAlign w:val="center"/>
            <w:hideMark/>
          </w:tcPr>
          <w:p w14:paraId="61D6523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SEMARNAT</w:t>
            </w:r>
          </w:p>
        </w:tc>
        <w:tc>
          <w:tcPr>
            <w:tcW w:w="356" w:type="pct"/>
            <w:tcBorders>
              <w:top w:val="nil"/>
              <w:left w:val="nil"/>
              <w:bottom w:val="nil"/>
              <w:right w:val="nil"/>
            </w:tcBorders>
            <w:shd w:val="clear" w:color="auto" w:fill="auto"/>
            <w:noWrap/>
            <w:vAlign w:val="center"/>
            <w:hideMark/>
          </w:tcPr>
          <w:p w14:paraId="761DC59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E005</w:t>
            </w:r>
          </w:p>
        </w:tc>
        <w:tc>
          <w:tcPr>
            <w:tcW w:w="924" w:type="pct"/>
            <w:tcBorders>
              <w:top w:val="nil"/>
              <w:left w:val="nil"/>
              <w:bottom w:val="nil"/>
              <w:right w:val="nil"/>
            </w:tcBorders>
            <w:shd w:val="clear" w:color="auto" w:fill="auto"/>
            <w:noWrap/>
            <w:vAlign w:val="center"/>
            <w:hideMark/>
          </w:tcPr>
          <w:p w14:paraId="6F327DCF"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Capacitación Ambiental y Desarrollo Sustentable</w:t>
            </w:r>
          </w:p>
        </w:tc>
        <w:tc>
          <w:tcPr>
            <w:tcW w:w="1277" w:type="pct"/>
            <w:tcBorders>
              <w:top w:val="nil"/>
              <w:left w:val="nil"/>
              <w:bottom w:val="nil"/>
              <w:right w:val="nil"/>
            </w:tcBorders>
            <w:shd w:val="clear" w:color="auto" w:fill="auto"/>
            <w:noWrap/>
            <w:vAlign w:val="center"/>
            <w:hideMark/>
          </w:tcPr>
          <w:p w14:paraId="7F115885"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Creación de alianzas con otros sectores de la población. (U010 EED).</w:t>
            </w:r>
          </w:p>
        </w:tc>
        <w:tc>
          <w:tcPr>
            <w:tcW w:w="843" w:type="pct"/>
            <w:tcBorders>
              <w:top w:val="nil"/>
              <w:left w:val="nil"/>
              <w:bottom w:val="nil"/>
              <w:right w:val="nil"/>
            </w:tcBorders>
            <w:shd w:val="clear" w:color="auto" w:fill="auto"/>
            <w:noWrap/>
            <w:vAlign w:val="center"/>
            <w:hideMark/>
          </w:tcPr>
          <w:p w14:paraId="577DDCE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Institucional</w:t>
            </w:r>
          </w:p>
        </w:tc>
        <w:tc>
          <w:tcPr>
            <w:tcW w:w="366" w:type="pct"/>
            <w:tcBorders>
              <w:top w:val="nil"/>
              <w:left w:val="nil"/>
              <w:bottom w:val="nil"/>
              <w:right w:val="nil"/>
            </w:tcBorders>
            <w:shd w:val="clear" w:color="auto" w:fill="auto"/>
            <w:noWrap/>
            <w:vAlign w:val="center"/>
            <w:hideMark/>
          </w:tcPr>
          <w:p w14:paraId="12915E9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6DE7AA2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6C0C6DCA" w14:textId="77777777" w:rsidTr="005A7CAD">
        <w:trPr>
          <w:trHeight w:val="300"/>
        </w:trPr>
        <w:tc>
          <w:tcPr>
            <w:tcW w:w="297" w:type="pct"/>
            <w:tcBorders>
              <w:top w:val="nil"/>
              <w:left w:val="nil"/>
              <w:bottom w:val="nil"/>
              <w:right w:val="nil"/>
            </w:tcBorders>
            <w:shd w:val="clear" w:color="auto" w:fill="auto"/>
            <w:noWrap/>
            <w:vAlign w:val="center"/>
            <w:hideMark/>
          </w:tcPr>
          <w:p w14:paraId="73DDA55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16</w:t>
            </w:r>
          </w:p>
        </w:tc>
        <w:tc>
          <w:tcPr>
            <w:tcW w:w="497" w:type="pct"/>
            <w:tcBorders>
              <w:top w:val="nil"/>
              <w:left w:val="nil"/>
              <w:bottom w:val="nil"/>
              <w:right w:val="nil"/>
            </w:tcBorders>
            <w:shd w:val="clear" w:color="auto" w:fill="auto"/>
            <w:noWrap/>
            <w:vAlign w:val="center"/>
            <w:hideMark/>
          </w:tcPr>
          <w:p w14:paraId="191C4D6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SEMARNAT</w:t>
            </w:r>
          </w:p>
        </w:tc>
        <w:tc>
          <w:tcPr>
            <w:tcW w:w="356" w:type="pct"/>
            <w:tcBorders>
              <w:top w:val="nil"/>
              <w:left w:val="nil"/>
              <w:bottom w:val="nil"/>
              <w:right w:val="nil"/>
            </w:tcBorders>
            <w:shd w:val="clear" w:color="auto" w:fill="auto"/>
            <w:noWrap/>
            <w:vAlign w:val="center"/>
            <w:hideMark/>
          </w:tcPr>
          <w:p w14:paraId="6DD3143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E005</w:t>
            </w:r>
          </w:p>
        </w:tc>
        <w:tc>
          <w:tcPr>
            <w:tcW w:w="924" w:type="pct"/>
            <w:tcBorders>
              <w:top w:val="nil"/>
              <w:left w:val="nil"/>
              <w:bottom w:val="nil"/>
              <w:right w:val="nil"/>
            </w:tcBorders>
            <w:shd w:val="clear" w:color="auto" w:fill="auto"/>
            <w:noWrap/>
            <w:vAlign w:val="center"/>
            <w:hideMark/>
          </w:tcPr>
          <w:p w14:paraId="55BB0547"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Capacitación Ambiental y Desarrollo Sustentable</w:t>
            </w:r>
          </w:p>
        </w:tc>
        <w:tc>
          <w:tcPr>
            <w:tcW w:w="1277" w:type="pct"/>
            <w:tcBorders>
              <w:top w:val="nil"/>
              <w:left w:val="nil"/>
              <w:bottom w:val="nil"/>
              <w:right w:val="nil"/>
            </w:tcBorders>
            <w:shd w:val="clear" w:color="auto" w:fill="auto"/>
            <w:noWrap/>
            <w:vAlign w:val="center"/>
            <w:hideMark/>
          </w:tcPr>
          <w:p w14:paraId="02C64E56"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Estudio del estado del arte de la Educación Ambiental: avances y retos (E005 ED)</w:t>
            </w:r>
          </w:p>
        </w:tc>
        <w:tc>
          <w:tcPr>
            <w:tcW w:w="843" w:type="pct"/>
            <w:tcBorders>
              <w:top w:val="nil"/>
              <w:left w:val="nil"/>
              <w:bottom w:val="nil"/>
              <w:right w:val="nil"/>
            </w:tcBorders>
            <w:shd w:val="clear" w:color="auto" w:fill="auto"/>
            <w:noWrap/>
            <w:vAlign w:val="center"/>
            <w:hideMark/>
          </w:tcPr>
          <w:p w14:paraId="0CB7EF0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075A3C8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2BD02AF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70</w:t>
            </w:r>
          </w:p>
        </w:tc>
      </w:tr>
      <w:tr w:rsidR="00F77FE5" w:rsidRPr="00F77FE5" w14:paraId="68BBEB96" w14:textId="77777777" w:rsidTr="005A7CAD">
        <w:trPr>
          <w:trHeight w:val="300"/>
        </w:trPr>
        <w:tc>
          <w:tcPr>
            <w:tcW w:w="297" w:type="pct"/>
            <w:tcBorders>
              <w:top w:val="nil"/>
              <w:left w:val="nil"/>
              <w:bottom w:val="nil"/>
              <w:right w:val="nil"/>
            </w:tcBorders>
            <w:shd w:val="clear" w:color="auto" w:fill="auto"/>
            <w:noWrap/>
            <w:vAlign w:val="center"/>
            <w:hideMark/>
          </w:tcPr>
          <w:p w14:paraId="33DCDC9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16</w:t>
            </w:r>
          </w:p>
        </w:tc>
        <w:tc>
          <w:tcPr>
            <w:tcW w:w="497" w:type="pct"/>
            <w:tcBorders>
              <w:top w:val="nil"/>
              <w:left w:val="nil"/>
              <w:bottom w:val="nil"/>
              <w:right w:val="nil"/>
            </w:tcBorders>
            <w:shd w:val="clear" w:color="auto" w:fill="auto"/>
            <w:noWrap/>
            <w:vAlign w:val="center"/>
            <w:hideMark/>
          </w:tcPr>
          <w:p w14:paraId="3B0655A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SEMARNAT</w:t>
            </w:r>
          </w:p>
        </w:tc>
        <w:tc>
          <w:tcPr>
            <w:tcW w:w="356" w:type="pct"/>
            <w:tcBorders>
              <w:top w:val="nil"/>
              <w:left w:val="nil"/>
              <w:bottom w:val="nil"/>
              <w:right w:val="nil"/>
            </w:tcBorders>
            <w:shd w:val="clear" w:color="auto" w:fill="auto"/>
            <w:noWrap/>
            <w:vAlign w:val="center"/>
            <w:hideMark/>
          </w:tcPr>
          <w:p w14:paraId="7D10E39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E005</w:t>
            </w:r>
          </w:p>
        </w:tc>
        <w:tc>
          <w:tcPr>
            <w:tcW w:w="924" w:type="pct"/>
            <w:tcBorders>
              <w:top w:val="nil"/>
              <w:left w:val="nil"/>
              <w:bottom w:val="nil"/>
              <w:right w:val="nil"/>
            </w:tcBorders>
            <w:shd w:val="clear" w:color="auto" w:fill="auto"/>
            <w:noWrap/>
            <w:vAlign w:val="center"/>
            <w:hideMark/>
          </w:tcPr>
          <w:p w14:paraId="0BF84F0F"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Capacitación Ambiental y Desarrollo Sustentable</w:t>
            </w:r>
          </w:p>
        </w:tc>
        <w:tc>
          <w:tcPr>
            <w:tcW w:w="1277" w:type="pct"/>
            <w:tcBorders>
              <w:top w:val="nil"/>
              <w:left w:val="nil"/>
              <w:bottom w:val="nil"/>
              <w:right w:val="nil"/>
            </w:tcBorders>
            <w:shd w:val="clear" w:color="auto" w:fill="auto"/>
            <w:noWrap/>
            <w:vAlign w:val="center"/>
            <w:hideMark/>
          </w:tcPr>
          <w:p w14:paraId="4FFDAA45"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Información</w:t>
            </w:r>
            <w:r w:rsidR="006F4A52">
              <w:rPr>
                <w:rFonts w:eastAsia="Times New Roman"/>
                <w:sz w:val="12"/>
                <w:szCs w:val="20"/>
                <w:lang w:val="es-ES" w:eastAsia="en-US"/>
              </w:rPr>
              <w:t xml:space="preserve"> </w:t>
            </w:r>
            <w:r w:rsidRPr="00F77FE5">
              <w:rPr>
                <w:rFonts w:eastAsia="Times New Roman"/>
                <w:sz w:val="12"/>
                <w:szCs w:val="20"/>
                <w:lang w:val="es-ES" w:eastAsia="en-US"/>
              </w:rPr>
              <w:t>sobre los beneficiaros de los programas (E005 ED).</w:t>
            </w:r>
          </w:p>
        </w:tc>
        <w:tc>
          <w:tcPr>
            <w:tcW w:w="843" w:type="pct"/>
            <w:tcBorders>
              <w:top w:val="nil"/>
              <w:left w:val="nil"/>
              <w:bottom w:val="nil"/>
              <w:right w:val="nil"/>
            </w:tcBorders>
            <w:shd w:val="clear" w:color="auto" w:fill="auto"/>
            <w:noWrap/>
            <w:vAlign w:val="center"/>
            <w:hideMark/>
          </w:tcPr>
          <w:p w14:paraId="5179FF4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5042CA9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2D63CCF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73.33</w:t>
            </w:r>
          </w:p>
        </w:tc>
      </w:tr>
      <w:tr w:rsidR="00F77FE5" w:rsidRPr="00F77FE5" w14:paraId="2D9CC88B" w14:textId="77777777" w:rsidTr="005A7CAD">
        <w:trPr>
          <w:trHeight w:val="300"/>
        </w:trPr>
        <w:tc>
          <w:tcPr>
            <w:tcW w:w="297" w:type="pct"/>
            <w:tcBorders>
              <w:top w:val="nil"/>
              <w:left w:val="nil"/>
              <w:bottom w:val="nil"/>
              <w:right w:val="nil"/>
            </w:tcBorders>
            <w:shd w:val="clear" w:color="auto" w:fill="auto"/>
            <w:noWrap/>
            <w:vAlign w:val="center"/>
            <w:hideMark/>
          </w:tcPr>
          <w:p w14:paraId="0C49C5F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16</w:t>
            </w:r>
          </w:p>
        </w:tc>
        <w:tc>
          <w:tcPr>
            <w:tcW w:w="497" w:type="pct"/>
            <w:tcBorders>
              <w:top w:val="nil"/>
              <w:left w:val="nil"/>
              <w:bottom w:val="nil"/>
              <w:right w:val="nil"/>
            </w:tcBorders>
            <w:shd w:val="clear" w:color="auto" w:fill="auto"/>
            <w:noWrap/>
            <w:vAlign w:val="center"/>
            <w:hideMark/>
          </w:tcPr>
          <w:p w14:paraId="053D555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SEMARNAT</w:t>
            </w:r>
          </w:p>
        </w:tc>
        <w:tc>
          <w:tcPr>
            <w:tcW w:w="356" w:type="pct"/>
            <w:tcBorders>
              <w:top w:val="nil"/>
              <w:left w:val="nil"/>
              <w:bottom w:val="nil"/>
              <w:right w:val="nil"/>
            </w:tcBorders>
            <w:shd w:val="clear" w:color="auto" w:fill="auto"/>
            <w:noWrap/>
            <w:vAlign w:val="center"/>
            <w:hideMark/>
          </w:tcPr>
          <w:p w14:paraId="1D001A6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E005</w:t>
            </w:r>
          </w:p>
        </w:tc>
        <w:tc>
          <w:tcPr>
            <w:tcW w:w="924" w:type="pct"/>
            <w:tcBorders>
              <w:top w:val="nil"/>
              <w:left w:val="nil"/>
              <w:bottom w:val="nil"/>
              <w:right w:val="nil"/>
            </w:tcBorders>
            <w:shd w:val="clear" w:color="auto" w:fill="auto"/>
            <w:noWrap/>
            <w:vAlign w:val="center"/>
            <w:hideMark/>
          </w:tcPr>
          <w:p w14:paraId="280126C0"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Capacitación Ambiental y Desarrollo Sustentable</w:t>
            </w:r>
          </w:p>
        </w:tc>
        <w:tc>
          <w:tcPr>
            <w:tcW w:w="1277" w:type="pct"/>
            <w:tcBorders>
              <w:top w:val="nil"/>
              <w:left w:val="nil"/>
              <w:bottom w:val="nil"/>
              <w:right w:val="nil"/>
            </w:tcBorders>
            <w:shd w:val="clear" w:color="auto" w:fill="auto"/>
            <w:noWrap/>
            <w:vAlign w:val="center"/>
            <w:hideMark/>
          </w:tcPr>
          <w:p w14:paraId="4F3864F9"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Manejo de redes sociales y TIC para potencial el alcance de los proyectos del CECADESU (E005 ED).</w:t>
            </w:r>
          </w:p>
        </w:tc>
        <w:tc>
          <w:tcPr>
            <w:tcW w:w="843" w:type="pct"/>
            <w:tcBorders>
              <w:top w:val="nil"/>
              <w:left w:val="nil"/>
              <w:bottom w:val="nil"/>
              <w:right w:val="nil"/>
            </w:tcBorders>
            <w:shd w:val="clear" w:color="auto" w:fill="auto"/>
            <w:noWrap/>
            <w:vAlign w:val="center"/>
            <w:hideMark/>
          </w:tcPr>
          <w:p w14:paraId="41867A6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Institucional</w:t>
            </w:r>
          </w:p>
        </w:tc>
        <w:tc>
          <w:tcPr>
            <w:tcW w:w="366" w:type="pct"/>
            <w:tcBorders>
              <w:top w:val="nil"/>
              <w:left w:val="nil"/>
              <w:bottom w:val="nil"/>
              <w:right w:val="nil"/>
            </w:tcBorders>
            <w:shd w:val="clear" w:color="auto" w:fill="auto"/>
            <w:noWrap/>
            <w:vAlign w:val="center"/>
            <w:hideMark/>
          </w:tcPr>
          <w:p w14:paraId="5F12820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6412503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95</w:t>
            </w:r>
          </w:p>
        </w:tc>
      </w:tr>
      <w:tr w:rsidR="00F77FE5" w:rsidRPr="00F77FE5" w14:paraId="198815FE" w14:textId="77777777" w:rsidTr="005A7CAD">
        <w:trPr>
          <w:trHeight w:val="300"/>
        </w:trPr>
        <w:tc>
          <w:tcPr>
            <w:tcW w:w="297" w:type="pct"/>
            <w:tcBorders>
              <w:top w:val="nil"/>
              <w:left w:val="nil"/>
              <w:bottom w:val="nil"/>
              <w:right w:val="nil"/>
            </w:tcBorders>
            <w:shd w:val="clear" w:color="auto" w:fill="auto"/>
            <w:noWrap/>
            <w:vAlign w:val="center"/>
            <w:hideMark/>
          </w:tcPr>
          <w:p w14:paraId="72C63F8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16</w:t>
            </w:r>
          </w:p>
        </w:tc>
        <w:tc>
          <w:tcPr>
            <w:tcW w:w="497" w:type="pct"/>
            <w:tcBorders>
              <w:top w:val="nil"/>
              <w:left w:val="nil"/>
              <w:bottom w:val="nil"/>
              <w:right w:val="nil"/>
            </w:tcBorders>
            <w:shd w:val="clear" w:color="auto" w:fill="auto"/>
            <w:noWrap/>
            <w:vAlign w:val="center"/>
            <w:hideMark/>
          </w:tcPr>
          <w:p w14:paraId="3A811A3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SEMARNAT</w:t>
            </w:r>
          </w:p>
        </w:tc>
        <w:tc>
          <w:tcPr>
            <w:tcW w:w="356" w:type="pct"/>
            <w:tcBorders>
              <w:top w:val="nil"/>
              <w:left w:val="nil"/>
              <w:bottom w:val="nil"/>
              <w:right w:val="nil"/>
            </w:tcBorders>
            <w:shd w:val="clear" w:color="auto" w:fill="auto"/>
            <w:noWrap/>
            <w:vAlign w:val="center"/>
            <w:hideMark/>
          </w:tcPr>
          <w:p w14:paraId="05D815C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E005</w:t>
            </w:r>
          </w:p>
        </w:tc>
        <w:tc>
          <w:tcPr>
            <w:tcW w:w="924" w:type="pct"/>
            <w:tcBorders>
              <w:top w:val="nil"/>
              <w:left w:val="nil"/>
              <w:bottom w:val="nil"/>
              <w:right w:val="nil"/>
            </w:tcBorders>
            <w:shd w:val="clear" w:color="auto" w:fill="auto"/>
            <w:noWrap/>
            <w:vAlign w:val="center"/>
            <w:hideMark/>
          </w:tcPr>
          <w:p w14:paraId="4DC89D61"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Capacitación Ambiental y Desarrollo Sustentable</w:t>
            </w:r>
          </w:p>
        </w:tc>
        <w:tc>
          <w:tcPr>
            <w:tcW w:w="1277" w:type="pct"/>
            <w:tcBorders>
              <w:top w:val="nil"/>
              <w:left w:val="nil"/>
              <w:bottom w:val="nil"/>
              <w:right w:val="nil"/>
            </w:tcBorders>
            <w:shd w:val="clear" w:color="auto" w:fill="auto"/>
            <w:noWrap/>
            <w:vAlign w:val="center"/>
            <w:hideMark/>
          </w:tcPr>
          <w:p w14:paraId="244A7884" w14:textId="77777777" w:rsid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Programa de Desarrollo Institucional (PDI) 2020 (E005 ED).</w:t>
            </w:r>
          </w:p>
          <w:p w14:paraId="57FE3778" w14:textId="77777777" w:rsidR="00F42A12" w:rsidRPr="00F77FE5" w:rsidRDefault="005156D7" w:rsidP="00F77FE5">
            <w:pPr>
              <w:spacing w:before="20" w:after="0"/>
              <w:jc w:val="both"/>
              <w:rPr>
                <w:rFonts w:eastAsia="Times New Roman"/>
                <w:sz w:val="12"/>
                <w:szCs w:val="20"/>
                <w:lang w:val="es-ES" w:eastAsia="en-US"/>
              </w:rPr>
            </w:pPr>
            <w:r>
              <w:rPr>
                <w:rFonts w:eastAsia="Times New Roman"/>
                <w:sz w:val="12"/>
                <w:szCs w:val="20"/>
                <w:lang w:val="es-ES" w:eastAsia="en-US"/>
              </w:rPr>
              <w:t>[</w:t>
            </w:r>
            <w:r w:rsidR="00F42A12" w:rsidRPr="00F42A12">
              <w:rPr>
                <w:rFonts w:eastAsia="Times New Roman"/>
                <w:sz w:val="12"/>
                <w:szCs w:val="20"/>
                <w:lang w:val="es-ES" w:eastAsia="en-US"/>
              </w:rPr>
              <w:t>Elaborar e instrumentar el PDI 2020 y sus respectivos programas rectores</w:t>
            </w:r>
            <w:r w:rsidRPr="00F77FE5">
              <w:rPr>
                <w:rFonts w:eastAsia="Times New Roman"/>
                <w:sz w:val="12"/>
                <w:szCs w:val="20"/>
                <w:lang w:val="es-ES" w:eastAsia="en-US"/>
              </w:rPr>
              <w:t>].</w:t>
            </w:r>
            <w:r w:rsidRPr="00F77FE5">
              <w:rPr>
                <w:rFonts w:eastAsia="Times New Roman"/>
                <w:sz w:val="12"/>
                <w:szCs w:val="20"/>
                <w:vertAlign w:val="superscript"/>
                <w:lang w:val="es-ES" w:eastAsia="en-US"/>
              </w:rPr>
              <w:t>A_/</w:t>
            </w:r>
          </w:p>
        </w:tc>
        <w:tc>
          <w:tcPr>
            <w:tcW w:w="843" w:type="pct"/>
            <w:tcBorders>
              <w:top w:val="nil"/>
              <w:left w:val="nil"/>
              <w:bottom w:val="nil"/>
              <w:right w:val="nil"/>
            </w:tcBorders>
            <w:shd w:val="clear" w:color="auto" w:fill="auto"/>
            <w:noWrap/>
            <w:vAlign w:val="center"/>
            <w:hideMark/>
          </w:tcPr>
          <w:p w14:paraId="4EA2D66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Institucional</w:t>
            </w:r>
          </w:p>
        </w:tc>
        <w:tc>
          <w:tcPr>
            <w:tcW w:w="366" w:type="pct"/>
            <w:tcBorders>
              <w:top w:val="nil"/>
              <w:left w:val="nil"/>
              <w:bottom w:val="nil"/>
              <w:right w:val="nil"/>
            </w:tcBorders>
            <w:shd w:val="clear" w:color="auto" w:fill="auto"/>
            <w:noWrap/>
            <w:vAlign w:val="center"/>
            <w:hideMark/>
          </w:tcPr>
          <w:p w14:paraId="5808F9A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6B5E3E4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w:t>
            </w:r>
          </w:p>
        </w:tc>
      </w:tr>
      <w:tr w:rsidR="00F77FE5" w:rsidRPr="00F77FE5" w14:paraId="2FD30B33" w14:textId="77777777" w:rsidTr="005A7CAD">
        <w:trPr>
          <w:trHeight w:val="300"/>
        </w:trPr>
        <w:tc>
          <w:tcPr>
            <w:tcW w:w="297" w:type="pct"/>
            <w:tcBorders>
              <w:top w:val="nil"/>
              <w:left w:val="nil"/>
              <w:bottom w:val="nil"/>
              <w:right w:val="nil"/>
            </w:tcBorders>
            <w:shd w:val="clear" w:color="auto" w:fill="auto"/>
            <w:noWrap/>
            <w:vAlign w:val="center"/>
            <w:hideMark/>
          </w:tcPr>
          <w:p w14:paraId="14C06FD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20</w:t>
            </w:r>
          </w:p>
        </w:tc>
        <w:tc>
          <w:tcPr>
            <w:tcW w:w="497" w:type="pct"/>
            <w:tcBorders>
              <w:top w:val="nil"/>
              <w:left w:val="nil"/>
              <w:bottom w:val="nil"/>
              <w:right w:val="nil"/>
            </w:tcBorders>
            <w:shd w:val="clear" w:color="auto" w:fill="auto"/>
            <w:noWrap/>
            <w:vAlign w:val="center"/>
            <w:hideMark/>
          </w:tcPr>
          <w:p w14:paraId="358F584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IMJUVE</w:t>
            </w:r>
          </w:p>
        </w:tc>
        <w:tc>
          <w:tcPr>
            <w:tcW w:w="356" w:type="pct"/>
            <w:tcBorders>
              <w:top w:val="nil"/>
              <w:left w:val="nil"/>
              <w:bottom w:val="nil"/>
              <w:right w:val="nil"/>
            </w:tcBorders>
            <w:shd w:val="clear" w:color="auto" w:fill="auto"/>
            <w:noWrap/>
            <w:vAlign w:val="center"/>
            <w:hideMark/>
          </w:tcPr>
          <w:p w14:paraId="573A9F7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U008</w:t>
            </w:r>
          </w:p>
        </w:tc>
        <w:tc>
          <w:tcPr>
            <w:tcW w:w="924" w:type="pct"/>
            <w:tcBorders>
              <w:top w:val="nil"/>
              <w:left w:val="nil"/>
              <w:bottom w:val="nil"/>
              <w:right w:val="nil"/>
            </w:tcBorders>
            <w:shd w:val="clear" w:color="auto" w:fill="auto"/>
            <w:noWrap/>
            <w:vAlign w:val="center"/>
            <w:hideMark/>
          </w:tcPr>
          <w:p w14:paraId="7F03915B"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 a programas para jóvenes</w:t>
            </w:r>
          </w:p>
        </w:tc>
        <w:tc>
          <w:tcPr>
            <w:tcW w:w="1277" w:type="pct"/>
            <w:tcBorders>
              <w:top w:val="nil"/>
              <w:left w:val="nil"/>
              <w:bottom w:val="nil"/>
              <w:right w:val="nil"/>
            </w:tcBorders>
            <w:shd w:val="clear" w:color="auto" w:fill="auto"/>
            <w:noWrap/>
            <w:vAlign w:val="center"/>
            <w:hideMark/>
          </w:tcPr>
          <w:p w14:paraId="46EC520F"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Realizar un proceso de Planeación Estratégica basado en el análisis del problema.</w:t>
            </w:r>
          </w:p>
        </w:tc>
        <w:tc>
          <w:tcPr>
            <w:tcW w:w="843" w:type="pct"/>
            <w:tcBorders>
              <w:top w:val="nil"/>
              <w:left w:val="nil"/>
              <w:bottom w:val="nil"/>
              <w:right w:val="nil"/>
            </w:tcBorders>
            <w:shd w:val="clear" w:color="auto" w:fill="auto"/>
            <w:noWrap/>
            <w:vAlign w:val="center"/>
            <w:hideMark/>
          </w:tcPr>
          <w:p w14:paraId="7314E8F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043AD5B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602613D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50</w:t>
            </w:r>
          </w:p>
        </w:tc>
      </w:tr>
      <w:tr w:rsidR="00F77FE5" w:rsidRPr="00F77FE5" w14:paraId="3B07325D" w14:textId="77777777" w:rsidTr="005A7CAD">
        <w:trPr>
          <w:trHeight w:val="300"/>
        </w:trPr>
        <w:tc>
          <w:tcPr>
            <w:tcW w:w="297" w:type="pct"/>
            <w:tcBorders>
              <w:top w:val="nil"/>
              <w:left w:val="nil"/>
              <w:bottom w:val="nil"/>
              <w:right w:val="nil"/>
            </w:tcBorders>
            <w:shd w:val="clear" w:color="auto" w:fill="auto"/>
            <w:noWrap/>
            <w:vAlign w:val="center"/>
            <w:hideMark/>
          </w:tcPr>
          <w:p w14:paraId="4E6167F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20</w:t>
            </w:r>
          </w:p>
        </w:tc>
        <w:tc>
          <w:tcPr>
            <w:tcW w:w="497" w:type="pct"/>
            <w:tcBorders>
              <w:top w:val="nil"/>
              <w:left w:val="nil"/>
              <w:bottom w:val="nil"/>
              <w:right w:val="nil"/>
            </w:tcBorders>
            <w:shd w:val="clear" w:color="auto" w:fill="auto"/>
            <w:noWrap/>
            <w:vAlign w:val="center"/>
            <w:hideMark/>
          </w:tcPr>
          <w:p w14:paraId="09DD35D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IMJUVE</w:t>
            </w:r>
          </w:p>
        </w:tc>
        <w:tc>
          <w:tcPr>
            <w:tcW w:w="356" w:type="pct"/>
            <w:tcBorders>
              <w:top w:val="nil"/>
              <w:left w:val="nil"/>
              <w:bottom w:val="nil"/>
              <w:right w:val="nil"/>
            </w:tcBorders>
            <w:shd w:val="clear" w:color="auto" w:fill="auto"/>
            <w:noWrap/>
            <w:vAlign w:val="center"/>
            <w:hideMark/>
          </w:tcPr>
          <w:p w14:paraId="066614F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U008</w:t>
            </w:r>
          </w:p>
        </w:tc>
        <w:tc>
          <w:tcPr>
            <w:tcW w:w="924" w:type="pct"/>
            <w:tcBorders>
              <w:top w:val="nil"/>
              <w:left w:val="nil"/>
              <w:bottom w:val="nil"/>
              <w:right w:val="nil"/>
            </w:tcBorders>
            <w:shd w:val="clear" w:color="auto" w:fill="auto"/>
            <w:noWrap/>
            <w:vAlign w:val="center"/>
            <w:hideMark/>
          </w:tcPr>
          <w:p w14:paraId="153E8473"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Subsidios a programas para jóvenes</w:t>
            </w:r>
          </w:p>
        </w:tc>
        <w:tc>
          <w:tcPr>
            <w:tcW w:w="1277" w:type="pct"/>
            <w:tcBorders>
              <w:top w:val="nil"/>
              <w:left w:val="nil"/>
              <w:bottom w:val="nil"/>
              <w:right w:val="nil"/>
            </w:tcBorders>
            <w:shd w:val="clear" w:color="auto" w:fill="auto"/>
            <w:noWrap/>
            <w:vAlign w:val="center"/>
            <w:hideMark/>
          </w:tcPr>
          <w:p w14:paraId="1A6BDEE9"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Actualizar la Propuesta de Atención del Programa U-008 "Subsidios a programas para jóvenes".</w:t>
            </w:r>
          </w:p>
        </w:tc>
        <w:tc>
          <w:tcPr>
            <w:tcW w:w="843" w:type="pct"/>
            <w:tcBorders>
              <w:top w:val="nil"/>
              <w:left w:val="nil"/>
              <w:bottom w:val="nil"/>
              <w:right w:val="nil"/>
            </w:tcBorders>
            <w:shd w:val="clear" w:color="auto" w:fill="auto"/>
            <w:noWrap/>
            <w:vAlign w:val="center"/>
            <w:hideMark/>
          </w:tcPr>
          <w:p w14:paraId="37534DC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Institucional</w:t>
            </w:r>
          </w:p>
        </w:tc>
        <w:tc>
          <w:tcPr>
            <w:tcW w:w="366" w:type="pct"/>
            <w:tcBorders>
              <w:top w:val="nil"/>
              <w:left w:val="nil"/>
              <w:bottom w:val="nil"/>
              <w:right w:val="nil"/>
            </w:tcBorders>
            <w:shd w:val="clear" w:color="auto" w:fill="auto"/>
            <w:noWrap/>
            <w:vAlign w:val="center"/>
            <w:hideMark/>
          </w:tcPr>
          <w:p w14:paraId="11DBFA4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3F1C481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15</w:t>
            </w:r>
          </w:p>
        </w:tc>
      </w:tr>
      <w:tr w:rsidR="00F77FE5" w:rsidRPr="00F77FE5" w14:paraId="1C01EFC2" w14:textId="77777777" w:rsidTr="005A7CAD">
        <w:trPr>
          <w:trHeight w:val="300"/>
        </w:trPr>
        <w:tc>
          <w:tcPr>
            <w:tcW w:w="297" w:type="pct"/>
            <w:tcBorders>
              <w:top w:val="nil"/>
              <w:left w:val="nil"/>
              <w:bottom w:val="nil"/>
              <w:right w:val="nil"/>
            </w:tcBorders>
            <w:shd w:val="clear" w:color="auto" w:fill="auto"/>
            <w:noWrap/>
            <w:vAlign w:val="center"/>
            <w:hideMark/>
          </w:tcPr>
          <w:p w14:paraId="1E23EB9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20</w:t>
            </w:r>
          </w:p>
        </w:tc>
        <w:tc>
          <w:tcPr>
            <w:tcW w:w="497" w:type="pct"/>
            <w:tcBorders>
              <w:top w:val="nil"/>
              <w:left w:val="nil"/>
              <w:bottom w:val="nil"/>
              <w:right w:val="nil"/>
            </w:tcBorders>
            <w:shd w:val="clear" w:color="auto" w:fill="auto"/>
            <w:noWrap/>
            <w:vAlign w:val="center"/>
            <w:hideMark/>
          </w:tcPr>
          <w:p w14:paraId="631280A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IMJUVE</w:t>
            </w:r>
          </w:p>
        </w:tc>
        <w:tc>
          <w:tcPr>
            <w:tcW w:w="356" w:type="pct"/>
            <w:tcBorders>
              <w:top w:val="nil"/>
              <w:left w:val="nil"/>
              <w:bottom w:val="nil"/>
              <w:right w:val="nil"/>
            </w:tcBorders>
            <w:shd w:val="clear" w:color="auto" w:fill="auto"/>
            <w:noWrap/>
            <w:vAlign w:val="center"/>
            <w:hideMark/>
          </w:tcPr>
          <w:p w14:paraId="57DDB33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U008</w:t>
            </w:r>
          </w:p>
        </w:tc>
        <w:tc>
          <w:tcPr>
            <w:tcW w:w="924" w:type="pct"/>
            <w:tcBorders>
              <w:top w:val="nil"/>
              <w:left w:val="nil"/>
              <w:bottom w:val="nil"/>
              <w:right w:val="nil"/>
            </w:tcBorders>
            <w:shd w:val="clear" w:color="auto" w:fill="auto"/>
            <w:noWrap/>
            <w:vAlign w:val="center"/>
            <w:hideMark/>
          </w:tcPr>
          <w:p w14:paraId="6F307807"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Subsidios a programas para jóvenes</w:t>
            </w:r>
          </w:p>
        </w:tc>
        <w:tc>
          <w:tcPr>
            <w:tcW w:w="1277" w:type="pct"/>
            <w:tcBorders>
              <w:top w:val="nil"/>
              <w:left w:val="nil"/>
              <w:bottom w:val="nil"/>
              <w:right w:val="nil"/>
            </w:tcBorders>
            <w:shd w:val="clear" w:color="auto" w:fill="auto"/>
            <w:noWrap/>
            <w:vAlign w:val="center"/>
            <w:hideMark/>
          </w:tcPr>
          <w:p w14:paraId="31798FD7"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 xml:space="preserve">Elaborar un documento que describa el método y las consideraciones para el </w:t>
            </w:r>
            <w:r w:rsidRPr="00F77FE5">
              <w:rPr>
                <w:rFonts w:eastAsia="Times New Roman"/>
                <w:sz w:val="12"/>
                <w:szCs w:val="20"/>
                <w:lang w:val="es-ES" w:eastAsia="en-US"/>
              </w:rPr>
              <w:lastRenderedPageBreak/>
              <w:t>cálculo de las metas de los indicadores de la MIR del Programa U008.</w:t>
            </w:r>
          </w:p>
        </w:tc>
        <w:tc>
          <w:tcPr>
            <w:tcW w:w="843" w:type="pct"/>
            <w:tcBorders>
              <w:top w:val="nil"/>
              <w:left w:val="nil"/>
              <w:bottom w:val="nil"/>
              <w:right w:val="nil"/>
            </w:tcBorders>
            <w:shd w:val="clear" w:color="auto" w:fill="auto"/>
            <w:noWrap/>
            <w:vAlign w:val="center"/>
            <w:hideMark/>
          </w:tcPr>
          <w:p w14:paraId="1F90092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lastRenderedPageBreak/>
              <w:t>Específico</w:t>
            </w:r>
          </w:p>
        </w:tc>
        <w:tc>
          <w:tcPr>
            <w:tcW w:w="366" w:type="pct"/>
            <w:tcBorders>
              <w:top w:val="nil"/>
              <w:left w:val="nil"/>
              <w:bottom w:val="nil"/>
              <w:right w:val="nil"/>
            </w:tcBorders>
            <w:shd w:val="clear" w:color="auto" w:fill="auto"/>
            <w:noWrap/>
            <w:vAlign w:val="center"/>
            <w:hideMark/>
          </w:tcPr>
          <w:p w14:paraId="73BB825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7B8442C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90</w:t>
            </w:r>
          </w:p>
        </w:tc>
      </w:tr>
      <w:tr w:rsidR="00F77FE5" w:rsidRPr="00F77FE5" w14:paraId="1C41F899" w14:textId="77777777" w:rsidTr="005A7CAD">
        <w:trPr>
          <w:trHeight w:val="300"/>
        </w:trPr>
        <w:tc>
          <w:tcPr>
            <w:tcW w:w="297" w:type="pct"/>
            <w:tcBorders>
              <w:top w:val="nil"/>
              <w:left w:val="nil"/>
              <w:bottom w:val="nil"/>
              <w:right w:val="nil"/>
            </w:tcBorders>
            <w:shd w:val="clear" w:color="auto" w:fill="auto"/>
            <w:noWrap/>
            <w:vAlign w:val="center"/>
            <w:hideMark/>
          </w:tcPr>
          <w:p w14:paraId="1157B2E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20</w:t>
            </w:r>
          </w:p>
        </w:tc>
        <w:tc>
          <w:tcPr>
            <w:tcW w:w="497" w:type="pct"/>
            <w:tcBorders>
              <w:top w:val="nil"/>
              <w:left w:val="nil"/>
              <w:bottom w:val="nil"/>
              <w:right w:val="nil"/>
            </w:tcBorders>
            <w:shd w:val="clear" w:color="auto" w:fill="auto"/>
            <w:noWrap/>
            <w:vAlign w:val="center"/>
            <w:hideMark/>
          </w:tcPr>
          <w:p w14:paraId="6C762D9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IMJUVE</w:t>
            </w:r>
          </w:p>
        </w:tc>
        <w:tc>
          <w:tcPr>
            <w:tcW w:w="356" w:type="pct"/>
            <w:tcBorders>
              <w:top w:val="nil"/>
              <w:left w:val="nil"/>
              <w:bottom w:val="nil"/>
              <w:right w:val="nil"/>
            </w:tcBorders>
            <w:shd w:val="clear" w:color="auto" w:fill="auto"/>
            <w:noWrap/>
            <w:vAlign w:val="center"/>
            <w:hideMark/>
          </w:tcPr>
          <w:p w14:paraId="0CBEE6A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U008</w:t>
            </w:r>
          </w:p>
        </w:tc>
        <w:tc>
          <w:tcPr>
            <w:tcW w:w="924" w:type="pct"/>
            <w:tcBorders>
              <w:top w:val="nil"/>
              <w:left w:val="nil"/>
              <w:bottom w:val="nil"/>
              <w:right w:val="nil"/>
            </w:tcBorders>
            <w:shd w:val="clear" w:color="auto" w:fill="auto"/>
            <w:noWrap/>
            <w:vAlign w:val="center"/>
            <w:hideMark/>
          </w:tcPr>
          <w:p w14:paraId="12A23E9A"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Subsidios a programas para jóvenes</w:t>
            </w:r>
          </w:p>
        </w:tc>
        <w:tc>
          <w:tcPr>
            <w:tcW w:w="1277" w:type="pct"/>
            <w:tcBorders>
              <w:top w:val="nil"/>
              <w:left w:val="nil"/>
              <w:bottom w:val="nil"/>
              <w:right w:val="nil"/>
            </w:tcBorders>
            <w:shd w:val="clear" w:color="auto" w:fill="auto"/>
            <w:noWrap/>
            <w:vAlign w:val="center"/>
            <w:hideMark/>
          </w:tcPr>
          <w:p w14:paraId="75484F71"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Realizar una evaluación de Resultados</w:t>
            </w:r>
            <w:r w:rsidR="006F4A52">
              <w:rPr>
                <w:rFonts w:eastAsia="Times New Roman"/>
                <w:sz w:val="12"/>
                <w:szCs w:val="20"/>
                <w:lang w:val="es-ES" w:eastAsia="en-US"/>
              </w:rPr>
              <w:t xml:space="preserve"> </w:t>
            </w:r>
            <w:r w:rsidRPr="00F77FE5">
              <w:rPr>
                <w:rFonts w:eastAsia="Times New Roman"/>
                <w:sz w:val="12"/>
                <w:szCs w:val="20"/>
                <w:lang w:val="es-ES" w:eastAsia="en-US"/>
              </w:rPr>
              <w:t>del programa U008 que identifique el logro de los objetivo del programa.</w:t>
            </w:r>
          </w:p>
        </w:tc>
        <w:tc>
          <w:tcPr>
            <w:tcW w:w="843" w:type="pct"/>
            <w:tcBorders>
              <w:top w:val="nil"/>
              <w:left w:val="nil"/>
              <w:bottom w:val="nil"/>
              <w:right w:val="nil"/>
            </w:tcBorders>
            <w:shd w:val="clear" w:color="auto" w:fill="auto"/>
            <w:noWrap/>
            <w:vAlign w:val="center"/>
            <w:hideMark/>
          </w:tcPr>
          <w:p w14:paraId="721C966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Institucional</w:t>
            </w:r>
          </w:p>
        </w:tc>
        <w:tc>
          <w:tcPr>
            <w:tcW w:w="366" w:type="pct"/>
            <w:tcBorders>
              <w:top w:val="nil"/>
              <w:left w:val="nil"/>
              <w:bottom w:val="nil"/>
              <w:right w:val="nil"/>
            </w:tcBorders>
            <w:shd w:val="clear" w:color="auto" w:fill="auto"/>
            <w:noWrap/>
            <w:vAlign w:val="center"/>
            <w:hideMark/>
          </w:tcPr>
          <w:p w14:paraId="4DC33DC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5626742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90</w:t>
            </w:r>
          </w:p>
        </w:tc>
      </w:tr>
      <w:tr w:rsidR="00F77FE5" w:rsidRPr="00F77FE5" w14:paraId="6546C2D0" w14:textId="77777777" w:rsidTr="005A7CAD">
        <w:trPr>
          <w:trHeight w:val="300"/>
        </w:trPr>
        <w:tc>
          <w:tcPr>
            <w:tcW w:w="297" w:type="pct"/>
            <w:tcBorders>
              <w:top w:val="nil"/>
              <w:left w:val="nil"/>
              <w:bottom w:val="nil"/>
              <w:right w:val="nil"/>
            </w:tcBorders>
            <w:shd w:val="clear" w:color="auto" w:fill="auto"/>
            <w:noWrap/>
            <w:vAlign w:val="center"/>
            <w:hideMark/>
          </w:tcPr>
          <w:p w14:paraId="29EABA8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20</w:t>
            </w:r>
          </w:p>
        </w:tc>
        <w:tc>
          <w:tcPr>
            <w:tcW w:w="497" w:type="pct"/>
            <w:tcBorders>
              <w:top w:val="nil"/>
              <w:left w:val="nil"/>
              <w:bottom w:val="nil"/>
              <w:right w:val="nil"/>
            </w:tcBorders>
            <w:shd w:val="clear" w:color="auto" w:fill="auto"/>
            <w:noWrap/>
            <w:vAlign w:val="center"/>
            <w:hideMark/>
          </w:tcPr>
          <w:p w14:paraId="2D03C38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SEDESOL</w:t>
            </w:r>
          </w:p>
        </w:tc>
        <w:tc>
          <w:tcPr>
            <w:tcW w:w="356" w:type="pct"/>
            <w:tcBorders>
              <w:top w:val="nil"/>
              <w:left w:val="nil"/>
              <w:bottom w:val="nil"/>
              <w:right w:val="nil"/>
            </w:tcBorders>
            <w:shd w:val="clear" w:color="auto" w:fill="auto"/>
            <w:noWrap/>
            <w:vAlign w:val="center"/>
            <w:hideMark/>
          </w:tcPr>
          <w:p w14:paraId="0471327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U008</w:t>
            </w:r>
          </w:p>
        </w:tc>
        <w:tc>
          <w:tcPr>
            <w:tcW w:w="924" w:type="pct"/>
            <w:tcBorders>
              <w:top w:val="nil"/>
              <w:left w:val="nil"/>
              <w:bottom w:val="nil"/>
              <w:right w:val="nil"/>
            </w:tcBorders>
            <w:shd w:val="clear" w:color="auto" w:fill="auto"/>
            <w:noWrap/>
            <w:vAlign w:val="center"/>
            <w:hideMark/>
          </w:tcPr>
          <w:p w14:paraId="05A9D4F4"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Subsidios a programas para jóvenes</w:t>
            </w:r>
          </w:p>
        </w:tc>
        <w:tc>
          <w:tcPr>
            <w:tcW w:w="1277" w:type="pct"/>
            <w:tcBorders>
              <w:top w:val="nil"/>
              <w:left w:val="nil"/>
              <w:bottom w:val="nil"/>
              <w:right w:val="nil"/>
            </w:tcBorders>
            <w:shd w:val="clear" w:color="auto" w:fill="auto"/>
            <w:noWrap/>
            <w:vAlign w:val="center"/>
            <w:hideMark/>
          </w:tcPr>
          <w:p w14:paraId="5F5B4052"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Actualizar el diagnóstico del programa U008 Subsidios a programas para Jóvenes, considerando las recomendaciones realizadas en la Evaluación de Consistencia y Resultados 2016.</w:t>
            </w:r>
          </w:p>
        </w:tc>
        <w:tc>
          <w:tcPr>
            <w:tcW w:w="843" w:type="pct"/>
            <w:tcBorders>
              <w:top w:val="nil"/>
              <w:left w:val="nil"/>
              <w:bottom w:val="nil"/>
              <w:right w:val="nil"/>
            </w:tcBorders>
            <w:shd w:val="clear" w:color="auto" w:fill="auto"/>
            <w:noWrap/>
            <w:vAlign w:val="center"/>
            <w:hideMark/>
          </w:tcPr>
          <w:p w14:paraId="4ABF860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Institucional</w:t>
            </w:r>
          </w:p>
        </w:tc>
        <w:tc>
          <w:tcPr>
            <w:tcW w:w="366" w:type="pct"/>
            <w:tcBorders>
              <w:top w:val="nil"/>
              <w:left w:val="nil"/>
              <w:bottom w:val="nil"/>
              <w:right w:val="nil"/>
            </w:tcBorders>
            <w:shd w:val="clear" w:color="auto" w:fill="auto"/>
            <w:noWrap/>
            <w:vAlign w:val="center"/>
            <w:hideMark/>
          </w:tcPr>
          <w:p w14:paraId="30854DC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05067F1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20</w:t>
            </w:r>
          </w:p>
        </w:tc>
      </w:tr>
      <w:tr w:rsidR="00F77FE5" w:rsidRPr="00F77FE5" w14:paraId="145DB2A7" w14:textId="77777777" w:rsidTr="005A7CAD">
        <w:trPr>
          <w:trHeight w:val="300"/>
        </w:trPr>
        <w:tc>
          <w:tcPr>
            <w:tcW w:w="297" w:type="pct"/>
            <w:tcBorders>
              <w:top w:val="nil"/>
              <w:left w:val="nil"/>
              <w:bottom w:val="nil"/>
              <w:right w:val="nil"/>
            </w:tcBorders>
            <w:shd w:val="clear" w:color="auto" w:fill="auto"/>
            <w:noWrap/>
            <w:vAlign w:val="center"/>
            <w:hideMark/>
          </w:tcPr>
          <w:p w14:paraId="66AC928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20</w:t>
            </w:r>
          </w:p>
        </w:tc>
        <w:tc>
          <w:tcPr>
            <w:tcW w:w="497" w:type="pct"/>
            <w:tcBorders>
              <w:top w:val="nil"/>
              <w:left w:val="nil"/>
              <w:bottom w:val="nil"/>
              <w:right w:val="nil"/>
            </w:tcBorders>
            <w:shd w:val="clear" w:color="auto" w:fill="auto"/>
            <w:noWrap/>
            <w:vAlign w:val="center"/>
            <w:hideMark/>
          </w:tcPr>
          <w:p w14:paraId="057D631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SEDESOL</w:t>
            </w:r>
          </w:p>
        </w:tc>
        <w:tc>
          <w:tcPr>
            <w:tcW w:w="356" w:type="pct"/>
            <w:tcBorders>
              <w:top w:val="nil"/>
              <w:left w:val="nil"/>
              <w:bottom w:val="nil"/>
              <w:right w:val="nil"/>
            </w:tcBorders>
            <w:shd w:val="clear" w:color="auto" w:fill="auto"/>
            <w:noWrap/>
            <w:vAlign w:val="center"/>
            <w:hideMark/>
          </w:tcPr>
          <w:p w14:paraId="365019D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U008</w:t>
            </w:r>
          </w:p>
        </w:tc>
        <w:tc>
          <w:tcPr>
            <w:tcW w:w="924" w:type="pct"/>
            <w:tcBorders>
              <w:top w:val="nil"/>
              <w:left w:val="nil"/>
              <w:bottom w:val="nil"/>
              <w:right w:val="nil"/>
            </w:tcBorders>
            <w:shd w:val="clear" w:color="auto" w:fill="auto"/>
            <w:noWrap/>
            <w:vAlign w:val="center"/>
            <w:hideMark/>
          </w:tcPr>
          <w:p w14:paraId="39FD1451"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Subsidios a programas para jóvenes</w:t>
            </w:r>
          </w:p>
        </w:tc>
        <w:tc>
          <w:tcPr>
            <w:tcW w:w="1277" w:type="pct"/>
            <w:tcBorders>
              <w:top w:val="nil"/>
              <w:left w:val="nil"/>
              <w:bottom w:val="nil"/>
              <w:right w:val="nil"/>
            </w:tcBorders>
            <w:shd w:val="clear" w:color="auto" w:fill="auto"/>
            <w:noWrap/>
            <w:vAlign w:val="center"/>
            <w:hideMark/>
          </w:tcPr>
          <w:p w14:paraId="3D0149E2"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Aplicar cuestionarios en línea, para cada una de las categorías de apoyo del programa U008: uno para identificar las expectativas de los postulantes al participar en cada convocatoria, otro al finalizar el proceso de selección para conocer la medida en que se cumplieron las expectativas de los postulantes y un tercer cuestionario a los beneficiarios del programa después de recibir los beneficios.</w:t>
            </w:r>
          </w:p>
        </w:tc>
        <w:tc>
          <w:tcPr>
            <w:tcW w:w="843" w:type="pct"/>
            <w:tcBorders>
              <w:top w:val="nil"/>
              <w:left w:val="nil"/>
              <w:bottom w:val="nil"/>
              <w:right w:val="nil"/>
            </w:tcBorders>
            <w:shd w:val="clear" w:color="auto" w:fill="auto"/>
            <w:noWrap/>
            <w:vAlign w:val="center"/>
            <w:hideMark/>
          </w:tcPr>
          <w:p w14:paraId="757C308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385D90B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7884A93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15</w:t>
            </w:r>
          </w:p>
        </w:tc>
      </w:tr>
      <w:tr w:rsidR="00F77FE5" w:rsidRPr="00F77FE5" w14:paraId="29E784A2" w14:textId="77777777" w:rsidTr="005A7CAD">
        <w:trPr>
          <w:trHeight w:val="300"/>
        </w:trPr>
        <w:tc>
          <w:tcPr>
            <w:tcW w:w="297" w:type="pct"/>
            <w:tcBorders>
              <w:top w:val="nil"/>
              <w:left w:val="nil"/>
              <w:bottom w:val="nil"/>
              <w:right w:val="nil"/>
            </w:tcBorders>
            <w:shd w:val="clear" w:color="auto" w:fill="auto"/>
            <w:noWrap/>
            <w:vAlign w:val="center"/>
            <w:hideMark/>
          </w:tcPr>
          <w:p w14:paraId="699B5F5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20</w:t>
            </w:r>
          </w:p>
        </w:tc>
        <w:tc>
          <w:tcPr>
            <w:tcW w:w="497" w:type="pct"/>
            <w:tcBorders>
              <w:top w:val="nil"/>
              <w:left w:val="nil"/>
              <w:bottom w:val="nil"/>
              <w:right w:val="nil"/>
            </w:tcBorders>
            <w:shd w:val="clear" w:color="auto" w:fill="auto"/>
            <w:noWrap/>
            <w:vAlign w:val="center"/>
            <w:hideMark/>
          </w:tcPr>
          <w:p w14:paraId="08A5B96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SEDESOL</w:t>
            </w:r>
          </w:p>
        </w:tc>
        <w:tc>
          <w:tcPr>
            <w:tcW w:w="356" w:type="pct"/>
            <w:tcBorders>
              <w:top w:val="nil"/>
              <w:left w:val="nil"/>
              <w:bottom w:val="nil"/>
              <w:right w:val="nil"/>
            </w:tcBorders>
            <w:shd w:val="clear" w:color="auto" w:fill="auto"/>
            <w:noWrap/>
            <w:vAlign w:val="center"/>
            <w:hideMark/>
          </w:tcPr>
          <w:p w14:paraId="58C605E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U008</w:t>
            </w:r>
          </w:p>
        </w:tc>
        <w:tc>
          <w:tcPr>
            <w:tcW w:w="924" w:type="pct"/>
            <w:tcBorders>
              <w:top w:val="nil"/>
              <w:left w:val="nil"/>
              <w:bottom w:val="nil"/>
              <w:right w:val="nil"/>
            </w:tcBorders>
            <w:shd w:val="clear" w:color="auto" w:fill="auto"/>
            <w:noWrap/>
            <w:vAlign w:val="center"/>
            <w:hideMark/>
          </w:tcPr>
          <w:p w14:paraId="3FDE0B59"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Subsidios a programas para jóvenes</w:t>
            </w:r>
          </w:p>
        </w:tc>
        <w:tc>
          <w:tcPr>
            <w:tcW w:w="1277" w:type="pct"/>
            <w:tcBorders>
              <w:top w:val="nil"/>
              <w:left w:val="nil"/>
              <w:bottom w:val="nil"/>
              <w:right w:val="nil"/>
            </w:tcBorders>
            <w:shd w:val="clear" w:color="auto" w:fill="auto"/>
            <w:noWrap/>
            <w:vAlign w:val="center"/>
            <w:hideMark/>
          </w:tcPr>
          <w:p w14:paraId="44661C4A"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Asegurar que el próximo ejercicio de Seguimiento Físico y Operativo del programa cuente con los siguientes atributos:</w:t>
            </w:r>
            <w:r w:rsidRPr="00F77FE5">
              <w:rPr>
                <w:rFonts w:eastAsia="Times New Roman"/>
                <w:sz w:val="12"/>
                <w:szCs w:val="20"/>
                <w:lang w:val="es-ES" w:eastAsia="en-US"/>
              </w:rPr>
              <w:br/>
              <w:t xml:space="preserve">1.- Mediciones de satisfacción objetivas; es decir, no sesgadas. </w:t>
            </w:r>
            <w:r w:rsidRPr="00F77FE5">
              <w:rPr>
                <w:rFonts w:eastAsia="Times New Roman"/>
                <w:sz w:val="12"/>
                <w:szCs w:val="20"/>
                <w:lang w:val="es-ES" w:eastAsia="en-US"/>
              </w:rPr>
              <w:br/>
              <w:t>2.- Los resultados obtenidos sean representativos estadísticamente para la población de cada una de las categorías de apoyo.</w:t>
            </w:r>
          </w:p>
        </w:tc>
        <w:tc>
          <w:tcPr>
            <w:tcW w:w="843" w:type="pct"/>
            <w:tcBorders>
              <w:top w:val="nil"/>
              <w:left w:val="nil"/>
              <w:bottom w:val="nil"/>
              <w:right w:val="nil"/>
            </w:tcBorders>
            <w:shd w:val="clear" w:color="auto" w:fill="auto"/>
            <w:noWrap/>
            <w:vAlign w:val="center"/>
            <w:hideMark/>
          </w:tcPr>
          <w:p w14:paraId="1C581D4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Institucional</w:t>
            </w:r>
          </w:p>
        </w:tc>
        <w:tc>
          <w:tcPr>
            <w:tcW w:w="366" w:type="pct"/>
            <w:tcBorders>
              <w:top w:val="nil"/>
              <w:left w:val="nil"/>
              <w:bottom w:val="nil"/>
              <w:right w:val="nil"/>
            </w:tcBorders>
            <w:shd w:val="clear" w:color="auto" w:fill="auto"/>
            <w:noWrap/>
            <w:vAlign w:val="center"/>
            <w:hideMark/>
          </w:tcPr>
          <w:p w14:paraId="7B66D5F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332B945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27.5</w:t>
            </w:r>
          </w:p>
        </w:tc>
      </w:tr>
      <w:tr w:rsidR="00F77FE5" w:rsidRPr="00F77FE5" w14:paraId="3F1DA2D4" w14:textId="77777777" w:rsidTr="005A7CAD">
        <w:trPr>
          <w:trHeight w:val="300"/>
        </w:trPr>
        <w:tc>
          <w:tcPr>
            <w:tcW w:w="297" w:type="pct"/>
            <w:tcBorders>
              <w:top w:val="nil"/>
              <w:left w:val="nil"/>
              <w:bottom w:val="nil"/>
              <w:right w:val="nil"/>
            </w:tcBorders>
            <w:shd w:val="clear" w:color="auto" w:fill="auto"/>
            <w:noWrap/>
            <w:vAlign w:val="center"/>
            <w:hideMark/>
          </w:tcPr>
          <w:p w14:paraId="31D8145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20</w:t>
            </w:r>
          </w:p>
        </w:tc>
        <w:tc>
          <w:tcPr>
            <w:tcW w:w="497" w:type="pct"/>
            <w:tcBorders>
              <w:top w:val="nil"/>
              <w:left w:val="nil"/>
              <w:bottom w:val="nil"/>
              <w:right w:val="nil"/>
            </w:tcBorders>
            <w:shd w:val="clear" w:color="auto" w:fill="auto"/>
            <w:noWrap/>
            <w:vAlign w:val="center"/>
            <w:hideMark/>
          </w:tcPr>
          <w:p w14:paraId="49903C9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SEDESOL</w:t>
            </w:r>
          </w:p>
        </w:tc>
        <w:tc>
          <w:tcPr>
            <w:tcW w:w="356" w:type="pct"/>
            <w:tcBorders>
              <w:top w:val="nil"/>
              <w:left w:val="nil"/>
              <w:bottom w:val="nil"/>
              <w:right w:val="nil"/>
            </w:tcBorders>
            <w:shd w:val="clear" w:color="auto" w:fill="auto"/>
            <w:noWrap/>
            <w:vAlign w:val="center"/>
            <w:hideMark/>
          </w:tcPr>
          <w:p w14:paraId="3D72676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U008</w:t>
            </w:r>
          </w:p>
        </w:tc>
        <w:tc>
          <w:tcPr>
            <w:tcW w:w="924" w:type="pct"/>
            <w:tcBorders>
              <w:top w:val="nil"/>
              <w:left w:val="nil"/>
              <w:bottom w:val="nil"/>
              <w:right w:val="nil"/>
            </w:tcBorders>
            <w:shd w:val="clear" w:color="auto" w:fill="auto"/>
            <w:noWrap/>
            <w:vAlign w:val="center"/>
            <w:hideMark/>
          </w:tcPr>
          <w:p w14:paraId="68F55A0B"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Subsidios a programas para jóvenes</w:t>
            </w:r>
          </w:p>
        </w:tc>
        <w:tc>
          <w:tcPr>
            <w:tcW w:w="1277" w:type="pct"/>
            <w:tcBorders>
              <w:top w:val="nil"/>
              <w:left w:val="nil"/>
              <w:bottom w:val="nil"/>
              <w:right w:val="nil"/>
            </w:tcBorders>
            <w:shd w:val="clear" w:color="auto" w:fill="auto"/>
            <w:noWrap/>
            <w:vAlign w:val="center"/>
            <w:hideMark/>
          </w:tcPr>
          <w:p w14:paraId="278C355C"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Capacitar a las instituciones beneficiarias de cada una de las categorías de apoyo, sobre la forma en que deberán implementar de manera adecuada sus proyectos.</w:t>
            </w:r>
          </w:p>
        </w:tc>
        <w:tc>
          <w:tcPr>
            <w:tcW w:w="843" w:type="pct"/>
            <w:tcBorders>
              <w:top w:val="nil"/>
              <w:left w:val="nil"/>
              <w:bottom w:val="nil"/>
              <w:right w:val="nil"/>
            </w:tcBorders>
            <w:shd w:val="clear" w:color="auto" w:fill="auto"/>
            <w:noWrap/>
            <w:vAlign w:val="center"/>
            <w:hideMark/>
          </w:tcPr>
          <w:p w14:paraId="48E7CA5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7F4A1CC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593E1E4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w:t>
            </w:r>
          </w:p>
        </w:tc>
      </w:tr>
      <w:tr w:rsidR="00F77FE5" w:rsidRPr="00F77FE5" w14:paraId="1E44842F" w14:textId="77777777" w:rsidTr="005A7CAD">
        <w:trPr>
          <w:trHeight w:val="300"/>
        </w:trPr>
        <w:tc>
          <w:tcPr>
            <w:tcW w:w="297" w:type="pct"/>
            <w:tcBorders>
              <w:top w:val="nil"/>
              <w:left w:val="nil"/>
              <w:bottom w:val="nil"/>
              <w:right w:val="nil"/>
            </w:tcBorders>
            <w:shd w:val="clear" w:color="auto" w:fill="auto"/>
            <w:noWrap/>
            <w:vAlign w:val="center"/>
            <w:hideMark/>
          </w:tcPr>
          <w:p w14:paraId="6EFC689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20</w:t>
            </w:r>
          </w:p>
        </w:tc>
        <w:tc>
          <w:tcPr>
            <w:tcW w:w="497" w:type="pct"/>
            <w:tcBorders>
              <w:top w:val="nil"/>
              <w:left w:val="nil"/>
              <w:bottom w:val="nil"/>
              <w:right w:val="nil"/>
            </w:tcBorders>
            <w:shd w:val="clear" w:color="auto" w:fill="auto"/>
            <w:noWrap/>
            <w:vAlign w:val="center"/>
            <w:hideMark/>
          </w:tcPr>
          <w:p w14:paraId="6445774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SEDESOL</w:t>
            </w:r>
          </w:p>
        </w:tc>
        <w:tc>
          <w:tcPr>
            <w:tcW w:w="356" w:type="pct"/>
            <w:tcBorders>
              <w:top w:val="nil"/>
              <w:left w:val="nil"/>
              <w:bottom w:val="nil"/>
              <w:right w:val="nil"/>
            </w:tcBorders>
            <w:shd w:val="clear" w:color="auto" w:fill="auto"/>
            <w:noWrap/>
            <w:vAlign w:val="center"/>
            <w:hideMark/>
          </w:tcPr>
          <w:p w14:paraId="57FE5D9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U008</w:t>
            </w:r>
          </w:p>
        </w:tc>
        <w:tc>
          <w:tcPr>
            <w:tcW w:w="924" w:type="pct"/>
            <w:tcBorders>
              <w:top w:val="nil"/>
              <w:left w:val="nil"/>
              <w:bottom w:val="nil"/>
              <w:right w:val="nil"/>
            </w:tcBorders>
            <w:shd w:val="clear" w:color="auto" w:fill="auto"/>
            <w:noWrap/>
            <w:vAlign w:val="center"/>
            <w:hideMark/>
          </w:tcPr>
          <w:p w14:paraId="545A93BF"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Subsidios a programas para jóvenes</w:t>
            </w:r>
          </w:p>
        </w:tc>
        <w:tc>
          <w:tcPr>
            <w:tcW w:w="1277" w:type="pct"/>
            <w:tcBorders>
              <w:top w:val="nil"/>
              <w:left w:val="nil"/>
              <w:bottom w:val="nil"/>
              <w:right w:val="nil"/>
            </w:tcBorders>
            <w:shd w:val="clear" w:color="auto" w:fill="auto"/>
            <w:noWrap/>
            <w:vAlign w:val="center"/>
            <w:hideMark/>
          </w:tcPr>
          <w:p w14:paraId="31E2F150"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Diseñar un sistema de información que agrupe los procesos clave de cada una de las categorías de apoyo del programa.</w:t>
            </w:r>
          </w:p>
        </w:tc>
        <w:tc>
          <w:tcPr>
            <w:tcW w:w="843" w:type="pct"/>
            <w:tcBorders>
              <w:top w:val="nil"/>
              <w:left w:val="nil"/>
              <w:bottom w:val="nil"/>
              <w:right w:val="nil"/>
            </w:tcBorders>
            <w:shd w:val="clear" w:color="auto" w:fill="auto"/>
            <w:noWrap/>
            <w:vAlign w:val="center"/>
            <w:hideMark/>
          </w:tcPr>
          <w:p w14:paraId="6A50454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247DBB7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068E5AF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40</w:t>
            </w:r>
          </w:p>
        </w:tc>
      </w:tr>
      <w:tr w:rsidR="00F77FE5" w:rsidRPr="00F77FE5" w14:paraId="3B1BB6B4" w14:textId="77777777" w:rsidTr="005A7CAD">
        <w:trPr>
          <w:trHeight w:val="300"/>
        </w:trPr>
        <w:tc>
          <w:tcPr>
            <w:tcW w:w="297" w:type="pct"/>
            <w:tcBorders>
              <w:top w:val="nil"/>
              <w:left w:val="nil"/>
              <w:bottom w:val="nil"/>
              <w:right w:val="nil"/>
            </w:tcBorders>
            <w:shd w:val="clear" w:color="auto" w:fill="auto"/>
            <w:noWrap/>
            <w:vAlign w:val="center"/>
            <w:hideMark/>
          </w:tcPr>
          <w:p w14:paraId="458FB95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20</w:t>
            </w:r>
          </w:p>
        </w:tc>
        <w:tc>
          <w:tcPr>
            <w:tcW w:w="497" w:type="pct"/>
            <w:tcBorders>
              <w:top w:val="nil"/>
              <w:left w:val="nil"/>
              <w:bottom w:val="nil"/>
              <w:right w:val="nil"/>
            </w:tcBorders>
            <w:shd w:val="clear" w:color="auto" w:fill="auto"/>
            <w:noWrap/>
            <w:vAlign w:val="center"/>
            <w:hideMark/>
          </w:tcPr>
          <w:p w14:paraId="35C7312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SEDESOL</w:t>
            </w:r>
          </w:p>
        </w:tc>
        <w:tc>
          <w:tcPr>
            <w:tcW w:w="356" w:type="pct"/>
            <w:tcBorders>
              <w:top w:val="nil"/>
              <w:left w:val="nil"/>
              <w:bottom w:val="nil"/>
              <w:right w:val="nil"/>
            </w:tcBorders>
            <w:shd w:val="clear" w:color="auto" w:fill="auto"/>
            <w:noWrap/>
            <w:vAlign w:val="center"/>
            <w:hideMark/>
          </w:tcPr>
          <w:p w14:paraId="35B47AA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U008</w:t>
            </w:r>
          </w:p>
        </w:tc>
        <w:tc>
          <w:tcPr>
            <w:tcW w:w="924" w:type="pct"/>
            <w:tcBorders>
              <w:top w:val="nil"/>
              <w:left w:val="nil"/>
              <w:bottom w:val="nil"/>
              <w:right w:val="nil"/>
            </w:tcBorders>
            <w:shd w:val="clear" w:color="auto" w:fill="auto"/>
            <w:noWrap/>
            <w:vAlign w:val="center"/>
            <w:hideMark/>
          </w:tcPr>
          <w:p w14:paraId="67D162CE"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Subsidios a programas para jóvenes</w:t>
            </w:r>
          </w:p>
        </w:tc>
        <w:tc>
          <w:tcPr>
            <w:tcW w:w="1277" w:type="pct"/>
            <w:tcBorders>
              <w:top w:val="nil"/>
              <w:left w:val="nil"/>
              <w:bottom w:val="nil"/>
              <w:right w:val="nil"/>
            </w:tcBorders>
            <w:shd w:val="clear" w:color="auto" w:fill="auto"/>
            <w:noWrap/>
            <w:vAlign w:val="center"/>
            <w:hideMark/>
          </w:tcPr>
          <w:p w14:paraId="66C85D63"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Diseñar una estrategia de comunicación diferenciada que permita la difusión de las convocatorias a la población joven, acorde a la naturaleza de cada categoría de apoyo.</w:t>
            </w:r>
          </w:p>
        </w:tc>
        <w:tc>
          <w:tcPr>
            <w:tcW w:w="843" w:type="pct"/>
            <w:tcBorders>
              <w:top w:val="nil"/>
              <w:left w:val="nil"/>
              <w:bottom w:val="nil"/>
              <w:right w:val="nil"/>
            </w:tcBorders>
            <w:shd w:val="clear" w:color="auto" w:fill="auto"/>
            <w:noWrap/>
            <w:vAlign w:val="center"/>
            <w:hideMark/>
          </w:tcPr>
          <w:p w14:paraId="2FB3960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178F561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70E5CDF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468295C1" w14:textId="77777777" w:rsidTr="005A7CAD">
        <w:trPr>
          <w:trHeight w:val="300"/>
        </w:trPr>
        <w:tc>
          <w:tcPr>
            <w:tcW w:w="297" w:type="pct"/>
            <w:tcBorders>
              <w:top w:val="nil"/>
              <w:left w:val="nil"/>
              <w:bottom w:val="nil"/>
              <w:right w:val="nil"/>
            </w:tcBorders>
            <w:shd w:val="clear" w:color="auto" w:fill="auto"/>
            <w:noWrap/>
            <w:vAlign w:val="center"/>
            <w:hideMark/>
          </w:tcPr>
          <w:p w14:paraId="313CEAF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20</w:t>
            </w:r>
          </w:p>
        </w:tc>
        <w:tc>
          <w:tcPr>
            <w:tcW w:w="497" w:type="pct"/>
            <w:tcBorders>
              <w:top w:val="nil"/>
              <w:left w:val="nil"/>
              <w:bottom w:val="nil"/>
              <w:right w:val="nil"/>
            </w:tcBorders>
            <w:shd w:val="clear" w:color="auto" w:fill="auto"/>
            <w:noWrap/>
            <w:vAlign w:val="center"/>
            <w:hideMark/>
          </w:tcPr>
          <w:p w14:paraId="090DC0F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SEDESOL</w:t>
            </w:r>
          </w:p>
        </w:tc>
        <w:tc>
          <w:tcPr>
            <w:tcW w:w="356" w:type="pct"/>
            <w:tcBorders>
              <w:top w:val="nil"/>
              <w:left w:val="nil"/>
              <w:bottom w:val="nil"/>
              <w:right w:val="nil"/>
            </w:tcBorders>
            <w:shd w:val="clear" w:color="auto" w:fill="auto"/>
            <w:noWrap/>
            <w:vAlign w:val="center"/>
            <w:hideMark/>
          </w:tcPr>
          <w:p w14:paraId="6FB0C46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U008</w:t>
            </w:r>
          </w:p>
        </w:tc>
        <w:tc>
          <w:tcPr>
            <w:tcW w:w="924" w:type="pct"/>
            <w:tcBorders>
              <w:top w:val="nil"/>
              <w:left w:val="nil"/>
              <w:bottom w:val="nil"/>
              <w:right w:val="nil"/>
            </w:tcBorders>
            <w:shd w:val="clear" w:color="auto" w:fill="auto"/>
            <w:noWrap/>
            <w:vAlign w:val="center"/>
            <w:hideMark/>
          </w:tcPr>
          <w:p w14:paraId="6B6AB8B8"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Subsidios a programas para jóvenes</w:t>
            </w:r>
          </w:p>
        </w:tc>
        <w:tc>
          <w:tcPr>
            <w:tcW w:w="1277" w:type="pct"/>
            <w:tcBorders>
              <w:top w:val="nil"/>
              <w:left w:val="nil"/>
              <w:bottom w:val="nil"/>
              <w:right w:val="nil"/>
            </w:tcBorders>
            <w:shd w:val="clear" w:color="auto" w:fill="auto"/>
            <w:noWrap/>
            <w:vAlign w:val="center"/>
            <w:hideMark/>
          </w:tcPr>
          <w:p w14:paraId="783D51DE"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Elaborar una matriz comparativa para verificar la consistencia entre las categorías de apoyo señaladas en las Políticas de Operación 2018 y el PAT 2018.</w:t>
            </w:r>
          </w:p>
        </w:tc>
        <w:tc>
          <w:tcPr>
            <w:tcW w:w="843" w:type="pct"/>
            <w:tcBorders>
              <w:top w:val="nil"/>
              <w:left w:val="nil"/>
              <w:bottom w:val="nil"/>
              <w:right w:val="nil"/>
            </w:tcBorders>
            <w:shd w:val="clear" w:color="auto" w:fill="auto"/>
            <w:noWrap/>
            <w:vAlign w:val="center"/>
            <w:hideMark/>
          </w:tcPr>
          <w:p w14:paraId="637AA88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73A159F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1005B87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2D9B85A6" w14:textId="77777777" w:rsidTr="005A7CAD">
        <w:trPr>
          <w:trHeight w:val="300"/>
        </w:trPr>
        <w:tc>
          <w:tcPr>
            <w:tcW w:w="297" w:type="pct"/>
            <w:tcBorders>
              <w:top w:val="nil"/>
              <w:left w:val="nil"/>
              <w:bottom w:val="nil"/>
              <w:right w:val="nil"/>
            </w:tcBorders>
            <w:shd w:val="clear" w:color="auto" w:fill="auto"/>
            <w:noWrap/>
            <w:vAlign w:val="center"/>
            <w:hideMark/>
          </w:tcPr>
          <w:p w14:paraId="1AB7F5D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20</w:t>
            </w:r>
          </w:p>
        </w:tc>
        <w:tc>
          <w:tcPr>
            <w:tcW w:w="497" w:type="pct"/>
            <w:tcBorders>
              <w:top w:val="nil"/>
              <w:left w:val="nil"/>
              <w:bottom w:val="nil"/>
              <w:right w:val="nil"/>
            </w:tcBorders>
            <w:shd w:val="clear" w:color="auto" w:fill="auto"/>
            <w:noWrap/>
            <w:vAlign w:val="center"/>
            <w:hideMark/>
          </w:tcPr>
          <w:p w14:paraId="1E5FF69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SEDESOL</w:t>
            </w:r>
          </w:p>
        </w:tc>
        <w:tc>
          <w:tcPr>
            <w:tcW w:w="356" w:type="pct"/>
            <w:tcBorders>
              <w:top w:val="nil"/>
              <w:left w:val="nil"/>
              <w:bottom w:val="nil"/>
              <w:right w:val="nil"/>
            </w:tcBorders>
            <w:shd w:val="clear" w:color="auto" w:fill="auto"/>
            <w:noWrap/>
            <w:vAlign w:val="center"/>
            <w:hideMark/>
          </w:tcPr>
          <w:p w14:paraId="628356B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U008</w:t>
            </w:r>
          </w:p>
        </w:tc>
        <w:tc>
          <w:tcPr>
            <w:tcW w:w="924" w:type="pct"/>
            <w:tcBorders>
              <w:top w:val="nil"/>
              <w:left w:val="nil"/>
              <w:bottom w:val="nil"/>
              <w:right w:val="nil"/>
            </w:tcBorders>
            <w:shd w:val="clear" w:color="auto" w:fill="auto"/>
            <w:noWrap/>
            <w:vAlign w:val="center"/>
            <w:hideMark/>
          </w:tcPr>
          <w:p w14:paraId="63A1B6B7"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Subsidios a programas para jóvenes</w:t>
            </w:r>
          </w:p>
        </w:tc>
        <w:tc>
          <w:tcPr>
            <w:tcW w:w="1277" w:type="pct"/>
            <w:tcBorders>
              <w:top w:val="nil"/>
              <w:left w:val="nil"/>
              <w:bottom w:val="nil"/>
              <w:right w:val="nil"/>
            </w:tcBorders>
            <w:shd w:val="clear" w:color="auto" w:fill="auto"/>
            <w:noWrap/>
            <w:vAlign w:val="center"/>
            <w:hideMark/>
          </w:tcPr>
          <w:p w14:paraId="4DEB7255"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Elaborar una matriz comparativa para verificar la consistencia, para cada una de las categorías de apoyo, entre el contenido de las Políticas de Operación y las convocatorias emitidas.</w:t>
            </w:r>
          </w:p>
        </w:tc>
        <w:tc>
          <w:tcPr>
            <w:tcW w:w="843" w:type="pct"/>
            <w:tcBorders>
              <w:top w:val="nil"/>
              <w:left w:val="nil"/>
              <w:bottom w:val="nil"/>
              <w:right w:val="nil"/>
            </w:tcBorders>
            <w:shd w:val="clear" w:color="auto" w:fill="auto"/>
            <w:noWrap/>
            <w:vAlign w:val="center"/>
            <w:hideMark/>
          </w:tcPr>
          <w:p w14:paraId="5C8DF74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4D5434C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327AD71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073641A8" w14:textId="77777777" w:rsidTr="005A7CAD">
        <w:trPr>
          <w:trHeight w:val="300"/>
        </w:trPr>
        <w:tc>
          <w:tcPr>
            <w:tcW w:w="297" w:type="pct"/>
            <w:tcBorders>
              <w:top w:val="nil"/>
              <w:left w:val="nil"/>
              <w:bottom w:val="nil"/>
              <w:right w:val="nil"/>
            </w:tcBorders>
            <w:shd w:val="clear" w:color="auto" w:fill="auto"/>
            <w:noWrap/>
            <w:vAlign w:val="center"/>
            <w:hideMark/>
          </w:tcPr>
          <w:p w14:paraId="4262EC6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20</w:t>
            </w:r>
          </w:p>
        </w:tc>
        <w:tc>
          <w:tcPr>
            <w:tcW w:w="497" w:type="pct"/>
            <w:tcBorders>
              <w:top w:val="nil"/>
              <w:left w:val="nil"/>
              <w:bottom w:val="nil"/>
              <w:right w:val="nil"/>
            </w:tcBorders>
            <w:shd w:val="clear" w:color="auto" w:fill="auto"/>
            <w:noWrap/>
            <w:vAlign w:val="center"/>
            <w:hideMark/>
          </w:tcPr>
          <w:p w14:paraId="6814D12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SEDESOL</w:t>
            </w:r>
          </w:p>
        </w:tc>
        <w:tc>
          <w:tcPr>
            <w:tcW w:w="356" w:type="pct"/>
            <w:tcBorders>
              <w:top w:val="nil"/>
              <w:left w:val="nil"/>
              <w:bottom w:val="nil"/>
              <w:right w:val="nil"/>
            </w:tcBorders>
            <w:shd w:val="clear" w:color="auto" w:fill="auto"/>
            <w:noWrap/>
            <w:vAlign w:val="center"/>
            <w:hideMark/>
          </w:tcPr>
          <w:p w14:paraId="01A806C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U008</w:t>
            </w:r>
          </w:p>
        </w:tc>
        <w:tc>
          <w:tcPr>
            <w:tcW w:w="924" w:type="pct"/>
            <w:tcBorders>
              <w:top w:val="nil"/>
              <w:left w:val="nil"/>
              <w:bottom w:val="nil"/>
              <w:right w:val="nil"/>
            </w:tcBorders>
            <w:shd w:val="clear" w:color="auto" w:fill="auto"/>
            <w:noWrap/>
            <w:vAlign w:val="center"/>
            <w:hideMark/>
          </w:tcPr>
          <w:p w14:paraId="2617E831"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Subsidios a programas para jóvenes</w:t>
            </w:r>
          </w:p>
        </w:tc>
        <w:tc>
          <w:tcPr>
            <w:tcW w:w="1277" w:type="pct"/>
            <w:tcBorders>
              <w:top w:val="nil"/>
              <w:left w:val="nil"/>
              <w:bottom w:val="nil"/>
              <w:right w:val="nil"/>
            </w:tcBorders>
            <w:shd w:val="clear" w:color="auto" w:fill="auto"/>
            <w:noWrap/>
            <w:vAlign w:val="center"/>
            <w:hideMark/>
          </w:tcPr>
          <w:p w14:paraId="7E335D9D"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Gestionar un nuevo levantamiento de la Encuesta Nacional de Juventud a fin de contar con información para la estimación, de acuerdo con su frecuencia de medición, del "Índice de satisfacción de los jóvenes con respecto a su situación económica, trabajo y estudios", que es el indicador a nivel de fin del programa U008.</w:t>
            </w:r>
          </w:p>
        </w:tc>
        <w:tc>
          <w:tcPr>
            <w:tcW w:w="843" w:type="pct"/>
            <w:tcBorders>
              <w:top w:val="nil"/>
              <w:left w:val="nil"/>
              <w:bottom w:val="nil"/>
              <w:right w:val="nil"/>
            </w:tcBorders>
            <w:shd w:val="clear" w:color="auto" w:fill="auto"/>
            <w:noWrap/>
            <w:vAlign w:val="center"/>
            <w:hideMark/>
          </w:tcPr>
          <w:p w14:paraId="139B561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4943ABB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441F7E1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30</w:t>
            </w:r>
          </w:p>
        </w:tc>
      </w:tr>
      <w:tr w:rsidR="00F77FE5" w:rsidRPr="00F77FE5" w14:paraId="17687BBF" w14:textId="77777777" w:rsidTr="005A7CAD">
        <w:trPr>
          <w:trHeight w:val="300"/>
        </w:trPr>
        <w:tc>
          <w:tcPr>
            <w:tcW w:w="297" w:type="pct"/>
            <w:tcBorders>
              <w:top w:val="nil"/>
              <w:left w:val="nil"/>
              <w:bottom w:val="nil"/>
              <w:right w:val="nil"/>
            </w:tcBorders>
            <w:shd w:val="clear" w:color="auto" w:fill="auto"/>
            <w:noWrap/>
            <w:vAlign w:val="center"/>
            <w:hideMark/>
          </w:tcPr>
          <w:p w14:paraId="47818E1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20</w:t>
            </w:r>
          </w:p>
        </w:tc>
        <w:tc>
          <w:tcPr>
            <w:tcW w:w="497" w:type="pct"/>
            <w:tcBorders>
              <w:top w:val="nil"/>
              <w:left w:val="nil"/>
              <w:bottom w:val="nil"/>
              <w:right w:val="nil"/>
            </w:tcBorders>
            <w:shd w:val="clear" w:color="auto" w:fill="auto"/>
            <w:noWrap/>
            <w:vAlign w:val="center"/>
            <w:hideMark/>
          </w:tcPr>
          <w:p w14:paraId="5033F95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SEDESOL</w:t>
            </w:r>
          </w:p>
        </w:tc>
        <w:tc>
          <w:tcPr>
            <w:tcW w:w="356" w:type="pct"/>
            <w:tcBorders>
              <w:top w:val="nil"/>
              <w:left w:val="nil"/>
              <w:bottom w:val="nil"/>
              <w:right w:val="nil"/>
            </w:tcBorders>
            <w:shd w:val="clear" w:color="auto" w:fill="auto"/>
            <w:noWrap/>
            <w:vAlign w:val="center"/>
            <w:hideMark/>
          </w:tcPr>
          <w:p w14:paraId="74F07BC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U008</w:t>
            </w:r>
          </w:p>
        </w:tc>
        <w:tc>
          <w:tcPr>
            <w:tcW w:w="924" w:type="pct"/>
            <w:tcBorders>
              <w:top w:val="nil"/>
              <w:left w:val="nil"/>
              <w:bottom w:val="nil"/>
              <w:right w:val="nil"/>
            </w:tcBorders>
            <w:shd w:val="clear" w:color="auto" w:fill="auto"/>
            <w:noWrap/>
            <w:vAlign w:val="center"/>
            <w:hideMark/>
          </w:tcPr>
          <w:p w14:paraId="48C97BF3"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Subsidios a programas para jóvenes</w:t>
            </w:r>
          </w:p>
        </w:tc>
        <w:tc>
          <w:tcPr>
            <w:tcW w:w="1277" w:type="pct"/>
            <w:tcBorders>
              <w:top w:val="nil"/>
              <w:left w:val="nil"/>
              <w:bottom w:val="nil"/>
              <w:right w:val="nil"/>
            </w:tcBorders>
            <w:shd w:val="clear" w:color="auto" w:fill="auto"/>
            <w:noWrap/>
            <w:vAlign w:val="center"/>
            <w:hideMark/>
          </w:tcPr>
          <w:p w14:paraId="74A50073"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Implementar y actualizar de manera periódica, un Registro Nacional de Instancias Estatales y Municipales de Apoyo a la Juventud.</w:t>
            </w:r>
          </w:p>
        </w:tc>
        <w:tc>
          <w:tcPr>
            <w:tcW w:w="843" w:type="pct"/>
            <w:tcBorders>
              <w:top w:val="nil"/>
              <w:left w:val="nil"/>
              <w:bottom w:val="nil"/>
              <w:right w:val="nil"/>
            </w:tcBorders>
            <w:shd w:val="clear" w:color="auto" w:fill="auto"/>
            <w:noWrap/>
            <w:vAlign w:val="center"/>
            <w:hideMark/>
          </w:tcPr>
          <w:p w14:paraId="790F408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592C35F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101F2F5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55094C3E" w14:textId="77777777" w:rsidTr="005A7CAD">
        <w:trPr>
          <w:trHeight w:val="300"/>
        </w:trPr>
        <w:tc>
          <w:tcPr>
            <w:tcW w:w="297" w:type="pct"/>
            <w:tcBorders>
              <w:top w:val="nil"/>
              <w:left w:val="nil"/>
              <w:bottom w:val="nil"/>
              <w:right w:val="nil"/>
            </w:tcBorders>
            <w:shd w:val="clear" w:color="auto" w:fill="auto"/>
            <w:noWrap/>
            <w:vAlign w:val="center"/>
            <w:hideMark/>
          </w:tcPr>
          <w:p w14:paraId="1E5FFF0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20</w:t>
            </w:r>
          </w:p>
        </w:tc>
        <w:tc>
          <w:tcPr>
            <w:tcW w:w="497" w:type="pct"/>
            <w:tcBorders>
              <w:top w:val="nil"/>
              <w:left w:val="nil"/>
              <w:bottom w:val="nil"/>
              <w:right w:val="nil"/>
            </w:tcBorders>
            <w:shd w:val="clear" w:color="auto" w:fill="auto"/>
            <w:noWrap/>
            <w:vAlign w:val="center"/>
            <w:hideMark/>
          </w:tcPr>
          <w:p w14:paraId="63C711D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SEDESOL</w:t>
            </w:r>
          </w:p>
        </w:tc>
        <w:tc>
          <w:tcPr>
            <w:tcW w:w="356" w:type="pct"/>
            <w:tcBorders>
              <w:top w:val="nil"/>
              <w:left w:val="nil"/>
              <w:bottom w:val="nil"/>
              <w:right w:val="nil"/>
            </w:tcBorders>
            <w:shd w:val="clear" w:color="auto" w:fill="auto"/>
            <w:noWrap/>
            <w:vAlign w:val="center"/>
            <w:hideMark/>
          </w:tcPr>
          <w:p w14:paraId="6705748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U008</w:t>
            </w:r>
          </w:p>
        </w:tc>
        <w:tc>
          <w:tcPr>
            <w:tcW w:w="924" w:type="pct"/>
            <w:tcBorders>
              <w:top w:val="nil"/>
              <w:left w:val="nil"/>
              <w:bottom w:val="nil"/>
              <w:right w:val="nil"/>
            </w:tcBorders>
            <w:shd w:val="clear" w:color="auto" w:fill="auto"/>
            <w:noWrap/>
            <w:vAlign w:val="center"/>
            <w:hideMark/>
          </w:tcPr>
          <w:p w14:paraId="57550536"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Subsidios a programas para jóvenes</w:t>
            </w:r>
          </w:p>
        </w:tc>
        <w:tc>
          <w:tcPr>
            <w:tcW w:w="1277" w:type="pct"/>
            <w:tcBorders>
              <w:top w:val="nil"/>
              <w:left w:val="nil"/>
              <w:bottom w:val="nil"/>
              <w:right w:val="nil"/>
            </w:tcBorders>
            <w:shd w:val="clear" w:color="auto" w:fill="auto"/>
            <w:noWrap/>
            <w:vAlign w:val="center"/>
            <w:hideMark/>
          </w:tcPr>
          <w:p w14:paraId="73B5C719"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Incluir como anexos en las Políticas de Operación y en las convocatorias del programa U008 Subsidios a Programas para Jóvenes, los formatos que deberán emplear los interesados para postular a las diferentes categorías de apoyo.</w:t>
            </w:r>
          </w:p>
        </w:tc>
        <w:tc>
          <w:tcPr>
            <w:tcW w:w="843" w:type="pct"/>
            <w:tcBorders>
              <w:top w:val="nil"/>
              <w:left w:val="nil"/>
              <w:bottom w:val="nil"/>
              <w:right w:val="nil"/>
            </w:tcBorders>
            <w:shd w:val="clear" w:color="auto" w:fill="auto"/>
            <w:noWrap/>
            <w:vAlign w:val="center"/>
            <w:hideMark/>
          </w:tcPr>
          <w:p w14:paraId="1FA40C2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737340F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278FDC7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w:t>
            </w:r>
          </w:p>
        </w:tc>
      </w:tr>
      <w:tr w:rsidR="00F77FE5" w:rsidRPr="00F77FE5" w14:paraId="05EB7856" w14:textId="77777777" w:rsidTr="005A7CAD">
        <w:trPr>
          <w:trHeight w:val="300"/>
        </w:trPr>
        <w:tc>
          <w:tcPr>
            <w:tcW w:w="297" w:type="pct"/>
            <w:tcBorders>
              <w:top w:val="nil"/>
              <w:left w:val="nil"/>
              <w:bottom w:val="nil"/>
              <w:right w:val="nil"/>
            </w:tcBorders>
            <w:shd w:val="clear" w:color="auto" w:fill="auto"/>
            <w:noWrap/>
            <w:vAlign w:val="center"/>
            <w:hideMark/>
          </w:tcPr>
          <w:p w14:paraId="60BEDB4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20</w:t>
            </w:r>
          </w:p>
        </w:tc>
        <w:tc>
          <w:tcPr>
            <w:tcW w:w="497" w:type="pct"/>
            <w:tcBorders>
              <w:top w:val="nil"/>
              <w:left w:val="nil"/>
              <w:bottom w:val="nil"/>
              <w:right w:val="nil"/>
            </w:tcBorders>
            <w:shd w:val="clear" w:color="auto" w:fill="auto"/>
            <w:noWrap/>
            <w:vAlign w:val="center"/>
            <w:hideMark/>
          </w:tcPr>
          <w:p w14:paraId="14EE730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SEDESOL</w:t>
            </w:r>
          </w:p>
        </w:tc>
        <w:tc>
          <w:tcPr>
            <w:tcW w:w="356" w:type="pct"/>
            <w:tcBorders>
              <w:top w:val="nil"/>
              <w:left w:val="nil"/>
              <w:bottom w:val="nil"/>
              <w:right w:val="nil"/>
            </w:tcBorders>
            <w:shd w:val="clear" w:color="auto" w:fill="auto"/>
            <w:noWrap/>
            <w:vAlign w:val="center"/>
            <w:hideMark/>
          </w:tcPr>
          <w:p w14:paraId="1ABFBDA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U008</w:t>
            </w:r>
          </w:p>
        </w:tc>
        <w:tc>
          <w:tcPr>
            <w:tcW w:w="924" w:type="pct"/>
            <w:tcBorders>
              <w:top w:val="nil"/>
              <w:left w:val="nil"/>
              <w:bottom w:val="nil"/>
              <w:right w:val="nil"/>
            </w:tcBorders>
            <w:shd w:val="clear" w:color="auto" w:fill="auto"/>
            <w:noWrap/>
            <w:vAlign w:val="center"/>
            <w:hideMark/>
          </w:tcPr>
          <w:p w14:paraId="48DB1E36"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Subsidios a programas para jóvenes</w:t>
            </w:r>
          </w:p>
        </w:tc>
        <w:tc>
          <w:tcPr>
            <w:tcW w:w="1277" w:type="pct"/>
            <w:tcBorders>
              <w:top w:val="nil"/>
              <w:left w:val="nil"/>
              <w:bottom w:val="nil"/>
              <w:right w:val="nil"/>
            </w:tcBorders>
            <w:shd w:val="clear" w:color="auto" w:fill="auto"/>
            <w:noWrap/>
            <w:vAlign w:val="center"/>
            <w:hideMark/>
          </w:tcPr>
          <w:p w14:paraId="1922CB19"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Mejorar la cuantificación de los gastos en operación y mantenimiento del programa U008 en su Programa Anual de Trabajo (PAT).</w:t>
            </w:r>
          </w:p>
        </w:tc>
        <w:tc>
          <w:tcPr>
            <w:tcW w:w="843" w:type="pct"/>
            <w:tcBorders>
              <w:top w:val="nil"/>
              <w:left w:val="nil"/>
              <w:bottom w:val="nil"/>
              <w:right w:val="nil"/>
            </w:tcBorders>
            <w:shd w:val="clear" w:color="auto" w:fill="auto"/>
            <w:noWrap/>
            <w:vAlign w:val="center"/>
            <w:hideMark/>
          </w:tcPr>
          <w:p w14:paraId="66D62A8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4129D8C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7D6E276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67664E6D" w14:textId="77777777" w:rsidTr="005A7CAD">
        <w:trPr>
          <w:trHeight w:val="300"/>
        </w:trPr>
        <w:tc>
          <w:tcPr>
            <w:tcW w:w="297" w:type="pct"/>
            <w:tcBorders>
              <w:top w:val="nil"/>
              <w:left w:val="nil"/>
              <w:bottom w:val="nil"/>
              <w:right w:val="nil"/>
            </w:tcBorders>
            <w:shd w:val="clear" w:color="auto" w:fill="auto"/>
            <w:noWrap/>
            <w:vAlign w:val="center"/>
            <w:hideMark/>
          </w:tcPr>
          <w:p w14:paraId="357438E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lastRenderedPageBreak/>
              <w:t>20</w:t>
            </w:r>
          </w:p>
        </w:tc>
        <w:tc>
          <w:tcPr>
            <w:tcW w:w="497" w:type="pct"/>
            <w:tcBorders>
              <w:top w:val="nil"/>
              <w:left w:val="nil"/>
              <w:bottom w:val="nil"/>
              <w:right w:val="nil"/>
            </w:tcBorders>
            <w:shd w:val="clear" w:color="auto" w:fill="auto"/>
            <w:noWrap/>
            <w:vAlign w:val="center"/>
            <w:hideMark/>
          </w:tcPr>
          <w:p w14:paraId="46B808E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SEDESOL</w:t>
            </w:r>
          </w:p>
        </w:tc>
        <w:tc>
          <w:tcPr>
            <w:tcW w:w="356" w:type="pct"/>
            <w:tcBorders>
              <w:top w:val="nil"/>
              <w:left w:val="nil"/>
              <w:bottom w:val="nil"/>
              <w:right w:val="nil"/>
            </w:tcBorders>
            <w:shd w:val="clear" w:color="auto" w:fill="auto"/>
            <w:noWrap/>
            <w:vAlign w:val="center"/>
            <w:hideMark/>
          </w:tcPr>
          <w:p w14:paraId="1D3B547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U008</w:t>
            </w:r>
          </w:p>
        </w:tc>
        <w:tc>
          <w:tcPr>
            <w:tcW w:w="924" w:type="pct"/>
            <w:tcBorders>
              <w:top w:val="nil"/>
              <w:left w:val="nil"/>
              <w:bottom w:val="nil"/>
              <w:right w:val="nil"/>
            </w:tcBorders>
            <w:shd w:val="clear" w:color="auto" w:fill="auto"/>
            <w:noWrap/>
            <w:vAlign w:val="center"/>
            <w:hideMark/>
          </w:tcPr>
          <w:p w14:paraId="082480C6"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Subsidios a programas para jóvenes</w:t>
            </w:r>
          </w:p>
        </w:tc>
        <w:tc>
          <w:tcPr>
            <w:tcW w:w="1277" w:type="pct"/>
            <w:tcBorders>
              <w:top w:val="nil"/>
              <w:left w:val="nil"/>
              <w:bottom w:val="nil"/>
              <w:right w:val="nil"/>
            </w:tcBorders>
            <w:shd w:val="clear" w:color="auto" w:fill="auto"/>
            <w:noWrap/>
            <w:vAlign w:val="center"/>
            <w:hideMark/>
          </w:tcPr>
          <w:p w14:paraId="7B6CE519"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Publicar en el sitio web del IMJUVE para cada una de las convocatorias de las categorías de apoyo una lista de preguntas frecuentes que permitan resolver las dudas más comunes que podrían tener los interesados en postular.</w:t>
            </w:r>
          </w:p>
        </w:tc>
        <w:tc>
          <w:tcPr>
            <w:tcW w:w="843" w:type="pct"/>
            <w:tcBorders>
              <w:top w:val="nil"/>
              <w:left w:val="nil"/>
              <w:bottom w:val="nil"/>
              <w:right w:val="nil"/>
            </w:tcBorders>
            <w:shd w:val="clear" w:color="auto" w:fill="auto"/>
            <w:noWrap/>
            <w:vAlign w:val="center"/>
            <w:hideMark/>
          </w:tcPr>
          <w:p w14:paraId="1B9DE0A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12BF2D6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4B3C67C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39AEA451" w14:textId="77777777" w:rsidTr="005A7CAD">
        <w:trPr>
          <w:trHeight w:val="300"/>
        </w:trPr>
        <w:tc>
          <w:tcPr>
            <w:tcW w:w="297" w:type="pct"/>
            <w:tcBorders>
              <w:top w:val="nil"/>
              <w:left w:val="nil"/>
              <w:bottom w:val="nil"/>
              <w:right w:val="nil"/>
            </w:tcBorders>
            <w:shd w:val="clear" w:color="auto" w:fill="auto"/>
            <w:noWrap/>
            <w:vAlign w:val="center"/>
            <w:hideMark/>
          </w:tcPr>
          <w:p w14:paraId="5ADBA59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20</w:t>
            </w:r>
          </w:p>
        </w:tc>
        <w:tc>
          <w:tcPr>
            <w:tcW w:w="497" w:type="pct"/>
            <w:tcBorders>
              <w:top w:val="nil"/>
              <w:left w:val="nil"/>
              <w:bottom w:val="nil"/>
              <w:right w:val="nil"/>
            </w:tcBorders>
            <w:shd w:val="clear" w:color="auto" w:fill="auto"/>
            <w:noWrap/>
            <w:vAlign w:val="center"/>
            <w:hideMark/>
          </w:tcPr>
          <w:p w14:paraId="376C13E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SEDESOL</w:t>
            </w:r>
          </w:p>
        </w:tc>
        <w:tc>
          <w:tcPr>
            <w:tcW w:w="356" w:type="pct"/>
            <w:tcBorders>
              <w:top w:val="nil"/>
              <w:left w:val="nil"/>
              <w:bottom w:val="nil"/>
              <w:right w:val="nil"/>
            </w:tcBorders>
            <w:shd w:val="clear" w:color="auto" w:fill="auto"/>
            <w:noWrap/>
            <w:vAlign w:val="center"/>
            <w:hideMark/>
          </w:tcPr>
          <w:p w14:paraId="484374E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U008</w:t>
            </w:r>
          </w:p>
        </w:tc>
        <w:tc>
          <w:tcPr>
            <w:tcW w:w="924" w:type="pct"/>
            <w:tcBorders>
              <w:top w:val="nil"/>
              <w:left w:val="nil"/>
              <w:bottom w:val="nil"/>
              <w:right w:val="nil"/>
            </w:tcBorders>
            <w:shd w:val="clear" w:color="auto" w:fill="auto"/>
            <w:noWrap/>
            <w:vAlign w:val="center"/>
            <w:hideMark/>
          </w:tcPr>
          <w:p w14:paraId="5EE8BDC6"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Subsidios a programas para jóvenes</w:t>
            </w:r>
          </w:p>
        </w:tc>
        <w:tc>
          <w:tcPr>
            <w:tcW w:w="1277" w:type="pct"/>
            <w:tcBorders>
              <w:top w:val="nil"/>
              <w:left w:val="nil"/>
              <w:bottom w:val="nil"/>
              <w:right w:val="nil"/>
            </w:tcBorders>
            <w:shd w:val="clear" w:color="auto" w:fill="auto"/>
            <w:noWrap/>
            <w:vAlign w:val="center"/>
            <w:hideMark/>
          </w:tcPr>
          <w:p w14:paraId="21C53870"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 xml:space="preserve">Publicar en el sitio web del IMJUVE, para cada una de las categorías de apoyo, los siguientes elementos: </w:t>
            </w:r>
            <w:r w:rsidRPr="00F77FE5">
              <w:rPr>
                <w:rFonts w:eastAsia="Times New Roman"/>
                <w:sz w:val="12"/>
                <w:szCs w:val="20"/>
                <w:lang w:val="es-ES" w:eastAsia="en-US"/>
              </w:rPr>
              <w:br/>
              <w:t xml:space="preserve">1.- Criterios de elegibilidad y/o </w:t>
            </w:r>
            <w:proofErr w:type="spellStart"/>
            <w:r w:rsidRPr="00F77FE5">
              <w:rPr>
                <w:rFonts w:eastAsia="Times New Roman"/>
                <w:sz w:val="12"/>
                <w:szCs w:val="20"/>
                <w:lang w:val="es-ES" w:eastAsia="en-US"/>
              </w:rPr>
              <w:t>dictaminación</w:t>
            </w:r>
            <w:proofErr w:type="spellEnd"/>
            <w:r w:rsidRPr="00F77FE5">
              <w:rPr>
                <w:rFonts w:eastAsia="Times New Roman"/>
                <w:sz w:val="12"/>
                <w:szCs w:val="20"/>
                <w:lang w:val="es-ES" w:eastAsia="en-US"/>
              </w:rPr>
              <w:t xml:space="preserve">; </w:t>
            </w:r>
            <w:r w:rsidRPr="00F77FE5">
              <w:rPr>
                <w:rFonts w:eastAsia="Times New Roman"/>
                <w:sz w:val="12"/>
                <w:szCs w:val="20"/>
                <w:lang w:val="es-ES" w:eastAsia="en-US"/>
              </w:rPr>
              <w:br/>
              <w:t>2.- Constitución del Comité Dictaminador, y</w:t>
            </w:r>
          </w:p>
          <w:p w14:paraId="2612DC8F"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3.- Resultados.</w:t>
            </w:r>
          </w:p>
        </w:tc>
        <w:tc>
          <w:tcPr>
            <w:tcW w:w="843" w:type="pct"/>
            <w:tcBorders>
              <w:top w:val="nil"/>
              <w:left w:val="nil"/>
              <w:bottom w:val="nil"/>
              <w:right w:val="nil"/>
            </w:tcBorders>
            <w:shd w:val="clear" w:color="auto" w:fill="auto"/>
            <w:noWrap/>
            <w:vAlign w:val="center"/>
            <w:hideMark/>
          </w:tcPr>
          <w:p w14:paraId="3CA4127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7D64779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124D472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01A876ED" w14:textId="77777777" w:rsidTr="005A7CAD">
        <w:trPr>
          <w:trHeight w:val="300"/>
        </w:trPr>
        <w:tc>
          <w:tcPr>
            <w:tcW w:w="297" w:type="pct"/>
            <w:tcBorders>
              <w:top w:val="nil"/>
              <w:left w:val="nil"/>
              <w:bottom w:val="nil"/>
              <w:right w:val="nil"/>
            </w:tcBorders>
            <w:shd w:val="clear" w:color="auto" w:fill="auto"/>
            <w:noWrap/>
            <w:vAlign w:val="center"/>
            <w:hideMark/>
          </w:tcPr>
          <w:p w14:paraId="7BE27D6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20</w:t>
            </w:r>
          </w:p>
        </w:tc>
        <w:tc>
          <w:tcPr>
            <w:tcW w:w="497" w:type="pct"/>
            <w:tcBorders>
              <w:top w:val="nil"/>
              <w:left w:val="nil"/>
              <w:bottom w:val="nil"/>
              <w:right w:val="nil"/>
            </w:tcBorders>
            <w:shd w:val="clear" w:color="auto" w:fill="auto"/>
            <w:noWrap/>
            <w:vAlign w:val="center"/>
            <w:hideMark/>
          </w:tcPr>
          <w:p w14:paraId="3AF1F1A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SEDESOL</w:t>
            </w:r>
          </w:p>
        </w:tc>
        <w:tc>
          <w:tcPr>
            <w:tcW w:w="356" w:type="pct"/>
            <w:tcBorders>
              <w:top w:val="nil"/>
              <w:left w:val="nil"/>
              <w:bottom w:val="nil"/>
              <w:right w:val="nil"/>
            </w:tcBorders>
            <w:shd w:val="clear" w:color="auto" w:fill="auto"/>
            <w:noWrap/>
            <w:vAlign w:val="center"/>
            <w:hideMark/>
          </w:tcPr>
          <w:p w14:paraId="6ED0325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U008</w:t>
            </w:r>
          </w:p>
        </w:tc>
        <w:tc>
          <w:tcPr>
            <w:tcW w:w="924" w:type="pct"/>
            <w:tcBorders>
              <w:top w:val="nil"/>
              <w:left w:val="nil"/>
              <w:bottom w:val="nil"/>
              <w:right w:val="nil"/>
            </w:tcBorders>
            <w:shd w:val="clear" w:color="auto" w:fill="auto"/>
            <w:noWrap/>
            <w:vAlign w:val="center"/>
            <w:hideMark/>
          </w:tcPr>
          <w:p w14:paraId="44270C11"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Subsidios a programas para jóvenes</w:t>
            </w:r>
          </w:p>
        </w:tc>
        <w:tc>
          <w:tcPr>
            <w:tcW w:w="1277" w:type="pct"/>
            <w:tcBorders>
              <w:top w:val="nil"/>
              <w:left w:val="nil"/>
              <w:bottom w:val="nil"/>
              <w:right w:val="nil"/>
            </w:tcBorders>
            <w:shd w:val="clear" w:color="auto" w:fill="auto"/>
            <w:noWrap/>
            <w:vAlign w:val="center"/>
            <w:hideMark/>
          </w:tcPr>
          <w:p w14:paraId="2906BC52"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Realizar las evaluaciones consideradas en la agenda de evaluación del programa para el corto plazo.</w:t>
            </w:r>
          </w:p>
        </w:tc>
        <w:tc>
          <w:tcPr>
            <w:tcW w:w="843" w:type="pct"/>
            <w:tcBorders>
              <w:top w:val="nil"/>
              <w:left w:val="nil"/>
              <w:bottom w:val="nil"/>
              <w:right w:val="nil"/>
            </w:tcBorders>
            <w:shd w:val="clear" w:color="auto" w:fill="auto"/>
            <w:noWrap/>
            <w:vAlign w:val="center"/>
            <w:hideMark/>
          </w:tcPr>
          <w:p w14:paraId="02736EF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Institucional</w:t>
            </w:r>
          </w:p>
        </w:tc>
        <w:tc>
          <w:tcPr>
            <w:tcW w:w="366" w:type="pct"/>
            <w:tcBorders>
              <w:top w:val="nil"/>
              <w:left w:val="nil"/>
              <w:bottom w:val="nil"/>
              <w:right w:val="nil"/>
            </w:tcBorders>
            <w:shd w:val="clear" w:color="auto" w:fill="auto"/>
            <w:noWrap/>
            <w:vAlign w:val="center"/>
            <w:hideMark/>
          </w:tcPr>
          <w:p w14:paraId="2174665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Alta</w:t>
            </w:r>
          </w:p>
        </w:tc>
        <w:tc>
          <w:tcPr>
            <w:tcW w:w="440" w:type="pct"/>
            <w:tcBorders>
              <w:top w:val="nil"/>
              <w:left w:val="nil"/>
              <w:bottom w:val="nil"/>
              <w:right w:val="nil"/>
            </w:tcBorders>
            <w:shd w:val="clear" w:color="auto" w:fill="auto"/>
            <w:noWrap/>
            <w:vAlign w:val="center"/>
            <w:hideMark/>
          </w:tcPr>
          <w:p w14:paraId="0986564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30</w:t>
            </w:r>
          </w:p>
        </w:tc>
      </w:tr>
      <w:tr w:rsidR="00F77FE5" w:rsidRPr="00F77FE5" w14:paraId="25738A76" w14:textId="77777777" w:rsidTr="005A7CAD">
        <w:trPr>
          <w:trHeight w:val="300"/>
        </w:trPr>
        <w:tc>
          <w:tcPr>
            <w:tcW w:w="297" w:type="pct"/>
            <w:tcBorders>
              <w:top w:val="nil"/>
              <w:left w:val="nil"/>
              <w:bottom w:val="nil"/>
              <w:right w:val="nil"/>
            </w:tcBorders>
            <w:shd w:val="clear" w:color="auto" w:fill="auto"/>
            <w:noWrap/>
            <w:vAlign w:val="center"/>
            <w:hideMark/>
          </w:tcPr>
          <w:p w14:paraId="36E71E1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21</w:t>
            </w:r>
          </w:p>
        </w:tc>
        <w:tc>
          <w:tcPr>
            <w:tcW w:w="497" w:type="pct"/>
            <w:tcBorders>
              <w:top w:val="nil"/>
              <w:left w:val="nil"/>
              <w:bottom w:val="nil"/>
              <w:right w:val="nil"/>
            </w:tcBorders>
            <w:shd w:val="clear" w:color="auto" w:fill="auto"/>
            <w:noWrap/>
            <w:vAlign w:val="center"/>
            <w:hideMark/>
          </w:tcPr>
          <w:p w14:paraId="5B7B2B5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SECTUR</w:t>
            </w:r>
          </w:p>
        </w:tc>
        <w:tc>
          <w:tcPr>
            <w:tcW w:w="356" w:type="pct"/>
            <w:tcBorders>
              <w:top w:val="nil"/>
              <w:left w:val="nil"/>
              <w:bottom w:val="nil"/>
              <w:right w:val="nil"/>
            </w:tcBorders>
            <w:shd w:val="clear" w:color="auto" w:fill="auto"/>
            <w:noWrap/>
            <w:vAlign w:val="center"/>
            <w:hideMark/>
          </w:tcPr>
          <w:p w14:paraId="1F3A374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S248</w:t>
            </w:r>
          </w:p>
        </w:tc>
        <w:tc>
          <w:tcPr>
            <w:tcW w:w="924" w:type="pct"/>
            <w:tcBorders>
              <w:top w:val="nil"/>
              <w:left w:val="nil"/>
              <w:bottom w:val="nil"/>
              <w:right w:val="nil"/>
            </w:tcBorders>
            <w:shd w:val="clear" w:color="auto" w:fill="auto"/>
            <w:noWrap/>
            <w:vAlign w:val="center"/>
            <w:hideMark/>
          </w:tcPr>
          <w:p w14:paraId="176802CD"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Desarrollo Regional Turístico Sustentable y Pueblos Mágicos</w:t>
            </w:r>
          </w:p>
        </w:tc>
        <w:tc>
          <w:tcPr>
            <w:tcW w:w="1277" w:type="pct"/>
            <w:tcBorders>
              <w:top w:val="nil"/>
              <w:left w:val="nil"/>
              <w:bottom w:val="nil"/>
              <w:right w:val="nil"/>
            </w:tcBorders>
            <w:shd w:val="clear" w:color="auto" w:fill="auto"/>
            <w:noWrap/>
            <w:vAlign w:val="center"/>
            <w:hideMark/>
          </w:tcPr>
          <w:p w14:paraId="0C40420D"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Actualización y mejora del diagnóstico del programa presupuestario S248.</w:t>
            </w:r>
          </w:p>
        </w:tc>
        <w:tc>
          <w:tcPr>
            <w:tcW w:w="843" w:type="pct"/>
            <w:tcBorders>
              <w:top w:val="nil"/>
              <w:left w:val="nil"/>
              <w:bottom w:val="nil"/>
              <w:right w:val="nil"/>
            </w:tcBorders>
            <w:shd w:val="clear" w:color="auto" w:fill="auto"/>
            <w:noWrap/>
            <w:vAlign w:val="center"/>
            <w:hideMark/>
          </w:tcPr>
          <w:p w14:paraId="18329C7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Institucional</w:t>
            </w:r>
          </w:p>
        </w:tc>
        <w:tc>
          <w:tcPr>
            <w:tcW w:w="366" w:type="pct"/>
            <w:tcBorders>
              <w:top w:val="nil"/>
              <w:left w:val="nil"/>
              <w:bottom w:val="nil"/>
              <w:right w:val="nil"/>
            </w:tcBorders>
            <w:shd w:val="clear" w:color="auto" w:fill="auto"/>
            <w:noWrap/>
            <w:vAlign w:val="center"/>
            <w:hideMark/>
          </w:tcPr>
          <w:p w14:paraId="68A8DCA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31264D6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0C42F71D" w14:textId="77777777" w:rsidTr="005A7CAD">
        <w:trPr>
          <w:trHeight w:val="300"/>
        </w:trPr>
        <w:tc>
          <w:tcPr>
            <w:tcW w:w="297" w:type="pct"/>
            <w:tcBorders>
              <w:top w:val="nil"/>
              <w:left w:val="nil"/>
              <w:bottom w:val="nil"/>
              <w:right w:val="nil"/>
            </w:tcBorders>
            <w:shd w:val="clear" w:color="auto" w:fill="auto"/>
            <w:noWrap/>
            <w:vAlign w:val="center"/>
            <w:hideMark/>
          </w:tcPr>
          <w:p w14:paraId="5C938CE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21</w:t>
            </w:r>
          </w:p>
        </w:tc>
        <w:tc>
          <w:tcPr>
            <w:tcW w:w="497" w:type="pct"/>
            <w:tcBorders>
              <w:top w:val="nil"/>
              <w:left w:val="nil"/>
              <w:bottom w:val="nil"/>
              <w:right w:val="nil"/>
            </w:tcBorders>
            <w:shd w:val="clear" w:color="auto" w:fill="auto"/>
            <w:noWrap/>
            <w:vAlign w:val="center"/>
            <w:hideMark/>
          </w:tcPr>
          <w:p w14:paraId="2390A6E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SECTUR</w:t>
            </w:r>
          </w:p>
        </w:tc>
        <w:tc>
          <w:tcPr>
            <w:tcW w:w="356" w:type="pct"/>
            <w:tcBorders>
              <w:top w:val="nil"/>
              <w:left w:val="nil"/>
              <w:bottom w:val="nil"/>
              <w:right w:val="nil"/>
            </w:tcBorders>
            <w:shd w:val="clear" w:color="auto" w:fill="auto"/>
            <w:noWrap/>
            <w:vAlign w:val="center"/>
            <w:hideMark/>
          </w:tcPr>
          <w:p w14:paraId="7F5F958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S248</w:t>
            </w:r>
          </w:p>
        </w:tc>
        <w:tc>
          <w:tcPr>
            <w:tcW w:w="924" w:type="pct"/>
            <w:tcBorders>
              <w:top w:val="nil"/>
              <w:left w:val="nil"/>
              <w:bottom w:val="nil"/>
              <w:right w:val="nil"/>
            </w:tcBorders>
            <w:shd w:val="clear" w:color="auto" w:fill="auto"/>
            <w:noWrap/>
            <w:vAlign w:val="center"/>
            <w:hideMark/>
          </w:tcPr>
          <w:p w14:paraId="10F74870"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Desarrollo Regional Turístico Sustentable y Pueblos Mágicos</w:t>
            </w:r>
          </w:p>
        </w:tc>
        <w:tc>
          <w:tcPr>
            <w:tcW w:w="1277" w:type="pct"/>
            <w:tcBorders>
              <w:top w:val="nil"/>
              <w:left w:val="nil"/>
              <w:bottom w:val="nil"/>
              <w:right w:val="nil"/>
            </w:tcBorders>
            <w:shd w:val="clear" w:color="auto" w:fill="auto"/>
            <w:noWrap/>
            <w:vAlign w:val="center"/>
            <w:hideMark/>
          </w:tcPr>
          <w:p w14:paraId="79A2AAC1"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Bases de Datos</w:t>
            </w:r>
            <w:r w:rsidRPr="00F77FE5">
              <w:rPr>
                <w:rFonts w:eastAsia="Times New Roman"/>
                <w:sz w:val="12"/>
                <w:szCs w:val="20"/>
                <w:lang w:val="es-ES" w:eastAsia="en-US"/>
              </w:rPr>
              <w:br/>
              <w:t xml:space="preserve">[Contar con una base de datos actualizada con la información que se requisita en la solicitud de apoyo y que operacionalmente es funcional]. </w:t>
            </w:r>
            <w:r w:rsidRPr="00F77FE5">
              <w:rPr>
                <w:rFonts w:eastAsia="Times New Roman"/>
                <w:sz w:val="12"/>
                <w:szCs w:val="20"/>
                <w:vertAlign w:val="superscript"/>
                <w:lang w:val="es-ES" w:eastAsia="en-US"/>
              </w:rPr>
              <w:t>A_/</w:t>
            </w:r>
          </w:p>
        </w:tc>
        <w:tc>
          <w:tcPr>
            <w:tcW w:w="843" w:type="pct"/>
            <w:tcBorders>
              <w:top w:val="nil"/>
              <w:left w:val="nil"/>
              <w:bottom w:val="nil"/>
              <w:right w:val="nil"/>
            </w:tcBorders>
            <w:shd w:val="clear" w:color="auto" w:fill="auto"/>
            <w:noWrap/>
            <w:vAlign w:val="center"/>
            <w:hideMark/>
          </w:tcPr>
          <w:p w14:paraId="707DA58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Institucional</w:t>
            </w:r>
          </w:p>
        </w:tc>
        <w:tc>
          <w:tcPr>
            <w:tcW w:w="366" w:type="pct"/>
            <w:tcBorders>
              <w:top w:val="nil"/>
              <w:left w:val="nil"/>
              <w:bottom w:val="nil"/>
              <w:right w:val="nil"/>
            </w:tcBorders>
            <w:shd w:val="clear" w:color="auto" w:fill="auto"/>
            <w:noWrap/>
            <w:vAlign w:val="center"/>
            <w:hideMark/>
          </w:tcPr>
          <w:p w14:paraId="1F44DA6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2F7A921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90</w:t>
            </w:r>
          </w:p>
        </w:tc>
      </w:tr>
      <w:tr w:rsidR="00F77FE5" w:rsidRPr="00F77FE5" w14:paraId="5D4C24B6" w14:textId="77777777" w:rsidTr="005A7CAD">
        <w:trPr>
          <w:trHeight w:val="300"/>
        </w:trPr>
        <w:tc>
          <w:tcPr>
            <w:tcW w:w="297" w:type="pct"/>
            <w:tcBorders>
              <w:top w:val="nil"/>
              <w:left w:val="nil"/>
              <w:bottom w:val="nil"/>
              <w:right w:val="nil"/>
            </w:tcBorders>
            <w:shd w:val="clear" w:color="auto" w:fill="auto"/>
            <w:noWrap/>
            <w:vAlign w:val="center"/>
            <w:hideMark/>
          </w:tcPr>
          <w:p w14:paraId="000ED1F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21</w:t>
            </w:r>
          </w:p>
        </w:tc>
        <w:tc>
          <w:tcPr>
            <w:tcW w:w="497" w:type="pct"/>
            <w:tcBorders>
              <w:top w:val="nil"/>
              <w:left w:val="nil"/>
              <w:bottom w:val="nil"/>
              <w:right w:val="nil"/>
            </w:tcBorders>
            <w:shd w:val="clear" w:color="auto" w:fill="auto"/>
            <w:noWrap/>
            <w:vAlign w:val="center"/>
            <w:hideMark/>
          </w:tcPr>
          <w:p w14:paraId="53993CE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SECTUR</w:t>
            </w:r>
          </w:p>
        </w:tc>
        <w:tc>
          <w:tcPr>
            <w:tcW w:w="356" w:type="pct"/>
            <w:tcBorders>
              <w:top w:val="nil"/>
              <w:left w:val="nil"/>
              <w:bottom w:val="nil"/>
              <w:right w:val="nil"/>
            </w:tcBorders>
            <w:shd w:val="clear" w:color="auto" w:fill="auto"/>
            <w:noWrap/>
            <w:vAlign w:val="center"/>
            <w:hideMark/>
          </w:tcPr>
          <w:p w14:paraId="38C1694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S248</w:t>
            </w:r>
          </w:p>
        </w:tc>
        <w:tc>
          <w:tcPr>
            <w:tcW w:w="924" w:type="pct"/>
            <w:tcBorders>
              <w:top w:val="nil"/>
              <w:left w:val="nil"/>
              <w:bottom w:val="nil"/>
              <w:right w:val="nil"/>
            </w:tcBorders>
            <w:shd w:val="clear" w:color="auto" w:fill="auto"/>
            <w:noWrap/>
            <w:vAlign w:val="center"/>
            <w:hideMark/>
          </w:tcPr>
          <w:p w14:paraId="6EF041E6"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Desarrollo Regional Turístico Sustentable y Pueblos Mágicos</w:t>
            </w:r>
          </w:p>
        </w:tc>
        <w:tc>
          <w:tcPr>
            <w:tcW w:w="1277" w:type="pct"/>
            <w:tcBorders>
              <w:top w:val="nil"/>
              <w:left w:val="nil"/>
              <w:bottom w:val="nil"/>
              <w:right w:val="nil"/>
            </w:tcBorders>
            <w:shd w:val="clear" w:color="auto" w:fill="auto"/>
            <w:noWrap/>
            <w:vAlign w:val="center"/>
            <w:hideMark/>
          </w:tcPr>
          <w:p w14:paraId="121CF97C"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Padrón de Beneficiarios del Programa Presupuestario S248.</w:t>
            </w:r>
            <w:r w:rsidRPr="00F77FE5">
              <w:rPr>
                <w:rFonts w:eastAsia="Times New Roman"/>
                <w:sz w:val="12"/>
                <w:szCs w:val="20"/>
                <w:lang w:val="es-ES" w:eastAsia="en-US"/>
              </w:rPr>
              <w:br/>
              <w:t xml:space="preserve">[Integrar un Padrón de Beneficiarios propio del Programa S248 y de acuerdo a sus características particulares, que incluya la información que se requisita en la solicitud de apoyo y que operacionalmente es funcional]. </w:t>
            </w:r>
            <w:r w:rsidRPr="00F77FE5">
              <w:rPr>
                <w:rFonts w:eastAsia="Times New Roman"/>
                <w:sz w:val="12"/>
                <w:szCs w:val="20"/>
                <w:vertAlign w:val="superscript"/>
                <w:lang w:val="es-ES" w:eastAsia="en-US"/>
              </w:rPr>
              <w:t>A_/</w:t>
            </w:r>
          </w:p>
        </w:tc>
        <w:tc>
          <w:tcPr>
            <w:tcW w:w="843" w:type="pct"/>
            <w:tcBorders>
              <w:top w:val="nil"/>
              <w:left w:val="nil"/>
              <w:bottom w:val="nil"/>
              <w:right w:val="nil"/>
            </w:tcBorders>
            <w:shd w:val="clear" w:color="auto" w:fill="auto"/>
            <w:noWrap/>
            <w:vAlign w:val="center"/>
            <w:hideMark/>
          </w:tcPr>
          <w:p w14:paraId="7C9BD74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Institucional</w:t>
            </w:r>
          </w:p>
        </w:tc>
        <w:tc>
          <w:tcPr>
            <w:tcW w:w="366" w:type="pct"/>
            <w:tcBorders>
              <w:top w:val="nil"/>
              <w:left w:val="nil"/>
              <w:bottom w:val="nil"/>
              <w:right w:val="nil"/>
            </w:tcBorders>
            <w:shd w:val="clear" w:color="auto" w:fill="auto"/>
            <w:noWrap/>
            <w:vAlign w:val="center"/>
            <w:hideMark/>
          </w:tcPr>
          <w:p w14:paraId="019F62D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5AA0939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18E99074" w14:textId="77777777" w:rsidTr="005A7CAD">
        <w:trPr>
          <w:trHeight w:val="300"/>
        </w:trPr>
        <w:tc>
          <w:tcPr>
            <w:tcW w:w="297" w:type="pct"/>
            <w:tcBorders>
              <w:top w:val="nil"/>
              <w:left w:val="nil"/>
              <w:bottom w:val="nil"/>
              <w:right w:val="nil"/>
            </w:tcBorders>
            <w:shd w:val="clear" w:color="auto" w:fill="auto"/>
            <w:noWrap/>
            <w:vAlign w:val="center"/>
            <w:hideMark/>
          </w:tcPr>
          <w:p w14:paraId="4D29394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21</w:t>
            </w:r>
          </w:p>
        </w:tc>
        <w:tc>
          <w:tcPr>
            <w:tcW w:w="497" w:type="pct"/>
            <w:tcBorders>
              <w:top w:val="nil"/>
              <w:left w:val="nil"/>
              <w:bottom w:val="nil"/>
              <w:right w:val="nil"/>
            </w:tcBorders>
            <w:shd w:val="clear" w:color="auto" w:fill="auto"/>
            <w:noWrap/>
            <w:vAlign w:val="center"/>
            <w:hideMark/>
          </w:tcPr>
          <w:p w14:paraId="4187267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SECTUR</w:t>
            </w:r>
          </w:p>
        </w:tc>
        <w:tc>
          <w:tcPr>
            <w:tcW w:w="356" w:type="pct"/>
            <w:tcBorders>
              <w:top w:val="nil"/>
              <w:left w:val="nil"/>
              <w:bottom w:val="nil"/>
              <w:right w:val="nil"/>
            </w:tcBorders>
            <w:shd w:val="clear" w:color="auto" w:fill="auto"/>
            <w:noWrap/>
            <w:vAlign w:val="center"/>
            <w:hideMark/>
          </w:tcPr>
          <w:p w14:paraId="78DC977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S248</w:t>
            </w:r>
          </w:p>
        </w:tc>
        <w:tc>
          <w:tcPr>
            <w:tcW w:w="924" w:type="pct"/>
            <w:tcBorders>
              <w:top w:val="nil"/>
              <w:left w:val="nil"/>
              <w:bottom w:val="nil"/>
              <w:right w:val="nil"/>
            </w:tcBorders>
            <w:shd w:val="clear" w:color="auto" w:fill="auto"/>
            <w:noWrap/>
            <w:vAlign w:val="center"/>
            <w:hideMark/>
          </w:tcPr>
          <w:p w14:paraId="41ABE5C8"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Desarrollo Regional Turístico Sustentable y Pueblos Mágicos</w:t>
            </w:r>
          </w:p>
        </w:tc>
        <w:tc>
          <w:tcPr>
            <w:tcW w:w="1277" w:type="pct"/>
            <w:tcBorders>
              <w:top w:val="nil"/>
              <w:left w:val="nil"/>
              <w:bottom w:val="nil"/>
              <w:right w:val="nil"/>
            </w:tcBorders>
            <w:shd w:val="clear" w:color="auto" w:fill="auto"/>
            <w:noWrap/>
            <w:vAlign w:val="center"/>
            <w:hideMark/>
          </w:tcPr>
          <w:p w14:paraId="7A9B07FD"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Reglas de Operación del Programa Presupuestario S248.</w:t>
            </w:r>
          </w:p>
        </w:tc>
        <w:tc>
          <w:tcPr>
            <w:tcW w:w="843" w:type="pct"/>
            <w:tcBorders>
              <w:top w:val="nil"/>
              <w:left w:val="nil"/>
              <w:bottom w:val="nil"/>
              <w:right w:val="nil"/>
            </w:tcBorders>
            <w:shd w:val="clear" w:color="auto" w:fill="auto"/>
            <w:noWrap/>
            <w:vAlign w:val="center"/>
            <w:hideMark/>
          </w:tcPr>
          <w:p w14:paraId="288E690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Institucional</w:t>
            </w:r>
          </w:p>
        </w:tc>
        <w:tc>
          <w:tcPr>
            <w:tcW w:w="366" w:type="pct"/>
            <w:tcBorders>
              <w:top w:val="nil"/>
              <w:left w:val="nil"/>
              <w:bottom w:val="nil"/>
              <w:right w:val="nil"/>
            </w:tcBorders>
            <w:shd w:val="clear" w:color="auto" w:fill="auto"/>
            <w:noWrap/>
            <w:vAlign w:val="center"/>
            <w:hideMark/>
          </w:tcPr>
          <w:p w14:paraId="7A60E02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718510F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100</w:t>
            </w:r>
          </w:p>
        </w:tc>
      </w:tr>
      <w:tr w:rsidR="00F77FE5" w:rsidRPr="00F77FE5" w14:paraId="5FBB3A4E" w14:textId="77777777" w:rsidTr="005A7CAD">
        <w:trPr>
          <w:trHeight w:val="300"/>
        </w:trPr>
        <w:tc>
          <w:tcPr>
            <w:tcW w:w="297" w:type="pct"/>
            <w:tcBorders>
              <w:top w:val="nil"/>
              <w:left w:val="nil"/>
              <w:bottom w:val="nil"/>
              <w:right w:val="nil"/>
            </w:tcBorders>
            <w:shd w:val="clear" w:color="auto" w:fill="auto"/>
            <w:noWrap/>
            <w:vAlign w:val="center"/>
            <w:hideMark/>
          </w:tcPr>
          <w:p w14:paraId="5357843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48</w:t>
            </w:r>
          </w:p>
        </w:tc>
        <w:tc>
          <w:tcPr>
            <w:tcW w:w="497" w:type="pct"/>
            <w:tcBorders>
              <w:top w:val="nil"/>
              <w:left w:val="nil"/>
              <w:bottom w:val="nil"/>
              <w:right w:val="nil"/>
            </w:tcBorders>
            <w:shd w:val="clear" w:color="auto" w:fill="auto"/>
            <w:noWrap/>
            <w:vAlign w:val="center"/>
            <w:hideMark/>
          </w:tcPr>
          <w:p w14:paraId="5F76FB4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CULTURA</w:t>
            </w:r>
          </w:p>
        </w:tc>
        <w:tc>
          <w:tcPr>
            <w:tcW w:w="356" w:type="pct"/>
            <w:tcBorders>
              <w:top w:val="nil"/>
              <w:left w:val="nil"/>
              <w:bottom w:val="nil"/>
              <w:right w:val="nil"/>
            </w:tcBorders>
            <w:shd w:val="clear" w:color="auto" w:fill="auto"/>
            <w:noWrap/>
            <w:vAlign w:val="center"/>
            <w:hideMark/>
          </w:tcPr>
          <w:p w14:paraId="7293BF5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S268</w:t>
            </w:r>
          </w:p>
        </w:tc>
        <w:tc>
          <w:tcPr>
            <w:tcW w:w="924" w:type="pct"/>
            <w:tcBorders>
              <w:top w:val="nil"/>
              <w:left w:val="nil"/>
              <w:bottom w:val="nil"/>
              <w:right w:val="nil"/>
            </w:tcBorders>
            <w:shd w:val="clear" w:color="auto" w:fill="auto"/>
            <w:noWrap/>
            <w:vAlign w:val="center"/>
            <w:hideMark/>
          </w:tcPr>
          <w:p w14:paraId="291F7A6B"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Apoyos a la Cultura</w:t>
            </w:r>
          </w:p>
        </w:tc>
        <w:tc>
          <w:tcPr>
            <w:tcW w:w="1277" w:type="pct"/>
            <w:tcBorders>
              <w:top w:val="nil"/>
              <w:left w:val="nil"/>
              <w:bottom w:val="nil"/>
              <w:right w:val="nil"/>
            </w:tcBorders>
            <w:shd w:val="clear" w:color="auto" w:fill="auto"/>
            <w:noWrap/>
            <w:vAlign w:val="center"/>
            <w:hideMark/>
          </w:tcPr>
          <w:p w14:paraId="37A8153E"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El programa no cuenta con un sistema informático en donde los beneficiarios soliciten el apoyo y que permita sistematizar la demanda total de apoyos y conocer las características de los solicitantes.</w:t>
            </w:r>
          </w:p>
        </w:tc>
        <w:tc>
          <w:tcPr>
            <w:tcW w:w="843" w:type="pct"/>
            <w:tcBorders>
              <w:top w:val="nil"/>
              <w:left w:val="nil"/>
              <w:bottom w:val="nil"/>
              <w:right w:val="nil"/>
            </w:tcBorders>
            <w:shd w:val="clear" w:color="auto" w:fill="auto"/>
            <w:noWrap/>
            <w:vAlign w:val="center"/>
            <w:hideMark/>
          </w:tcPr>
          <w:p w14:paraId="4643B21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2E1493B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6672DDF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w:t>
            </w:r>
          </w:p>
        </w:tc>
      </w:tr>
      <w:tr w:rsidR="00F77FE5" w:rsidRPr="00F77FE5" w14:paraId="024B2F7B" w14:textId="77777777" w:rsidTr="005A7CAD">
        <w:trPr>
          <w:trHeight w:val="300"/>
        </w:trPr>
        <w:tc>
          <w:tcPr>
            <w:tcW w:w="297" w:type="pct"/>
            <w:tcBorders>
              <w:top w:val="nil"/>
              <w:left w:val="nil"/>
              <w:bottom w:val="nil"/>
              <w:right w:val="nil"/>
            </w:tcBorders>
            <w:shd w:val="clear" w:color="auto" w:fill="auto"/>
            <w:noWrap/>
            <w:vAlign w:val="center"/>
            <w:hideMark/>
          </w:tcPr>
          <w:p w14:paraId="2CB8A4C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48</w:t>
            </w:r>
          </w:p>
        </w:tc>
        <w:tc>
          <w:tcPr>
            <w:tcW w:w="497" w:type="pct"/>
            <w:tcBorders>
              <w:top w:val="nil"/>
              <w:left w:val="nil"/>
              <w:bottom w:val="nil"/>
              <w:right w:val="nil"/>
            </w:tcBorders>
            <w:shd w:val="clear" w:color="auto" w:fill="auto"/>
            <w:noWrap/>
            <w:vAlign w:val="center"/>
            <w:hideMark/>
          </w:tcPr>
          <w:p w14:paraId="4296CD2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CULTURA</w:t>
            </w:r>
          </w:p>
        </w:tc>
        <w:tc>
          <w:tcPr>
            <w:tcW w:w="356" w:type="pct"/>
            <w:tcBorders>
              <w:top w:val="nil"/>
              <w:left w:val="nil"/>
              <w:bottom w:val="nil"/>
              <w:right w:val="nil"/>
            </w:tcBorders>
            <w:shd w:val="clear" w:color="auto" w:fill="auto"/>
            <w:noWrap/>
            <w:vAlign w:val="center"/>
            <w:hideMark/>
          </w:tcPr>
          <w:p w14:paraId="2E48F6A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S268</w:t>
            </w:r>
          </w:p>
        </w:tc>
        <w:tc>
          <w:tcPr>
            <w:tcW w:w="924" w:type="pct"/>
            <w:tcBorders>
              <w:top w:val="nil"/>
              <w:left w:val="nil"/>
              <w:bottom w:val="nil"/>
              <w:right w:val="nil"/>
            </w:tcBorders>
            <w:shd w:val="clear" w:color="auto" w:fill="auto"/>
            <w:noWrap/>
            <w:vAlign w:val="center"/>
            <w:hideMark/>
          </w:tcPr>
          <w:p w14:paraId="402A77CC"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Apoyos a la Cultura</w:t>
            </w:r>
          </w:p>
        </w:tc>
        <w:tc>
          <w:tcPr>
            <w:tcW w:w="1277" w:type="pct"/>
            <w:tcBorders>
              <w:top w:val="nil"/>
              <w:left w:val="nil"/>
              <w:bottom w:val="nil"/>
              <w:right w:val="nil"/>
            </w:tcBorders>
            <w:shd w:val="clear" w:color="auto" w:fill="auto"/>
            <w:noWrap/>
            <w:vAlign w:val="center"/>
            <w:hideMark/>
          </w:tcPr>
          <w:p w14:paraId="3842A9DF"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El programa no cuenta con una estrategia de cobertura documentada.</w:t>
            </w:r>
          </w:p>
        </w:tc>
        <w:tc>
          <w:tcPr>
            <w:tcW w:w="843" w:type="pct"/>
            <w:tcBorders>
              <w:top w:val="nil"/>
              <w:left w:val="nil"/>
              <w:bottom w:val="nil"/>
              <w:right w:val="nil"/>
            </w:tcBorders>
            <w:shd w:val="clear" w:color="auto" w:fill="auto"/>
            <w:noWrap/>
            <w:vAlign w:val="center"/>
            <w:hideMark/>
          </w:tcPr>
          <w:p w14:paraId="707BA4E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52722A6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00D18E4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w:t>
            </w:r>
          </w:p>
        </w:tc>
      </w:tr>
      <w:tr w:rsidR="00F77FE5" w:rsidRPr="00F77FE5" w14:paraId="6331D8E2" w14:textId="77777777" w:rsidTr="005A7CAD">
        <w:trPr>
          <w:trHeight w:val="300"/>
        </w:trPr>
        <w:tc>
          <w:tcPr>
            <w:tcW w:w="297" w:type="pct"/>
            <w:tcBorders>
              <w:top w:val="nil"/>
              <w:left w:val="nil"/>
              <w:bottom w:val="nil"/>
              <w:right w:val="nil"/>
            </w:tcBorders>
            <w:shd w:val="clear" w:color="auto" w:fill="auto"/>
            <w:noWrap/>
            <w:vAlign w:val="center"/>
            <w:hideMark/>
          </w:tcPr>
          <w:p w14:paraId="1969295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48</w:t>
            </w:r>
          </w:p>
        </w:tc>
        <w:tc>
          <w:tcPr>
            <w:tcW w:w="497" w:type="pct"/>
            <w:tcBorders>
              <w:top w:val="nil"/>
              <w:left w:val="nil"/>
              <w:bottom w:val="nil"/>
              <w:right w:val="nil"/>
            </w:tcBorders>
            <w:shd w:val="clear" w:color="auto" w:fill="auto"/>
            <w:noWrap/>
            <w:vAlign w:val="center"/>
            <w:hideMark/>
          </w:tcPr>
          <w:p w14:paraId="7263177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CULTURA</w:t>
            </w:r>
          </w:p>
        </w:tc>
        <w:tc>
          <w:tcPr>
            <w:tcW w:w="356" w:type="pct"/>
            <w:tcBorders>
              <w:top w:val="nil"/>
              <w:left w:val="nil"/>
              <w:bottom w:val="nil"/>
              <w:right w:val="nil"/>
            </w:tcBorders>
            <w:shd w:val="clear" w:color="auto" w:fill="auto"/>
            <w:noWrap/>
            <w:vAlign w:val="center"/>
            <w:hideMark/>
          </w:tcPr>
          <w:p w14:paraId="5E89597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S268</w:t>
            </w:r>
          </w:p>
        </w:tc>
        <w:tc>
          <w:tcPr>
            <w:tcW w:w="924" w:type="pct"/>
            <w:tcBorders>
              <w:top w:val="nil"/>
              <w:left w:val="nil"/>
              <w:bottom w:val="nil"/>
              <w:right w:val="nil"/>
            </w:tcBorders>
            <w:shd w:val="clear" w:color="auto" w:fill="auto"/>
            <w:noWrap/>
            <w:vAlign w:val="center"/>
            <w:hideMark/>
          </w:tcPr>
          <w:p w14:paraId="563AD352"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Apoyos a la Cultura</w:t>
            </w:r>
          </w:p>
        </w:tc>
        <w:tc>
          <w:tcPr>
            <w:tcW w:w="1277" w:type="pct"/>
            <w:tcBorders>
              <w:top w:val="nil"/>
              <w:left w:val="nil"/>
              <w:bottom w:val="nil"/>
              <w:right w:val="nil"/>
            </w:tcBorders>
            <w:shd w:val="clear" w:color="auto" w:fill="auto"/>
            <w:noWrap/>
            <w:vAlign w:val="center"/>
            <w:hideMark/>
          </w:tcPr>
          <w:p w14:paraId="29C9D27F"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La información de los apoyos que otorga el programa, las reglas de operación y los beneficiarios de ejercicios anteriores se encuentra dispersa en los sitios web de cada unidad responsable.</w:t>
            </w:r>
          </w:p>
        </w:tc>
        <w:tc>
          <w:tcPr>
            <w:tcW w:w="843" w:type="pct"/>
            <w:tcBorders>
              <w:top w:val="nil"/>
              <w:left w:val="nil"/>
              <w:bottom w:val="nil"/>
              <w:right w:val="nil"/>
            </w:tcBorders>
            <w:shd w:val="clear" w:color="auto" w:fill="auto"/>
            <w:noWrap/>
            <w:vAlign w:val="center"/>
            <w:hideMark/>
          </w:tcPr>
          <w:p w14:paraId="3E9D269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2DDDF0C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366BDE0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w:t>
            </w:r>
          </w:p>
        </w:tc>
      </w:tr>
      <w:tr w:rsidR="00F77FE5" w:rsidRPr="00F77FE5" w14:paraId="2FFE91EC" w14:textId="77777777" w:rsidTr="005A7CAD">
        <w:trPr>
          <w:trHeight w:val="300"/>
        </w:trPr>
        <w:tc>
          <w:tcPr>
            <w:tcW w:w="297" w:type="pct"/>
            <w:tcBorders>
              <w:top w:val="nil"/>
              <w:left w:val="nil"/>
              <w:bottom w:val="nil"/>
              <w:right w:val="nil"/>
            </w:tcBorders>
            <w:shd w:val="clear" w:color="auto" w:fill="auto"/>
            <w:noWrap/>
            <w:vAlign w:val="center"/>
            <w:hideMark/>
          </w:tcPr>
          <w:p w14:paraId="0A5A393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48</w:t>
            </w:r>
          </w:p>
        </w:tc>
        <w:tc>
          <w:tcPr>
            <w:tcW w:w="497" w:type="pct"/>
            <w:tcBorders>
              <w:top w:val="nil"/>
              <w:left w:val="nil"/>
              <w:bottom w:val="nil"/>
              <w:right w:val="nil"/>
            </w:tcBorders>
            <w:shd w:val="clear" w:color="auto" w:fill="auto"/>
            <w:noWrap/>
            <w:vAlign w:val="center"/>
            <w:hideMark/>
          </w:tcPr>
          <w:p w14:paraId="4252723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CULTURA</w:t>
            </w:r>
          </w:p>
        </w:tc>
        <w:tc>
          <w:tcPr>
            <w:tcW w:w="356" w:type="pct"/>
            <w:tcBorders>
              <w:top w:val="nil"/>
              <w:left w:val="nil"/>
              <w:bottom w:val="nil"/>
              <w:right w:val="nil"/>
            </w:tcBorders>
            <w:shd w:val="clear" w:color="auto" w:fill="auto"/>
            <w:noWrap/>
            <w:vAlign w:val="center"/>
            <w:hideMark/>
          </w:tcPr>
          <w:p w14:paraId="6FF3688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S268</w:t>
            </w:r>
          </w:p>
        </w:tc>
        <w:tc>
          <w:tcPr>
            <w:tcW w:w="924" w:type="pct"/>
            <w:tcBorders>
              <w:top w:val="nil"/>
              <w:left w:val="nil"/>
              <w:bottom w:val="nil"/>
              <w:right w:val="nil"/>
            </w:tcBorders>
            <w:shd w:val="clear" w:color="auto" w:fill="auto"/>
            <w:noWrap/>
            <w:vAlign w:val="center"/>
            <w:hideMark/>
          </w:tcPr>
          <w:p w14:paraId="67FE4C73"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Apoyos a la Cultura</w:t>
            </w:r>
          </w:p>
        </w:tc>
        <w:tc>
          <w:tcPr>
            <w:tcW w:w="1277" w:type="pct"/>
            <w:tcBorders>
              <w:top w:val="nil"/>
              <w:left w:val="nil"/>
              <w:bottom w:val="nil"/>
              <w:right w:val="nil"/>
            </w:tcBorders>
            <w:shd w:val="clear" w:color="auto" w:fill="auto"/>
            <w:noWrap/>
            <w:vAlign w:val="center"/>
            <w:hideMark/>
          </w:tcPr>
          <w:p w14:paraId="21C7BB36"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No se cuenta con una metodología para la cuantificación de la población objetivo.</w:t>
            </w:r>
          </w:p>
        </w:tc>
        <w:tc>
          <w:tcPr>
            <w:tcW w:w="843" w:type="pct"/>
            <w:tcBorders>
              <w:top w:val="nil"/>
              <w:left w:val="nil"/>
              <w:bottom w:val="nil"/>
              <w:right w:val="nil"/>
            </w:tcBorders>
            <w:shd w:val="clear" w:color="auto" w:fill="auto"/>
            <w:noWrap/>
            <w:vAlign w:val="center"/>
            <w:hideMark/>
          </w:tcPr>
          <w:p w14:paraId="0665BB8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07D799F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75393DA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w:t>
            </w:r>
          </w:p>
        </w:tc>
      </w:tr>
      <w:tr w:rsidR="00F77FE5" w:rsidRPr="00F77FE5" w14:paraId="59DB4AD7" w14:textId="77777777" w:rsidTr="005A7CAD">
        <w:trPr>
          <w:trHeight w:val="300"/>
        </w:trPr>
        <w:tc>
          <w:tcPr>
            <w:tcW w:w="297" w:type="pct"/>
            <w:tcBorders>
              <w:top w:val="nil"/>
              <w:left w:val="nil"/>
              <w:bottom w:val="nil"/>
              <w:right w:val="nil"/>
            </w:tcBorders>
            <w:shd w:val="clear" w:color="auto" w:fill="auto"/>
            <w:noWrap/>
            <w:vAlign w:val="center"/>
            <w:hideMark/>
          </w:tcPr>
          <w:p w14:paraId="5430E06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48</w:t>
            </w:r>
          </w:p>
        </w:tc>
        <w:tc>
          <w:tcPr>
            <w:tcW w:w="497" w:type="pct"/>
            <w:tcBorders>
              <w:top w:val="nil"/>
              <w:left w:val="nil"/>
              <w:bottom w:val="nil"/>
              <w:right w:val="nil"/>
            </w:tcBorders>
            <w:shd w:val="clear" w:color="auto" w:fill="auto"/>
            <w:noWrap/>
            <w:vAlign w:val="center"/>
            <w:hideMark/>
          </w:tcPr>
          <w:p w14:paraId="721CB45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CULTURA</w:t>
            </w:r>
          </w:p>
        </w:tc>
        <w:tc>
          <w:tcPr>
            <w:tcW w:w="356" w:type="pct"/>
            <w:tcBorders>
              <w:top w:val="nil"/>
              <w:left w:val="nil"/>
              <w:bottom w:val="nil"/>
              <w:right w:val="nil"/>
            </w:tcBorders>
            <w:shd w:val="clear" w:color="auto" w:fill="auto"/>
            <w:noWrap/>
            <w:vAlign w:val="center"/>
            <w:hideMark/>
          </w:tcPr>
          <w:p w14:paraId="523E616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S268</w:t>
            </w:r>
          </w:p>
        </w:tc>
        <w:tc>
          <w:tcPr>
            <w:tcW w:w="924" w:type="pct"/>
            <w:tcBorders>
              <w:top w:val="nil"/>
              <w:left w:val="nil"/>
              <w:bottom w:val="nil"/>
              <w:right w:val="nil"/>
            </w:tcBorders>
            <w:shd w:val="clear" w:color="auto" w:fill="auto"/>
            <w:noWrap/>
            <w:vAlign w:val="center"/>
            <w:hideMark/>
          </w:tcPr>
          <w:p w14:paraId="3E2BFF31"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Apoyos a la Cultura</w:t>
            </w:r>
          </w:p>
        </w:tc>
        <w:tc>
          <w:tcPr>
            <w:tcW w:w="1277" w:type="pct"/>
            <w:tcBorders>
              <w:top w:val="nil"/>
              <w:left w:val="nil"/>
              <w:bottom w:val="nil"/>
              <w:right w:val="nil"/>
            </w:tcBorders>
            <w:shd w:val="clear" w:color="auto" w:fill="auto"/>
            <w:noWrap/>
            <w:vAlign w:val="center"/>
            <w:hideMark/>
          </w:tcPr>
          <w:p w14:paraId="38E9D2EB"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Con la creación de la Secretaría de Cultura y la definición del PECA el programa puede alinear su fin de manera más clara y directa.</w:t>
            </w:r>
          </w:p>
        </w:tc>
        <w:tc>
          <w:tcPr>
            <w:tcW w:w="843" w:type="pct"/>
            <w:tcBorders>
              <w:top w:val="nil"/>
              <w:left w:val="nil"/>
              <w:bottom w:val="nil"/>
              <w:right w:val="nil"/>
            </w:tcBorders>
            <w:shd w:val="clear" w:color="auto" w:fill="auto"/>
            <w:noWrap/>
            <w:vAlign w:val="center"/>
            <w:hideMark/>
          </w:tcPr>
          <w:p w14:paraId="7D4D4C39"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1972122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482F4E4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w:t>
            </w:r>
          </w:p>
        </w:tc>
      </w:tr>
      <w:tr w:rsidR="00F77FE5" w:rsidRPr="00F77FE5" w14:paraId="3A19A328" w14:textId="77777777" w:rsidTr="005A7CAD">
        <w:trPr>
          <w:trHeight w:val="300"/>
        </w:trPr>
        <w:tc>
          <w:tcPr>
            <w:tcW w:w="297" w:type="pct"/>
            <w:tcBorders>
              <w:top w:val="nil"/>
              <w:left w:val="nil"/>
              <w:bottom w:val="nil"/>
              <w:right w:val="nil"/>
            </w:tcBorders>
            <w:shd w:val="clear" w:color="auto" w:fill="auto"/>
            <w:noWrap/>
            <w:vAlign w:val="center"/>
            <w:hideMark/>
          </w:tcPr>
          <w:p w14:paraId="4CD311C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48</w:t>
            </w:r>
          </w:p>
        </w:tc>
        <w:tc>
          <w:tcPr>
            <w:tcW w:w="497" w:type="pct"/>
            <w:tcBorders>
              <w:top w:val="nil"/>
              <w:left w:val="nil"/>
              <w:bottom w:val="nil"/>
              <w:right w:val="nil"/>
            </w:tcBorders>
            <w:shd w:val="clear" w:color="auto" w:fill="auto"/>
            <w:noWrap/>
            <w:vAlign w:val="center"/>
            <w:hideMark/>
          </w:tcPr>
          <w:p w14:paraId="585D691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CULTURA</w:t>
            </w:r>
          </w:p>
        </w:tc>
        <w:tc>
          <w:tcPr>
            <w:tcW w:w="356" w:type="pct"/>
            <w:tcBorders>
              <w:top w:val="nil"/>
              <w:left w:val="nil"/>
              <w:bottom w:val="nil"/>
              <w:right w:val="nil"/>
            </w:tcBorders>
            <w:shd w:val="clear" w:color="auto" w:fill="auto"/>
            <w:noWrap/>
            <w:vAlign w:val="center"/>
            <w:hideMark/>
          </w:tcPr>
          <w:p w14:paraId="1296605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S268</w:t>
            </w:r>
          </w:p>
        </w:tc>
        <w:tc>
          <w:tcPr>
            <w:tcW w:w="924" w:type="pct"/>
            <w:tcBorders>
              <w:top w:val="nil"/>
              <w:left w:val="nil"/>
              <w:bottom w:val="nil"/>
              <w:right w:val="nil"/>
            </w:tcBorders>
            <w:shd w:val="clear" w:color="auto" w:fill="auto"/>
            <w:noWrap/>
            <w:vAlign w:val="center"/>
            <w:hideMark/>
          </w:tcPr>
          <w:p w14:paraId="2DFBC007"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Apoyos a la Cultura</w:t>
            </w:r>
          </w:p>
        </w:tc>
        <w:tc>
          <w:tcPr>
            <w:tcW w:w="1277" w:type="pct"/>
            <w:tcBorders>
              <w:top w:val="nil"/>
              <w:left w:val="nil"/>
              <w:bottom w:val="nil"/>
              <w:right w:val="nil"/>
            </w:tcBorders>
            <w:shd w:val="clear" w:color="auto" w:fill="auto"/>
            <w:noWrap/>
            <w:vAlign w:val="center"/>
            <w:hideMark/>
          </w:tcPr>
          <w:p w14:paraId="2E02AA21" w14:textId="77777777" w:rsidR="00F77FE5" w:rsidRPr="00F77FE5" w:rsidRDefault="00F77FE5" w:rsidP="0008121B">
            <w:pPr>
              <w:spacing w:before="20" w:after="0"/>
              <w:jc w:val="both"/>
              <w:rPr>
                <w:rFonts w:eastAsia="Times New Roman"/>
                <w:sz w:val="12"/>
                <w:szCs w:val="20"/>
                <w:lang w:val="es-ES" w:eastAsia="en-US"/>
              </w:rPr>
            </w:pPr>
            <w:r w:rsidRPr="00F77FE5">
              <w:rPr>
                <w:rFonts w:eastAsia="Times New Roman"/>
                <w:sz w:val="12"/>
                <w:szCs w:val="20"/>
                <w:lang w:val="es-ES" w:eastAsia="en-US"/>
              </w:rPr>
              <w:t>Se tienen seis componentes distintos para los mismos tipos de apoyos: recursos económicos otorgados para proyectos culturales. Los seis componentes reflejan la estructura administrativa previa a la fusión, pero no una descripción precisa del tipo de bien o servicio que produce el programa.</w:t>
            </w:r>
          </w:p>
        </w:tc>
        <w:tc>
          <w:tcPr>
            <w:tcW w:w="843" w:type="pct"/>
            <w:tcBorders>
              <w:top w:val="nil"/>
              <w:left w:val="nil"/>
              <w:bottom w:val="nil"/>
              <w:right w:val="nil"/>
            </w:tcBorders>
            <w:shd w:val="clear" w:color="auto" w:fill="auto"/>
            <w:noWrap/>
            <w:vAlign w:val="center"/>
            <w:hideMark/>
          </w:tcPr>
          <w:p w14:paraId="374588C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019E385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2DE4B5A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w:t>
            </w:r>
          </w:p>
        </w:tc>
      </w:tr>
      <w:tr w:rsidR="00F77FE5" w:rsidRPr="00F77FE5" w14:paraId="13ACE71F" w14:textId="77777777" w:rsidTr="005A7CAD">
        <w:trPr>
          <w:trHeight w:val="300"/>
        </w:trPr>
        <w:tc>
          <w:tcPr>
            <w:tcW w:w="297" w:type="pct"/>
            <w:tcBorders>
              <w:top w:val="nil"/>
              <w:left w:val="nil"/>
              <w:bottom w:val="nil"/>
              <w:right w:val="nil"/>
            </w:tcBorders>
            <w:shd w:val="clear" w:color="auto" w:fill="auto"/>
            <w:noWrap/>
            <w:vAlign w:val="center"/>
            <w:hideMark/>
          </w:tcPr>
          <w:p w14:paraId="0495128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48</w:t>
            </w:r>
          </w:p>
        </w:tc>
        <w:tc>
          <w:tcPr>
            <w:tcW w:w="497" w:type="pct"/>
            <w:tcBorders>
              <w:top w:val="nil"/>
              <w:left w:val="nil"/>
              <w:bottom w:val="nil"/>
              <w:right w:val="nil"/>
            </w:tcBorders>
            <w:shd w:val="clear" w:color="auto" w:fill="auto"/>
            <w:noWrap/>
            <w:vAlign w:val="center"/>
            <w:hideMark/>
          </w:tcPr>
          <w:p w14:paraId="65F5ABA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CULTURA</w:t>
            </w:r>
          </w:p>
        </w:tc>
        <w:tc>
          <w:tcPr>
            <w:tcW w:w="356" w:type="pct"/>
            <w:tcBorders>
              <w:top w:val="nil"/>
              <w:left w:val="nil"/>
              <w:bottom w:val="nil"/>
              <w:right w:val="nil"/>
            </w:tcBorders>
            <w:shd w:val="clear" w:color="auto" w:fill="auto"/>
            <w:noWrap/>
            <w:vAlign w:val="center"/>
            <w:hideMark/>
          </w:tcPr>
          <w:p w14:paraId="1CC6E5E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S268</w:t>
            </w:r>
          </w:p>
        </w:tc>
        <w:tc>
          <w:tcPr>
            <w:tcW w:w="924" w:type="pct"/>
            <w:tcBorders>
              <w:top w:val="nil"/>
              <w:left w:val="nil"/>
              <w:bottom w:val="nil"/>
              <w:right w:val="nil"/>
            </w:tcBorders>
            <w:shd w:val="clear" w:color="auto" w:fill="auto"/>
            <w:noWrap/>
            <w:vAlign w:val="center"/>
            <w:hideMark/>
          </w:tcPr>
          <w:p w14:paraId="156DDC21"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Apoyos a la Cultura</w:t>
            </w:r>
          </w:p>
        </w:tc>
        <w:tc>
          <w:tcPr>
            <w:tcW w:w="1277" w:type="pct"/>
            <w:tcBorders>
              <w:top w:val="nil"/>
              <w:left w:val="nil"/>
              <w:bottom w:val="nil"/>
              <w:right w:val="nil"/>
            </w:tcBorders>
            <w:shd w:val="clear" w:color="auto" w:fill="auto"/>
            <w:noWrap/>
            <w:vAlign w:val="center"/>
            <w:hideMark/>
          </w:tcPr>
          <w:p w14:paraId="32A2AD57"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El problema está definido como la ausencia de la solución ofrecida por el programa (insuficiencia de recursos económicos para la cultura).</w:t>
            </w:r>
          </w:p>
        </w:tc>
        <w:tc>
          <w:tcPr>
            <w:tcW w:w="843" w:type="pct"/>
            <w:tcBorders>
              <w:top w:val="nil"/>
              <w:left w:val="nil"/>
              <w:bottom w:val="nil"/>
              <w:right w:val="nil"/>
            </w:tcBorders>
            <w:shd w:val="clear" w:color="auto" w:fill="auto"/>
            <w:noWrap/>
            <w:vAlign w:val="center"/>
            <w:hideMark/>
          </w:tcPr>
          <w:p w14:paraId="25E0A3CC"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35F87DA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18F8965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w:t>
            </w:r>
          </w:p>
        </w:tc>
      </w:tr>
      <w:tr w:rsidR="00F77FE5" w:rsidRPr="00F77FE5" w14:paraId="71BF8C88" w14:textId="77777777" w:rsidTr="005A7CAD">
        <w:trPr>
          <w:trHeight w:val="300"/>
        </w:trPr>
        <w:tc>
          <w:tcPr>
            <w:tcW w:w="297" w:type="pct"/>
            <w:tcBorders>
              <w:top w:val="nil"/>
              <w:left w:val="nil"/>
              <w:bottom w:val="nil"/>
              <w:right w:val="nil"/>
            </w:tcBorders>
            <w:shd w:val="clear" w:color="auto" w:fill="auto"/>
            <w:noWrap/>
            <w:vAlign w:val="center"/>
            <w:hideMark/>
          </w:tcPr>
          <w:p w14:paraId="6B2B3D5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48</w:t>
            </w:r>
          </w:p>
        </w:tc>
        <w:tc>
          <w:tcPr>
            <w:tcW w:w="497" w:type="pct"/>
            <w:tcBorders>
              <w:top w:val="nil"/>
              <w:left w:val="nil"/>
              <w:bottom w:val="nil"/>
              <w:right w:val="nil"/>
            </w:tcBorders>
            <w:shd w:val="clear" w:color="auto" w:fill="auto"/>
            <w:noWrap/>
            <w:vAlign w:val="center"/>
            <w:hideMark/>
          </w:tcPr>
          <w:p w14:paraId="74DE265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CULTURA</w:t>
            </w:r>
          </w:p>
        </w:tc>
        <w:tc>
          <w:tcPr>
            <w:tcW w:w="356" w:type="pct"/>
            <w:tcBorders>
              <w:top w:val="nil"/>
              <w:left w:val="nil"/>
              <w:bottom w:val="nil"/>
              <w:right w:val="nil"/>
            </w:tcBorders>
            <w:shd w:val="clear" w:color="auto" w:fill="auto"/>
            <w:noWrap/>
            <w:vAlign w:val="center"/>
            <w:hideMark/>
          </w:tcPr>
          <w:p w14:paraId="09711CA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S268</w:t>
            </w:r>
          </w:p>
        </w:tc>
        <w:tc>
          <w:tcPr>
            <w:tcW w:w="924" w:type="pct"/>
            <w:tcBorders>
              <w:top w:val="nil"/>
              <w:left w:val="nil"/>
              <w:bottom w:val="nil"/>
              <w:right w:val="nil"/>
            </w:tcBorders>
            <w:shd w:val="clear" w:color="auto" w:fill="auto"/>
            <w:noWrap/>
            <w:vAlign w:val="center"/>
            <w:hideMark/>
          </w:tcPr>
          <w:p w14:paraId="53647500"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Apoyos a la Cultura</w:t>
            </w:r>
          </w:p>
        </w:tc>
        <w:tc>
          <w:tcPr>
            <w:tcW w:w="1277" w:type="pct"/>
            <w:tcBorders>
              <w:top w:val="nil"/>
              <w:left w:val="nil"/>
              <w:bottom w:val="nil"/>
              <w:right w:val="nil"/>
            </w:tcBorders>
            <w:shd w:val="clear" w:color="auto" w:fill="auto"/>
            <w:noWrap/>
            <w:vAlign w:val="center"/>
            <w:hideMark/>
          </w:tcPr>
          <w:p w14:paraId="4FE96E65"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El programa no cuenta con una justificación teórica o empírica que avale que la intervención que realiza es eficiente para solucionar el problema.</w:t>
            </w:r>
          </w:p>
        </w:tc>
        <w:tc>
          <w:tcPr>
            <w:tcW w:w="843" w:type="pct"/>
            <w:tcBorders>
              <w:top w:val="nil"/>
              <w:left w:val="nil"/>
              <w:bottom w:val="nil"/>
              <w:right w:val="nil"/>
            </w:tcBorders>
            <w:shd w:val="clear" w:color="auto" w:fill="auto"/>
            <w:noWrap/>
            <w:vAlign w:val="center"/>
            <w:hideMark/>
          </w:tcPr>
          <w:p w14:paraId="493CFA06"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43509025"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04B6BEB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w:t>
            </w:r>
          </w:p>
        </w:tc>
      </w:tr>
      <w:tr w:rsidR="00F77FE5" w:rsidRPr="00F77FE5" w14:paraId="6ABC7910" w14:textId="77777777" w:rsidTr="005A7CAD">
        <w:trPr>
          <w:trHeight w:val="300"/>
        </w:trPr>
        <w:tc>
          <w:tcPr>
            <w:tcW w:w="297" w:type="pct"/>
            <w:tcBorders>
              <w:top w:val="nil"/>
              <w:left w:val="nil"/>
              <w:bottom w:val="nil"/>
              <w:right w:val="nil"/>
            </w:tcBorders>
            <w:shd w:val="clear" w:color="auto" w:fill="auto"/>
            <w:noWrap/>
            <w:vAlign w:val="center"/>
            <w:hideMark/>
          </w:tcPr>
          <w:p w14:paraId="5C7F28A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48</w:t>
            </w:r>
          </w:p>
        </w:tc>
        <w:tc>
          <w:tcPr>
            <w:tcW w:w="497" w:type="pct"/>
            <w:tcBorders>
              <w:top w:val="nil"/>
              <w:left w:val="nil"/>
              <w:bottom w:val="nil"/>
              <w:right w:val="nil"/>
            </w:tcBorders>
            <w:shd w:val="clear" w:color="auto" w:fill="auto"/>
            <w:noWrap/>
            <w:vAlign w:val="center"/>
            <w:hideMark/>
          </w:tcPr>
          <w:p w14:paraId="15467FA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CULTURA</w:t>
            </w:r>
          </w:p>
        </w:tc>
        <w:tc>
          <w:tcPr>
            <w:tcW w:w="356" w:type="pct"/>
            <w:tcBorders>
              <w:top w:val="nil"/>
              <w:left w:val="nil"/>
              <w:bottom w:val="nil"/>
              <w:right w:val="nil"/>
            </w:tcBorders>
            <w:shd w:val="clear" w:color="auto" w:fill="auto"/>
            <w:noWrap/>
            <w:vAlign w:val="center"/>
            <w:hideMark/>
          </w:tcPr>
          <w:p w14:paraId="4C9B26D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S268</w:t>
            </w:r>
          </w:p>
        </w:tc>
        <w:tc>
          <w:tcPr>
            <w:tcW w:w="924" w:type="pct"/>
            <w:tcBorders>
              <w:top w:val="nil"/>
              <w:left w:val="nil"/>
              <w:bottom w:val="nil"/>
              <w:right w:val="nil"/>
            </w:tcBorders>
            <w:shd w:val="clear" w:color="auto" w:fill="auto"/>
            <w:noWrap/>
            <w:vAlign w:val="center"/>
            <w:hideMark/>
          </w:tcPr>
          <w:p w14:paraId="772E00C3"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Apoyos a la Cultura</w:t>
            </w:r>
          </w:p>
        </w:tc>
        <w:tc>
          <w:tcPr>
            <w:tcW w:w="1277" w:type="pct"/>
            <w:tcBorders>
              <w:top w:val="nil"/>
              <w:left w:val="nil"/>
              <w:bottom w:val="nil"/>
              <w:right w:val="nil"/>
            </w:tcBorders>
            <w:shd w:val="clear" w:color="auto" w:fill="auto"/>
            <w:noWrap/>
            <w:vAlign w:val="center"/>
            <w:hideMark/>
          </w:tcPr>
          <w:p w14:paraId="3AE01FF1"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 xml:space="preserve">En las ROP 2016 y el diagnóstico no se establece la vinculación/contribución del programa con los Objetivos de Desarrollo </w:t>
            </w:r>
            <w:r w:rsidRPr="00F77FE5">
              <w:rPr>
                <w:rFonts w:eastAsia="Times New Roman"/>
                <w:sz w:val="12"/>
                <w:szCs w:val="20"/>
                <w:lang w:val="es-ES" w:eastAsia="en-US"/>
              </w:rPr>
              <w:lastRenderedPageBreak/>
              <w:t>del Milenio u Objetivos de Desarrollo Sostenible.</w:t>
            </w:r>
          </w:p>
        </w:tc>
        <w:tc>
          <w:tcPr>
            <w:tcW w:w="843" w:type="pct"/>
            <w:tcBorders>
              <w:top w:val="nil"/>
              <w:left w:val="nil"/>
              <w:bottom w:val="nil"/>
              <w:right w:val="nil"/>
            </w:tcBorders>
            <w:shd w:val="clear" w:color="auto" w:fill="auto"/>
            <w:noWrap/>
            <w:vAlign w:val="center"/>
            <w:hideMark/>
          </w:tcPr>
          <w:p w14:paraId="433637F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lastRenderedPageBreak/>
              <w:t>Específico</w:t>
            </w:r>
          </w:p>
        </w:tc>
        <w:tc>
          <w:tcPr>
            <w:tcW w:w="366" w:type="pct"/>
            <w:tcBorders>
              <w:top w:val="nil"/>
              <w:left w:val="nil"/>
              <w:bottom w:val="nil"/>
              <w:right w:val="nil"/>
            </w:tcBorders>
            <w:shd w:val="clear" w:color="auto" w:fill="auto"/>
            <w:noWrap/>
            <w:vAlign w:val="center"/>
            <w:hideMark/>
          </w:tcPr>
          <w:p w14:paraId="120EE42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6052FCE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w:t>
            </w:r>
          </w:p>
        </w:tc>
      </w:tr>
      <w:tr w:rsidR="00F77FE5" w:rsidRPr="00F77FE5" w14:paraId="3F8E50E5" w14:textId="77777777" w:rsidTr="005A7CAD">
        <w:trPr>
          <w:trHeight w:val="300"/>
        </w:trPr>
        <w:tc>
          <w:tcPr>
            <w:tcW w:w="297" w:type="pct"/>
            <w:tcBorders>
              <w:top w:val="nil"/>
              <w:left w:val="nil"/>
              <w:bottom w:val="nil"/>
              <w:right w:val="nil"/>
            </w:tcBorders>
            <w:shd w:val="clear" w:color="auto" w:fill="auto"/>
            <w:noWrap/>
            <w:vAlign w:val="center"/>
            <w:hideMark/>
          </w:tcPr>
          <w:p w14:paraId="5B7D4A87"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48</w:t>
            </w:r>
          </w:p>
        </w:tc>
        <w:tc>
          <w:tcPr>
            <w:tcW w:w="497" w:type="pct"/>
            <w:tcBorders>
              <w:top w:val="nil"/>
              <w:left w:val="nil"/>
              <w:bottom w:val="nil"/>
              <w:right w:val="nil"/>
            </w:tcBorders>
            <w:shd w:val="clear" w:color="auto" w:fill="auto"/>
            <w:noWrap/>
            <w:vAlign w:val="center"/>
            <w:hideMark/>
          </w:tcPr>
          <w:p w14:paraId="70A1169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CULTURA</w:t>
            </w:r>
          </w:p>
        </w:tc>
        <w:tc>
          <w:tcPr>
            <w:tcW w:w="356" w:type="pct"/>
            <w:tcBorders>
              <w:top w:val="nil"/>
              <w:left w:val="nil"/>
              <w:bottom w:val="nil"/>
              <w:right w:val="nil"/>
            </w:tcBorders>
            <w:shd w:val="clear" w:color="auto" w:fill="auto"/>
            <w:noWrap/>
            <w:vAlign w:val="center"/>
            <w:hideMark/>
          </w:tcPr>
          <w:p w14:paraId="6EEBF71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S268</w:t>
            </w:r>
          </w:p>
        </w:tc>
        <w:tc>
          <w:tcPr>
            <w:tcW w:w="924" w:type="pct"/>
            <w:tcBorders>
              <w:top w:val="nil"/>
              <w:left w:val="nil"/>
              <w:bottom w:val="nil"/>
              <w:right w:val="nil"/>
            </w:tcBorders>
            <w:shd w:val="clear" w:color="auto" w:fill="auto"/>
            <w:noWrap/>
            <w:vAlign w:val="center"/>
            <w:hideMark/>
          </w:tcPr>
          <w:p w14:paraId="6D723624"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Apoyos a la Cultura</w:t>
            </w:r>
          </w:p>
        </w:tc>
        <w:tc>
          <w:tcPr>
            <w:tcW w:w="1277" w:type="pct"/>
            <w:tcBorders>
              <w:top w:val="nil"/>
              <w:left w:val="nil"/>
              <w:bottom w:val="nil"/>
              <w:right w:val="nil"/>
            </w:tcBorders>
            <w:shd w:val="clear" w:color="auto" w:fill="auto"/>
            <w:noWrap/>
            <w:vAlign w:val="center"/>
            <w:hideMark/>
          </w:tcPr>
          <w:p w14:paraId="519403BB"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 xml:space="preserve">La identificación y cuantificación de la población </w:t>
            </w:r>
            <w:proofErr w:type="gramStart"/>
            <w:r w:rsidRPr="00F77FE5">
              <w:rPr>
                <w:rFonts w:eastAsia="Times New Roman"/>
                <w:sz w:val="12"/>
                <w:szCs w:val="20"/>
                <w:lang w:val="es-ES" w:eastAsia="en-US"/>
              </w:rPr>
              <w:t>objetivo</w:t>
            </w:r>
            <w:proofErr w:type="gramEnd"/>
            <w:r w:rsidRPr="00F77FE5">
              <w:rPr>
                <w:rFonts w:eastAsia="Times New Roman"/>
                <w:sz w:val="12"/>
                <w:szCs w:val="20"/>
                <w:lang w:val="es-ES" w:eastAsia="en-US"/>
              </w:rPr>
              <w:t xml:space="preserve"> y potencial se realiza de manera segmentada por cada unidad responsable.</w:t>
            </w:r>
          </w:p>
        </w:tc>
        <w:tc>
          <w:tcPr>
            <w:tcW w:w="843" w:type="pct"/>
            <w:tcBorders>
              <w:top w:val="nil"/>
              <w:left w:val="nil"/>
              <w:bottom w:val="nil"/>
              <w:right w:val="nil"/>
            </w:tcBorders>
            <w:shd w:val="clear" w:color="auto" w:fill="auto"/>
            <w:noWrap/>
            <w:vAlign w:val="center"/>
            <w:hideMark/>
          </w:tcPr>
          <w:p w14:paraId="365FF22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19D8A39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2709D71E"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w:t>
            </w:r>
          </w:p>
        </w:tc>
      </w:tr>
      <w:tr w:rsidR="00F77FE5" w:rsidRPr="00F77FE5" w14:paraId="0505A6E6" w14:textId="77777777" w:rsidTr="005A7CAD">
        <w:trPr>
          <w:trHeight w:val="300"/>
        </w:trPr>
        <w:tc>
          <w:tcPr>
            <w:tcW w:w="297" w:type="pct"/>
            <w:tcBorders>
              <w:top w:val="nil"/>
              <w:left w:val="nil"/>
              <w:bottom w:val="nil"/>
              <w:right w:val="nil"/>
            </w:tcBorders>
            <w:shd w:val="clear" w:color="auto" w:fill="auto"/>
            <w:noWrap/>
            <w:vAlign w:val="center"/>
            <w:hideMark/>
          </w:tcPr>
          <w:p w14:paraId="51C24778"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48</w:t>
            </w:r>
          </w:p>
        </w:tc>
        <w:tc>
          <w:tcPr>
            <w:tcW w:w="497" w:type="pct"/>
            <w:tcBorders>
              <w:top w:val="nil"/>
              <w:left w:val="nil"/>
              <w:bottom w:val="nil"/>
              <w:right w:val="nil"/>
            </w:tcBorders>
            <w:shd w:val="clear" w:color="auto" w:fill="auto"/>
            <w:noWrap/>
            <w:vAlign w:val="center"/>
            <w:hideMark/>
          </w:tcPr>
          <w:p w14:paraId="253C9E1D"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CULTURA</w:t>
            </w:r>
          </w:p>
        </w:tc>
        <w:tc>
          <w:tcPr>
            <w:tcW w:w="356" w:type="pct"/>
            <w:tcBorders>
              <w:top w:val="nil"/>
              <w:left w:val="nil"/>
              <w:bottom w:val="nil"/>
              <w:right w:val="nil"/>
            </w:tcBorders>
            <w:shd w:val="clear" w:color="auto" w:fill="auto"/>
            <w:noWrap/>
            <w:vAlign w:val="center"/>
            <w:hideMark/>
          </w:tcPr>
          <w:p w14:paraId="218A7802"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S268</w:t>
            </w:r>
          </w:p>
        </w:tc>
        <w:tc>
          <w:tcPr>
            <w:tcW w:w="924" w:type="pct"/>
            <w:tcBorders>
              <w:top w:val="nil"/>
              <w:left w:val="nil"/>
              <w:bottom w:val="nil"/>
              <w:right w:val="nil"/>
            </w:tcBorders>
            <w:shd w:val="clear" w:color="auto" w:fill="auto"/>
            <w:noWrap/>
            <w:vAlign w:val="center"/>
            <w:hideMark/>
          </w:tcPr>
          <w:p w14:paraId="582AA46A"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Apoyos a la Cultura</w:t>
            </w:r>
          </w:p>
        </w:tc>
        <w:tc>
          <w:tcPr>
            <w:tcW w:w="1277" w:type="pct"/>
            <w:tcBorders>
              <w:top w:val="nil"/>
              <w:left w:val="nil"/>
              <w:bottom w:val="nil"/>
              <w:right w:val="nil"/>
            </w:tcBorders>
            <w:shd w:val="clear" w:color="auto" w:fill="auto"/>
            <w:noWrap/>
            <w:vAlign w:val="center"/>
            <w:hideMark/>
          </w:tcPr>
          <w:p w14:paraId="76F25F7B" w14:textId="77777777" w:rsidR="00F77FE5" w:rsidRPr="00F77FE5" w:rsidRDefault="00F77FE5" w:rsidP="00F77FE5">
            <w:pPr>
              <w:spacing w:before="20" w:after="0"/>
              <w:jc w:val="both"/>
              <w:rPr>
                <w:rFonts w:eastAsia="Times New Roman"/>
                <w:sz w:val="12"/>
                <w:szCs w:val="20"/>
                <w:lang w:val="es-ES" w:eastAsia="en-US"/>
              </w:rPr>
            </w:pPr>
            <w:r w:rsidRPr="00F77FE5">
              <w:rPr>
                <w:rFonts w:eastAsia="Times New Roman"/>
                <w:sz w:val="12"/>
                <w:szCs w:val="20"/>
                <w:lang w:val="es-ES" w:eastAsia="en-US"/>
              </w:rPr>
              <w:t>Las causas y efectos del problema no están sustentados de manera teórica o empírica.</w:t>
            </w:r>
          </w:p>
        </w:tc>
        <w:tc>
          <w:tcPr>
            <w:tcW w:w="843" w:type="pct"/>
            <w:tcBorders>
              <w:top w:val="nil"/>
              <w:left w:val="nil"/>
              <w:bottom w:val="nil"/>
              <w:right w:val="nil"/>
            </w:tcBorders>
            <w:shd w:val="clear" w:color="auto" w:fill="auto"/>
            <w:noWrap/>
            <w:vAlign w:val="center"/>
            <w:hideMark/>
          </w:tcPr>
          <w:p w14:paraId="4B45DDE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525DE5AA"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Media</w:t>
            </w:r>
          </w:p>
        </w:tc>
        <w:tc>
          <w:tcPr>
            <w:tcW w:w="440" w:type="pct"/>
            <w:tcBorders>
              <w:top w:val="nil"/>
              <w:left w:val="nil"/>
              <w:bottom w:val="nil"/>
              <w:right w:val="nil"/>
            </w:tcBorders>
            <w:shd w:val="clear" w:color="auto" w:fill="auto"/>
            <w:noWrap/>
            <w:vAlign w:val="center"/>
            <w:hideMark/>
          </w:tcPr>
          <w:p w14:paraId="77409E4B"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w:t>
            </w:r>
          </w:p>
        </w:tc>
      </w:tr>
      <w:tr w:rsidR="00F77FE5" w:rsidRPr="00F77FE5" w14:paraId="678BFD8D" w14:textId="77777777" w:rsidTr="005A7CAD">
        <w:trPr>
          <w:trHeight w:val="315"/>
        </w:trPr>
        <w:tc>
          <w:tcPr>
            <w:tcW w:w="297" w:type="pct"/>
            <w:tcBorders>
              <w:top w:val="nil"/>
              <w:left w:val="nil"/>
              <w:bottom w:val="nil"/>
              <w:right w:val="nil"/>
            </w:tcBorders>
            <w:shd w:val="clear" w:color="auto" w:fill="auto"/>
            <w:noWrap/>
            <w:vAlign w:val="center"/>
            <w:hideMark/>
          </w:tcPr>
          <w:p w14:paraId="44E07E93"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48</w:t>
            </w:r>
          </w:p>
        </w:tc>
        <w:tc>
          <w:tcPr>
            <w:tcW w:w="497" w:type="pct"/>
            <w:tcBorders>
              <w:top w:val="nil"/>
              <w:left w:val="nil"/>
              <w:bottom w:val="nil"/>
              <w:right w:val="nil"/>
            </w:tcBorders>
            <w:shd w:val="clear" w:color="auto" w:fill="auto"/>
            <w:noWrap/>
            <w:vAlign w:val="center"/>
            <w:hideMark/>
          </w:tcPr>
          <w:p w14:paraId="7364B001"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CULTURA</w:t>
            </w:r>
          </w:p>
        </w:tc>
        <w:tc>
          <w:tcPr>
            <w:tcW w:w="356" w:type="pct"/>
            <w:tcBorders>
              <w:top w:val="nil"/>
              <w:left w:val="nil"/>
              <w:bottom w:val="nil"/>
              <w:right w:val="nil"/>
            </w:tcBorders>
            <w:shd w:val="clear" w:color="auto" w:fill="auto"/>
            <w:noWrap/>
            <w:vAlign w:val="center"/>
            <w:hideMark/>
          </w:tcPr>
          <w:p w14:paraId="78C1181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S268</w:t>
            </w:r>
          </w:p>
        </w:tc>
        <w:tc>
          <w:tcPr>
            <w:tcW w:w="924" w:type="pct"/>
            <w:tcBorders>
              <w:top w:val="nil"/>
              <w:left w:val="nil"/>
              <w:bottom w:val="nil"/>
              <w:right w:val="nil"/>
            </w:tcBorders>
            <w:shd w:val="clear" w:color="auto" w:fill="auto"/>
            <w:noWrap/>
            <w:vAlign w:val="center"/>
            <w:hideMark/>
          </w:tcPr>
          <w:p w14:paraId="22C507D7" w14:textId="77777777" w:rsidR="00F77FE5" w:rsidRPr="00F77FE5" w:rsidRDefault="00F77FE5" w:rsidP="00F77FE5">
            <w:pPr>
              <w:spacing w:before="20" w:after="0"/>
              <w:rPr>
                <w:rFonts w:eastAsia="Times New Roman"/>
                <w:sz w:val="12"/>
                <w:szCs w:val="20"/>
                <w:lang w:val="es-ES" w:eastAsia="en-US"/>
              </w:rPr>
            </w:pPr>
            <w:r w:rsidRPr="00F77FE5">
              <w:rPr>
                <w:rFonts w:eastAsia="Times New Roman"/>
                <w:sz w:val="12"/>
                <w:szCs w:val="20"/>
                <w:lang w:val="es-ES" w:eastAsia="en-US"/>
              </w:rPr>
              <w:t>Programa de Apoyos a la Cultura</w:t>
            </w:r>
          </w:p>
        </w:tc>
        <w:tc>
          <w:tcPr>
            <w:tcW w:w="1277" w:type="pct"/>
            <w:tcBorders>
              <w:top w:val="nil"/>
              <w:left w:val="nil"/>
              <w:bottom w:val="nil"/>
              <w:right w:val="nil"/>
            </w:tcBorders>
            <w:shd w:val="clear" w:color="auto" w:fill="auto"/>
            <w:noWrap/>
            <w:vAlign w:val="center"/>
            <w:hideMark/>
          </w:tcPr>
          <w:p w14:paraId="7BCA777A" w14:textId="77777777" w:rsidR="00F77FE5" w:rsidRPr="00F77FE5" w:rsidRDefault="00F77FE5" w:rsidP="0008121B">
            <w:pPr>
              <w:spacing w:before="20" w:after="0"/>
              <w:jc w:val="both"/>
              <w:rPr>
                <w:rFonts w:eastAsia="Times New Roman"/>
                <w:sz w:val="12"/>
                <w:szCs w:val="20"/>
                <w:lang w:val="es-ES" w:eastAsia="en-US"/>
              </w:rPr>
            </w:pPr>
            <w:r w:rsidRPr="00F77FE5">
              <w:rPr>
                <w:rFonts w:eastAsia="Times New Roman"/>
                <w:sz w:val="12"/>
                <w:szCs w:val="20"/>
                <w:lang w:val="es-ES" w:eastAsia="en-US"/>
              </w:rPr>
              <w:t>Antes de la fusión las unidades responsables del programa contaban con mecanismos para recolectar la información de los beneficiarios que puede servir como</w:t>
            </w:r>
            <w:r w:rsidRPr="00F77FE5">
              <w:rPr>
                <w:rFonts w:eastAsia="Times New Roman"/>
                <w:sz w:val="12"/>
                <w:szCs w:val="20"/>
                <w:lang w:val="es-ES" w:eastAsia="en-US"/>
              </w:rPr>
              <w:br/>
              <w:t>insumos para el nuevo programa.</w:t>
            </w:r>
            <w:r w:rsidRPr="00F77FE5">
              <w:rPr>
                <w:rFonts w:eastAsia="Times New Roman"/>
                <w:sz w:val="12"/>
                <w:szCs w:val="20"/>
                <w:lang w:val="es-ES" w:eastAsia="en-US"/>
              </w:rPr>
              <w:br/>
              <w:t xml:space="preserve">[Se conformará un padrón único de beneficiarios del Programa de Apoyos a la Cultura en sus seis vertientes]. </w:t>
            </w:r>
            <w:r w:rsidRPr="00F77FE5">
              <w:rPr>
                <w:rFonts w:eastAsia="Times New Roman"/>
                <w:sz w:val="12"/>
                <w:szCs w:val="20"/>
                <w:vertAlign w:val="superscript"/>
                <w:lang w:val="es-ES" w:eastAsia="en-US"/>
              </w:rPr>
              <w:t>A_/</w:t>
            </w:r>
          </w:p>
        </w:tc>
        <w:tc>
          <w:tcPr>
            <w:tcW w:w="843" w:type="pct"/>
            <w:tcBorders>
              <w:top w:val="nil"/>
              <w:left w:val="nil"/>
              <w:bottom w:val="nil"/>
              <w:right w:val="nil"/>
            </w:tcBorders>
            <w:shd w:val="clear" w:color="auto" w:fill="auto"/>
            <w:noWrap/>
            <w:vAlign w:val="center"/>
            <w:hideMark/>
          </w:tcPr>
          <w:p w14:paraId="21568240"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Específico</w:t>
            </w:r>
          </w:p>
        </w:tc>
        <w:tc>
          <w:tcPr>
            <w:tcW w:w="366" w:type="pct"/>
            <w:tcBorders>
              <w:top w:val="nil"/>
              <w:left w:val="nil"/>
              <w:bottom w:val="nil"/>
              <w:right w:val="nil"/>
            </w:tcBorders>
            <w:shd w:val="clear" w:color="auto" w:fill="auto"/>
            <w:noWrap/>
            <w:vAlign w:val="center"/>
            <w:hideMark/>
          </w:tcPr>
          <w:p w14:paraId="0ECF9FB4"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Baja</w:t>
            </w:r>
          </w:p>
        </w:tc>
        <w:tc>
          <w:tcPr>
            <w:tcW w:w="440" w:type="pct"/>
            <w:tcBorders>
              <w:top w:val="nil"/>
              <w:left w:val="nil"/>
              <w:bottom w:val="nil"/>
              <w:right w:val="nil"/>
            </w:tcBorders>
            <w:shd w:val="clear" w:color="auto" w:fill="auto"/>
            <w:noWrap/>
            <w:vAlign w:val="center"/>
            <w:hideMark/>
          </w:tcPr>
          <w:p w14:paraId="4E2E76AF" w14:textId="77777777" w:rsidR="00F77FE5" w:rsidRPr="00F77FE5" w:rsidRDefault="00F77FE5" w:rsidP="00F77FE5">
            <w:pPr>
              <w:spacing w:before="20" w:after="0"/>
              <w:jc w:val="center"/>
              <w:rPr>
                <w:rFonts w:eastAsia="Times New Roman" w:cs="Arial"/>
                <w:sz w:val="12"/>
                <w:szCs w:val="20"/>
                <w:lang w:val="es-ES" w:eastAsia="en-US"/>
              </w:rPr>
            </w:pPr>
            <w:r w:rsidRPr="00F77FE5">
              <w:rPr>
                <w:rFonts w:eastAsia="Times New Roman" w:cs="Arial"/>
                <w:sz w:val="12"/>
                <w:szCs w:val="20"/>
                <w:lang w:val="es-ES" w:eastAsia="en-US"/>
              </w:rPr>
              <w:t>0</w:t>
            </w:r>
          </w:p>
        </w:tc>
      </w:tr>
      <w:tr w:rsidR="00F77FE5" w:rsidRPr="00F77FE5" w14:paraId="6C955D63" w14:textId="77777777" w:rsidTr="005A7CAD">
        <w:trPr>
          <w:trHeight w:val="315"/>
        </w:trPr>
        <w:tc>
          <w:tcPr>
            <w:tcW w:w="5000" w:type="pct"/>
            <w:gridSpan w:val="8"/>
            <w:tcBorders>
              <w:top w:val="single" w:sz="12" w:space="0" w:color="auto"/>
              <w:left w:val="nil"/>
              <w:bottom w:val="nil"/>
              <w:right w:val="nil"/>
            </w:tcBorders>
            <w:shd w:val="clear" w:color="000000" w:fill="FFFFFF"/>
            <w:vAlign w:val="center"/>
            <w:hideMark/>
          </w:tcPr>
          <w:p w14:paraId="008AEC3C" w14:textId="77777777" w:rsidR="00F77FE5" w:rsidRPr="005854F3" w:rsidRDefault="00F77FE5" w:rsidP="00F77FE5">
            <w:pPr>
              <w:spacing w:after="0"/>
              <w:rPr>
                <w:rFonts w:eastAsia="Times New Roman" w:cs="Calibri"/>
                <w:color w:val="000000"/>
                <w:sz w:val="12"/>
                <w:szCs w:val="12"/>
                <w:lang w:val="es-MX" w:eastAsia="es-MX"/>
              </w:rPr>
            </w:pPr>
            <w:r w:rsidRPr="005854F3">
              <w:rPr>
                <w:rFonts w:eastAsia="Times New Roman" w:cs="Calibri"/>
                <w:color w:val="000000"/>
                <w:sz w:val="12"/>
                <w:szCs w:val="12"/>
                <w:vertAlign w:val="superscript"/>
                <w:lang w:val="es-MX" w:eastAsia="es-MX"/>
              </w:rPr>
              <w:t>A_/</w:t>
            </w:r>
            <w:r w:rsidRPr="005854F3">
              <w:rPr>
                <w:rFonts w:eastAsia="Times New Roman" w:cs="Calibri"/>
                <w:color w:val="000000"/>
                <w:sz w:val="12"/>
                <w:szCs w:val="12"/>
                <w:lang w:val="es-MX" w:eastAsia="es-MX"/>
              </w:rPr>
              <w:t xml:space="preserve"> Además del ASM, se incorpora información registrada como recomendación o actividad, a efecto de clarificar su contenido.</w:t>
            </w:r>
            <w:r w:rsidRPr="005854F3">
              <w:rPr>
                <w:rFonts w:eastAsia="Times New Roman" w:cs="Calibri"/>
                <w:color w:val="000000"/>
                <w:sz w:val="12"/>
                <w:szCs w:val="12"/>
                <w:lang w:val="es-MX" w:eastAsia="es-MX"/>
              </w:rPr>
              <w:br/>
              <w:t>Fuente: Unidad de Evaluación del Desempeño, con Información proporcionada por las dependencias y entidades de la APF a las instancias coordinadoras.</w:t>
            </w:r>
          </w:p>
        </w:tc>
      </w:tr>
    </w:tbl>
    <w:p w14:paraId="392C8385" w14:textId="77777777" w:rsidR="00F77FE5" w:rsidRPr="00F77FE5" w:rsidRDefault="00F77FE5" w:rsidP="00F77FE5">
      <w:pPr>
        <w:jc w:val="both"/>
        <w:rPr>
          <w:rFonts w:eastAsia="Times New Roman" w:cs="Arial"/>
          <w:b/>
          <w:szCs w:val="20"/>
          <w:lang w:val="es-MX"/>
        </w:rPr>
      </w:pPr>
    </w:p>
    <w:p w14:paraId="51B14F10" w14:textId="272EBCAE" w:rsidR="00F77FE5" w:rsidRPr="00F77FE5" w:rsidRDefault="00F77FE5" w:rsidP="005854F3">
      <w:pPr>
        <w:spacing w:after="0"/>
        <w:rPr>
          <w:rFonts w:eastAsia="Times New Roman" w:cs="Arial"/>
          <w:b/>
          <w:szCs w:val="20"/>
          <w:lang w:val="es-ES"/>
        </w:rPr>
      </w:pPr>
      <w:r w:rsidRPr="00F77FE5">
        <w:rPr>
          <w:rFonts w:eastAsia="Times New Roman" w:cs="Arial"/>
          <w:b/>
          <w:szCs w:val="20"/>
          <w:lang w:val="es-ES"/>
        </w:rPr>
        <w:t>ASM derivados de las evaluaciones externas coordinadas por la SHCP</w:t>
      </w:r>
    </w:p>
    <w:p w14:paraId="1A3307EF"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ES"/>
        </w:rPr>
        <w:t>Al primer trimestre de 2018, las dependencias y entidades con evaluaciones externas concluidas y coordinadas por la SHCP que corresponden al PAE 2017 y anteriores, instrumentaron acciones en un total de 160 ASM.</w:t>
      </w:r>
    </w:p>
    <w:p w14:paraId="32C41D9D"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ES"/>
        </w:rPr>
        <w:t xml:space="preserve">Los 160 ASM corresponden a 62 </w:t>
      </w:r>
      <w:proofErr w:type="spellStart"/>
      <w:r w:rsidRPr="00F77FE5">
        <w:rPr>
          <w:rFonts w:eastAsia="Times New Roman" w:cs="Arial"/>
          <w:szCs w:val="20"/>
          <w:lang w:val="es-ES"/>
        </w:rPr>
        <w:t>Pp</w:t>
      </w:r>
      <w:proofErr w:type="spellEnd"/>
      <w:r w:rsidRPr="00F77FE5">
        <w:rPr>
          <w:rFonts w:eastAsia="Times New Roman" w:cs="Arial"/>
          <w:szCs w:val="20"/>
          <w:lang w:val="es-ES"/>
        </w:rPr>
        <w:t xml:space="preserve"> de 38 dependencias y entidades, y de conformidad con el actor involucrado en su solución, se distribuyen de la siguiente manera: 78 (48.8%) son del tipo específico, 74 (46.2%) corresponden al tipo institucional, siete (4.4%) son de carácter interinstitucional y uno (0.6%) corresponde al tipo intergubernamental.</w:t>
      </w:r>
    </w:p>
    <w:p w14:paraId="28B0D5F2" w14:textId="77777777" w:rsidR="00F77FE5" w:rsidRPr="00F77FE5" w:rsidRDefault="00F77FE5" w:rsidP="00F77FE5">
      <w:pPr>
        <w:jc w:val="both"/>
        <w:rPr>
          <w:rFonts w:ascii="Cambria" w:eastAsia="Times New Roman" w:hAnsi="Cambria" w:cs="Arial"/>
          <w:sz w:val="20"/>
          <w:szCs w:val="20"/>
          <w:lang w:val="es-ES" w:eastAsia="es-MX"/>
        </w:rPr>
      </w:pPr>
      <w:r w:rsidRPr="00F77FE5">
        <w:rPr>
          <w:rFonts w:eastAsia="Times New Roman" w:cs="Arial"/>
          <w:szCs w:val="20"/>
          <w:lang w:val="es-ES"/>
        </w:rPr>
        <w:t xml:space="preserve">Asimismo, de estos 160 ASM, los Ramos que destacan son los siguientes: Economía con 24 (15.0%); Gobernación con 21 (13.1%); y Medio Ambiente y Recursos Naturales con 16 (10.0%). </w:t>
      </w:r>
      <w:r w:rsidRPr="00F77FE5">
        <w:rPr>
          <w:rFonts w:eastAsia="Times New Roman" w:cs="Arial"/>
          <w:szCs w:val="20"/>
          <w:lang w:val="es-ES"/>
        </w:rPr>
        <w:fldChar w:fldCharType="begin"/>
      </w:r>
      <w:r w:rsidRPr="00F77FE5">
        <w:rPr>
          <w:rFonts w:eastAsia="Times New Roman" w:cs="Arial"/>
          <w:szCs w:val="20"/>
          <w:lang w:val="es-ES"/>
        </w:rPr>
        <w:instrText xml:space="preserve"> LINK Excel.Sheet.12 "C:\\Users\\monica_amezcua\\Documents\\2016\\ASM 3ER TRIM 2016\\Base de Datos ASM_3er trim 2016.xlsx" graficos!F8C2:F75C9 \a \f 4 \h  \* MERGEFORMAT </w:instrText>
      </w:r>
      <w:r w:rsidRPr="00F77FE5">
        <w:rPr>
          <w:rFonts w:eastAsia="Times New Roman" w:cs="Arial"/>
          <w:szCs w:val="20"/>
          <w:lang w:val="es-ES"/>
        </w:rPr>
        <w:fldChar w:fldCharType="separate"/>
      </w:r>
    </w:p>
    <w:p w14:paraId="230C6A73" w14:textId="77777777" w:rsidR="00F77FE5" w:rsidRPr="00F77FE5" w:rsidRDefault="00F77FE5" w:rsidP="00F77FE5">
      <w:pPr>
        <w:jc w:val="both"/>
        <w:rPr>
          <w:color w:val="FF0000"/>
          <w:lang w:val="es-MX"/>
        </w:rPr>
      </w:pPr>
      <w:r w:rsidRPr="00F77FE5">
        <w:rPr>
          <w:lang w:val="es-MX"/>
        </w:rPr>
        <w:fldChar w:fldCharType="end"/>
      </w:r>
    </w:p>
    <w:tbl>
      <w:tblPr>
        <w:tblW w:w="5000" w:type="pct"/>
        <w:tblLayout w:type="fixed"/>
        <w:tblCellMar>
          <w:left w:w="70" w:type="dxa"/>
          <w:right w:w="70" w:type="dxa"/>
        </w:tblCellMar>
        <w:tblLook w:val="04A0" w:firstRow="1" w:lastRow="0" w:firstColumn="1" w:lastColumn="0" w:noHBand="0" w:noVBand="1"/>
      </w:tblPr>
      <w:tblGrid>
        <w:gridCol w:w="1632"/>
        <w:gridCol w:w="1370"/>
        <w:gridCol w:w="1135"/>
        <w:gridCol w:w="991"/>
        <w:gridCol w:w="1276"/>
        <w:gridCol w:w="1560"/>
        <w:gridCol w:w="708"/>
        <w:gridCol w:w="1300"/>
      </w:tblGrid>
      <w:tr w:rsidR="00F77FE5" w:rsidRPr="00F77FE5" w14:paraId="2EAD770A" w14:textId="77777777" w:rsidTr="005A7CAD">
        <w:trPr>
          <w:trHeight w:val="300"/>
          <w:tblHeader/>
        </w:trPr>
        <w:tc>
          <w:tcPr>
            <w:tcW w:w="5000" w:type="pct"/>
            <w:gridSpan w:val="8"/>
            <w:tcBorders>
              <w:top w:val="nil"/>
              <w:left w:val="nil"/>
              <w:bottom w:val="nil"/>
              <w:right w:val="nil"/>
            </w:tcBorders>
            <w:shd w:val="clear" w:color="000000" w:fill="EAF1DD"/>
            <w:vAlign w:val="center"/>
            <w:hideMark/>
          </w:tcPr>
          <w:p w14:paraId="2E5C86D5" w14:textId="77777777" w:rsidR="00F77FE5" w:rsidRPr="00F77FE5" w:rsidRDefault="00F77FE5" w:rsidP="00F77FE5">
            <w:pPr>
              <w:spacing w:after="0"/>
              <w:jc w:val="center"/>
              <w:rPr>
                <w:rFonts w:eastAsia="Times New Roman" w:cs="Calibri"/>
                <w:color w:val="000000"/>
                <w:sz w:val="18"/>
                <w:szCs w:val="18"/>
                <w:lang w:val="es-MX" w:eastAsia="es-MX"/>
              </w:rPr>
            </w:pPr>
            <w:r w:rsidRPr="00F77FE5">
              <w:rPr>
                <w:rFonts w:eastAsia="Times New Roman" w:cs="Calibri"/>
                <w:color w:val="000000"/>
                <w:sz w:val="18"/>
                <w:szCs w:val="18"/>
                <w:lang w:val="es-MX" w:eastAsia="es-MX"/>
              </w:rPr>
              <w:t>Tabla 6. Tipo de ASM por Ramo y por dependencia o entidad al 31 marzo de 2018</w:t>
            </w:r>
          </w:p>
        </w:tc>
      </w:tr>
      <w:tr w:rsidR="00F77FE5" w:rsidRPr="00F77FE5" w14:paraId="72897571" w14:textId="77777777" w:rsidTr="005A7CAD">
        <w:trPr>
          <w:trHeight w:val="315"/>
          <w:tblHeader/>
        </w:trPr>
        <w:tc>
          <w:tcPr>
            <w:tcW w:w="818" w:type="pct"/>
            <w:tcBorders>
              <w:top w:val="nil"/>
              <w:left w:val="nil"/>
              <w:bottom w:val="single" w:sz="12" w:space="0" w:color="auto"/>
              <w:right w:val="nil"/>
            </w:tcBorders>
            <w:shd w:val="clear" w:color="000000" w:fill="FFFFFF"/>
            <w:noWrap/>
            <w:vAlign w:val="center"/>
            <w:hideMark/>
          </w:tcPr>
          <w:p w14:paraId="4FBC966B"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Ramo</w:t>
            </w:r>
          </w:p>
        </w:tc>
        <w:tc>
          <w:tcPr>
            <w:tcW w:w="687" w:type="pct"/>
            <w:tcBorders>
              <w:top w:val="nil"/>
              <w:left w:val="nil"/>
              <w:bottom w:val="single" w:sz="12" w:space="0" w:color="auto"/>
              <w:right w:val="nil"/>
            </w:tcBorders>
            <w:shd w:val="clear" w:color="000000" w:fill="FFFFFF"/>
            <w:noWrap/>
            <w:vAlign w:val="center"/>
            <w:hideMark/>
          </w:tcPr>
          <w:p w14:paraId="10E37445"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Dependencia o Entidad</w:t>
            </w:r>
          </w:p>
        </w:tc>
        <w:tc>
          <w:tcPr>
            <w:tcW w:w="569" w:type="pct"/>
            <w:tcBorders>
              <w:top w:val="nil"/>
              <w:left w:val="nil"/>
              <w:bottom w:val="single" w:sz="12" w:space="0" w:color="auto"/>
              <w:right w:val="nil"/>
            </w:tcBorders>
            <w:shd w:val="clear" w:color="000000" w:fill="FFFFFF"/>
            <w:noWrap/>
            <w:vAlign w:val="center"/>
            <w:hideMark/>
          </w:tcPr>
          <w:p w14:paraId="00F0360A"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Específico</w:t>
            </w:r>
          </w:p>
        </w:tc>
        <w:tc>
          <w:tcPr>
            <w:tcW w:w="497" w:type="pct"/>
            <w:tcBorders>
              <w:top w:val="nil"/>
              <w:left w:val="nil"/>
              <w:bottom w:val="single" w:sz="12" w:space="0" w:color="auto"/>
              <w:right w:val="nil"/>
            </w:tcBorders>
            <w:shd w:val="clear" w:color="000000" w:fill="FFFFFF"/>
            <w:noWrap/>
            <w:vAlign w:val="center"/>
            <w:hideMark/>
          </w:tcPr>
          <w:p w14:paraId="1A55CF3D"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Institucional</w:t>
            </w:r>
          </w:p>
        </w:tc>
        <w:tc>
          <w:tcPr>
            <w:tcW w:w="640" w:type="pct"/>
            <w:tcBorders>
              <w:top w:val="nil"/>
              <w:left w:val="nil"/>
              <w:bottom w:val="single" w:sz="12" w:space="0" w:color="auto"/>
              <w:right w:val="nil"/>
            </w:tcBorders>
            <w:shd w:val="clear" w:color="000000" w:fill="FFFFFF"/>
            <w:noWrap/>
            <w:vAlign w:val="center"/>
            <w:hideMark/>
          </w:tcPr>
          <w:p w14:paraId="68FC1413"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Interinstitucional</w:t>
            </w:r>
          </w:p>
        </w:tc>
        <w:tc>
          <w:tcPr>
            <w:tcW w:w="782" w:type="pct"/>
            <w:tcBorders>
              <w:top w:val="nil"/>
              <w:left w:val="nil"/>
              <w:bottom w:val="single" w:sz="12" w:space="0" w:color="auto"/>
              <w:right w:val="nil"/>
            </w:tcBorders>
            <w:shd w:val="clear" w:color="000000" w:fill="FFFFFF"/>
            <w:noWrap/>
            <w:vAlign w:val="center"/>
            <w:hideMark/>
          </w:tcPr>
          <w:p w14:paraId="299B1C18"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Intergubernamental</w:t>
            </w:r>
          </w:p>
        </w:tc>
        <w:tc>
          <w:tcPr>
            <w:tcW w:w="355" w:type="pct"/>
            <w:tcBorders>
              <w:top w:val="nil"/>
              <w:left w:val="nil"/>
              <w:bottom w:val="single" w:sz="12" w:space="0" w:color="auto"/>
              <w:right w:val="nil"/>
            </w:tcBorders>
            <w:shd w:val="clear" w:color="000000" w:fill="FFFFFF"/>
            <w:noWrap/>
            <w:vAlign w:val="center"/>
            <w:hideMark/>
          </w:tcPr>
          <w:p w14:paraId="3E919830"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Total</w:t>
            </w:r>
          </w:p>
        </w:tc>
        <w:tc>
          <w:tcPr>
            <w:tcW w:w="652" w:type="pct"/>
            <w:tcBorders>
              <w:top w:val="nil"/>
              <w:left w:val="nil"/>
              <w:bottom w:val="single" w:sz="12" w:space="0" w:color="auto"/>
              <w:right w:val="nil"/>
            </w:tcBorders>
            <w:shd w:val="clear" w:color="000000" w:fill="FFFFFF"/>
            <w:noWrap/>
            <w:vAlign w:val="center"/>
            <w:hideMark/>
          </w:tcPr>
          <w:p w14:paraId="7288509C"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 del Total</w:t>
            </w:r>
          </w:p>
        </w:tc>
      </w:tr>
      <w:tr w:rsidR="00F77FE5" w:rsidRPr="00F77FE5" w14:paraId="14CF4320" w14:textId="77777777" w:rsidTr="005A7CAD">
        <w:trPr>
          <w:trHeight w:val="315"/>
        </w:trPr>
        <w:tc>
          <w:tcPr>
            <w:tcW w:w="1505" w:type="pct"/>
            <w:gridSpan w:val="2"/>
            <w:tcBorders>
              <w:top w:val="single" w:sz="12" w:space="0" w:color="auto"/>
              <w:left w:val="nil"/>
              <w:bottom w:val="nil"/>
              <w:right w:val="nil"/>
            </w:tcBorders>
            <w:shd w:val="clear" w:color="auto" w:fill="F2F2F2" w:themeFill="background1" w:themeFillShade="F2"/>
            <w:noWrap/>
            <w:vAlign w:val="center"/>
            <w:hideMark/>
          </w:tcPr>
          <w:p w14:paraId="1E6B6B29"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04 Gobernación</w:t>
            </w:r>
          </w:p>
        </w:tc>
        <w:tc>
          <w:tcPr>
            <w:tcW w:w="569" w:type="pct"/>
            <w:tcBorders>
              <w:top w:val="nil"/>
              <w:left w:val="nil"/>
              <w:bottom w:val="nil"/>
              <w:right w:val="nil"/>
            </w:tcBorders>
            <w:shd w:val="clear" w:color="auto" w:fill="F2F2F2" w:themeFill="background1" w:themeFillShade="F2"/>
            <w:noWrap/>
            <w:vAlign w:val="center"/>
            <w:hideMark/>
          </w:tcPr>
          <w:p w14:paraId="19FAC82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20</w:t>
            </w:r>
          </w:p>
        </w:tc>
        <w:tc>
          <w:tcPr>
            <w:tcW w:w="497" w:type="pct"/>
            <w:tcBorders>
              <w:top w:val="nil"/>
              <w:left w:val="nil"/>
              <w:bottom w:val="nil"/>
              <w:right w:val="nil"/>
            </w:tcBorders>
            <w:shd w:val="clear" w:color="auto" w:fill="F2F2F2" w:themeFill="background1" w:themeFillShade="F2"/>
            <w:noWrap/>
            <w:vAlign w:val="center"/>
          </w:tcPr>
          <w:p w14:paraId="44DD6C37"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auto" w:fill="F2F2F2" w:themeFill="background1" w:themeFillShade="F2"/>
            <w:noWrap/>
            <w:vAlign w:val="center"/>
            <w:hideMark/>
          </w:tcPr>
          <w:p w14:paraId="7D8D50F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782" w:type="pct"/>
            <w:tcBorders>
              <w:top w:val="nil"/>
              <w:left w:val="nil"/>
              <w:bottom w:val="nil"/>
              <w:right w:val="nil"/>
            </w:tcBorders>
            <w:shd w:val="clear" w:color="auto" w:fill="F2F2F2" w:themeFill="background1" w:themeFillShade="F2"/>
            <w:noWrap/>
            <w:vAlign w:val="center"/>
          </w:tcPr>
          <w:p w14:paraId="316835E0"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auto" w:fill="F2F2F2" w:themeFill="background1" w:themeFillShade="F2"/>
            <w:noWrap/>
            <w:vAlign w:val="center"/>
            <w:hideMark/>
          </w:tcPr>
          <w:p w14:paraId="05E7AEEA"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21</w:t>
            </w:r>
          </w:p>
        </w:tc>
        <w:tc>
          <w:tcPr>
            <w:tcW w:w="652" w:type="pct"/>
            <w:tcBorders>
              <w:top w:val="nil"/>
              <w:left w:val="nil"/>
              <w:bottom w:val="nil"/>
              <w:right w:val="nil"/>
            </w:tcBorders>
            <w:shd w:val="clear" w:color="auto" w:fill="F2F2F2" w:themeFill="background1" w:themeFillShade="F2"/>
            <w:noWrap/>
            <w:vAlign w:val="center"/>
            <w:hideMark/>
          </w:tcPr>
          <w:p w14:paraId="242E070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13.1</w:t>
            </w:r>
          </w:p>
        </w:tc>
      </w:tr>
      <w:tr w:rsidR="00F77FE5" w:rsidRPr="00F77FE5" w14:paraId="43768C07" w14:textId="77777777" w:rsidTr="005A7CAD">
        <w:trPr>
          <w:trHeight w:val="300"/>
        </w:trPr>
        <w:tc>
          <w:tcPr>
            <w:tcW w:w="818" w:type="pct"/>
            <w:tcBorders>
              <w:top w:val="nil"/>
              <w:left w:val="nil"/>
              <w:bottom w:val="nil"/>
              <w:right w:val="nil"/>
            </w:tcBorders>
            <w:shd w:val="clear" w:color="000000" w:fill="FFFFFF"/>
            <w:noWrap/>
            <w:vAlign w:val="center"/>
            <w:hideMark/>
          </w:tcPr>
          <w:p w14:paraId="6E4ED7F9"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61C051E2"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CENAPRED</w:t>
            </w:r>
          </w:p>
        </w:tc>
        <w:tc>
          <w:tcPr>
            <w:tcW w:w="569" w:type="pct"/>
            <w:tcBorders>
              <w:top w:val="nil"/>
              <w:left w:val="nil"/>
              <w:bottom w:val="nil"/>
              <w:right w:val="nil"/>
            </w:tcBorders>
            <w:shd w:val="clear" w:color="000000" w:fill="FFFFFF"/>
            <w:noWrap/>
            <w:vAlign w:val="center"/>
            <w:hideMark/>
          </w:tcPr>
          <w:p w14:paraId="2A1230A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497" w:type="pct"/>
            <w:tcBorders>
              <w:top w:val="nil"/>
              <w:left w:val="nil"/>
              <w:bottom w:val="nil"/>
              <w:right w:val="nil"/>
            </w:tcBorders>
            <w:shd w:val="clear" w:color="000000" w:fill="FFFFFF"/>
            <w:noWrap/>
            <w:vAlign w:val="center"/>
          </w:tcPr>
          <w:p w14:paraId="16E06F0D"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3B11020A"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16881BF1"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7EA4AC0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0E67E987"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22CF157C" w14:textId="77777777" w:rsidTr="005A7CAD">
        <w:trPr>
          <w:trHeight w:val="300"/>
        </w:trPr>
        <w:tc>
          <w:tcPr>
            <w:tcW w:w="818" w:type="pct"/>
            <w:tcBorders>
              <w:top w:val="nil"/>
              <w:left w:val="nil"/>
              <w:bottom w:val="nil"/>
              <w:right w:val="nil"/>
            </w:tcBorders>
            <w:shd w:val="clear" w:color="000000" w:fill="FFFFFF"/>
            <w:noWrap/>
            <w:vAlign w:val="center"/>
            <w:hideMark/>
          </w:tcPr>
          <w:p w14:paraId="35E6B3EC"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6E91343B"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CONAVIM</w:t>
            </w:r>
          </w:p>
        </w:tc>
        <w:tc>
          <w:tcPr>
            <w:tcW w:w="569" w:type="pct"/>
            <w:tcBorders>
              <w:top w:val="nil"/>
              <w:left w:val="nil"/>
              <w:bottom w:val="nil"/>
              <w:right w:val="nil"/>
            </w:tcBorders>
            <w:shd w:val="clear" w:color="000000" w:fill="FFFFFF"/>
            <w:noWrap/>
            <w:vAlign w:val="center"/>
            <w:hideMark/>
          </w:tcPr>
          <w:p w14:paraId="538DB0E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7</w:t>
            </w:r>
          </w:p>
        </w:tc>
        <w:tc>
          <w:tcPr>
            <w:tcW w:w="497" w:type="pct"/>
            <w:tcBorders>
              <w:top w:val="nil"/>
              <w:left w:val="nil"/>
              <w:bottom w:val="nil"/>
              <w:right w:val="nil"/>
            </w:tcBorders>
            <w:shd w:val="clear" w:color="000000" w:fill="FFFFFF"/>
            <w:noWrap/>
            <w:vAlign w:val="center"/>
          </w:tcPr>
          <w:p w14:paraId="7DC92060"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27EC107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264170F1"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379685B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2495D31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65B314A3" w14:textId="77777777" w:rsidTr="005A7CAD">
        <w:trPr>
          <w:trHeight w:val="300"/>
        </w:trPr>
        <w:tc>
          <w:tcPr>
            <w:tcW w:w="818" w:type="pct"/>
            <w:tcBorders>
              <w:top w:val="nil"/>
              <w:left w:val="nil"/>
              <w:bottom w:val="nil"/>
              <w:right w:val="nil"/>
            </w:tcBorders>
            <w:shd w:val="clear" w:color="000000" w:fill="FFFFFF"/>
            <w:noWrap/>
            <w:vAlign w:val="center"/>
            <w:hideMark/>
          </w:tcPr>
          <w:p w14:paraId="7D77F582"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7E1276A8"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INM</w:t>
            </w:r>
          </w:p>
        </w:tc>
        <w:tc>
          <w:tcPr>
            <w:tcW w:w="569" w:type="pct"/>
            <w:tcBorders>
              <w:top w:val="nil"/>
              <w:left w:val="nil"/>
              <w:bottom w:val="nil"/>
              <w:right w:val="nil"/>
            </w:tcBorders>
            <w:shd w:val="clear" w:color="000000" w:fill="FFFFFF"/>
            <w:noWrap/>
            <w:vAlign w:val="center"/>
            <w:hideMark/>
          </w:tcPr>
          <w:p w14:paraId="255F03B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97" w:type="pct"/>
            <w:tcBorders>
              <w:top w:val="nil"/>
              <w:left w:val="nil"/>
              <w:bottom w:val="nil"/>
              <w:right w:val="nil"/>
            </w:tcBorders>
            <w:shd w:val="clear" w:color="000000" w:fill="FFFFFF"/>
            <w:noWrap/>
            <w:vAlign w:val="center"/>
          </w:tcPr>
          <w:p w14:paraId="491F5B7A"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hideMark/>
          </w:tcPr>
          <w:p w14:paraId="53052DC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782" w:type="pct"/>
            <w:tcBorders>
              <w:top w:val="nil"/>
              <w:left w:val="nil"/>
              <w:bottom w:val="nil"/>
              <w:right w:val="nil"/>
            </w:tcBorders>
            <w:shd w:val="clear" w:color="000000" w:fill="FFFFFF"/>
            <w:noWrap/>
            <w:vAlign w:val="center"/>
          </w:tcPr>
          <w:p w14:paraId="08BA6964"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7269CDF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6010204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68BDBB21" w14:textId="77777777" w:rsidTr="005A7CAD">
        <w:trPr>
          <w:trHeight w:val="300"/>
        </w:trPr>
        <w:tc>
          <w:tcPr>
            <w:tcW w:w="818" w:type="pct"/>
            <w:tcBorders>
              <w:top w:val="nil"/>
              <w:left w:val="nil"/>
              <w:bottom w:val="nil"/>
              <w:right w:val="nil"/>
            </w:tcBorders>
            <w:shd w:val="clear" w:color="000000" w:fill="FFFFFF"/>
            <w:noWrap/>
            <w:vAlign w:val="center"/>
            <w:hideMark/>
          </w:tcPr>
          <w:p w14:paraId="222BB10B"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0133C832"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SEGOB</w:t>
            </w:r>
          </w:p>
        </w:tc>
        <w:tc>
          <w:tcPr>
            <w:tcW w:w="569" w:type="pct"/>
            <w:tcBorders>
              <w:top w:val="nil"/>
              <w:left w:val="nil"/>
              <w:bottom w:val="nil"/>
              <w:right w:val="nil"/>
            </w:tcBorders>
            <w:shd w:val="clear" w:color="000000" w:fill="FFFFFF"/>
            <w:noWrap/>
            <w:vAlign w:val="center"/>
            <w:hideMark/>
          </w:tcPr>
          <w:p w14:paraId="3A93C76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9</w:t>
            </w:r>
          </w:p>
        </w:tc>
        <w:tc>
          <w:tcPr>
            <w:tcW w:w="497" w:type="pct"/>
            <w:tcBorders>
              <w:top w:val="nil"/>
              <w:left w:val="nil"/>
              <w:bottom w:val="nil"/>
              <w:right w:val="nil"/>
            </w:tcBorders>
            <w:shd w:val="clear" w:color="000000" w:fill="FFFFFF"/>
            <w:noWrap/>
            <w:vAlign w:val="center"/>
          </w:tcPr>
          <w:p w14:paraId="5256B9AD"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641E0AAC"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6F8C46B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7382D431"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7D134EAA"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0799B77D" w14:textId="77777777" w:rsidTr="005A7CAD">
        <w:trPr>
          <w:trHeight w:val="300"/>
        </w:trPr>
        <w:tc>
          <w:tcPr>
            <w:tcW w:w="818" w:type="pct"/>
            <w:tcBorders>
              <w:top w:val="nil"/>
              <w:left w:val="nil"/>
              <w:bottom w:val="nil"/>
              <w:right w:val="nil"/>
            </w:tcBorders>
            <w:shd w:val="clear" w:color="000000" w:fill="FFFFFF"/>
            <w:noWrap/>
            <w:vAlign w:val="center"/>
            <w:hideMark/>
          </w:tcPr>
          <w:p w14:paraId="51C0C611"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6B7B5549"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SESNSP</w:t>
            </w:r>
          </w:p>
        </w:tc>
        <w:tc>
          <w:tcPr>
            <w:tcW w:w="569" w:type="pct"/>
            <w:tcBorders>
              <w:top w:val="nil"/>
              <w:left w:val="nil"/>
              <w:bottom w:val="nil"/>
              <w:right w:val="nil"/>
            </w:tcBorders>
            <w:shd w:val="clear" w:color="000000" w:fill="FFFFFF"/>
            <w:noWrap/>
            <w:vAlign w:val="center"/>
            <w:hideMark/>
          </w:tcPr>
          <w:p w14:paraId="7583CCE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497" w:type="pct"/>
            <w:tcBorders>
              <w:top w:val="nil"/>
              <w:left w:val="nil"/>
              <w:bottom w:val="nil"/>
              <w:right w:val="nil"/>
            </w:tcBorders>
            <w:shd w:val="clear" w:color="000000" w:fill="FFFFFF"/>
            <w:noWrap/>
            <w:vAlign w:val="center"/>
          </w:tcPr>
          <w:p w14:paraId="5C59803B"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70993311"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404918FF"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4F50D85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6B89269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1316B51B"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2F20E10C"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05 Relaciones Exteriores</w:t>
            </w:r>
          </w:p>
        </w:tc>
        <w:tc>
          <w:tcPr>
            <w:tcW w:w="569" w:type="pct"/>
            <w:tcBorders>
              <w:top w:val="nil"/>
              <w:left w:val="nil"/>
              <w:bottom w:val="nil"/>
              <w:right w:val="nil"/>
            </w:tcBorders>
            <w:shd w:val="clear" w:color="auto" w:fill="F2F2F2" w:themeFill="background1" w:themeFillShade="F2"/>
            <w:noWrap/>
            <w:vAlign w:val="center"/>
            <w:hideMark/>
          </w:tcPr>
          <w:p w14:paraId="1B664A6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3</w:t>
            </w:r>
          </w:p>
        </w:tc>
        <w:tc>
          <w:tcPr>
            <w:tcW w:w="497" w:type="pct"/>
            <w:tcBorders>
              <w:top w:val="nil"/>
              <w:left w:val="nil"/>
              <w:bottom w:val="nil"/>
              <w:right w:val="nil"/>
            </w:tcBorders>
            <w:shd w:val="clear" w:color="auto" w:fill="F2F2F2" w:themeFill="background1" w:themeFillShade="F2"/>
            <w:noWrap/>
            <w:vAlign w:val="center"/>
          </w:tcPr>
          <w:p w14:paraId="3E40F802"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auto" w:fill="F2F2F2" w:themeFill="background1" w:themeFillShade="F2"/>
            <w:noWrap/>
            <w:vAlign w:val="center"/>
          </w:tcPr>
          <w:p w14:paraId="5D772D1B"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400A507B"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auto" w:fill="F2F2F2" w:themeFill="background1" w:themeFillShade="F2"/>
            <w:noWrap/>
            <w:vAlign w:val="center"/>
            <w:hideMark/>
          </w:tcPr>
          <w:p w14:paraId="66BE593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3</w:t>
            </w:r>
          </w:p>
        </w:tc>
        <w:tc>
          <w:tcPr>
            <w:tcW w:w="652" w:type="pct"/>
            <w:tcBorders>
              <w:top w:val="nil"/>
              <w:left w:val="nil"/>
              <w:bottom w:val="nil"/>
              <w:right w:val="nil"/>
            </w:tcBorders>
            <w:shd w:val="clear" w:color="auto" w:fill="F2F2F2" w:themeFill="background1" w:themeFillShade="F2"/>
            <w:noWrap/>
            <w:vAlign w:val="center"/>
            <w:hideMark/>
          </w:tcPr>
          <w:p w14:paraId="2F70BD3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1.9</w:t>
            </w:r>
          </w:p>
        </w:tc>
      </w:tr>
      <w:tr w:rsidR="00F77FE5" w:rsidRPr="00F77FE5" w14:paraId="4831F301" w14:textId="77777777" w:rsidTr="005A7CAD">
        <w:trPr>
          <w:trHeight w:val="300"/>
        </w:trPr>
        <w:tc>
          <w:tcPr>
            <w:tcW w:w="818" w:type="pct"/>
            <w:tcBorders>
              <w:top w:val="nil"/>
              <w:left w:val="nil"/>
              <w:bottom w:val="nil"/>
              <w:right w:val="nil"/>
            </w:tcBorders>
            <w:shd w:val="clear" w:color="000000" w:fill="FFFFFF"/>
            <w:noWrap/>
            <w:vAlign w:val="center"/>
            <w:hideMark/>
          </w:tcPr>
          <w:p w14:paraId="692E780A"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36C0106B"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SRE</w:t>
            </w:r>
          </w:p>
        </w:tc>
        <w:tc>
          <w:tcPr>
            <w:tcW w:w="569" w:type="pct"/>
            <w:tcBorders>
              <w:top w:val="nil"/>
              <w:left w:val="nil"/>
              <w:bottom w:val="nil"/>
              <w:right w:val="nil"/>
            </w:tcBorders>
            <w:shd w:val="clear" w:color="000000" w:fill="FFFFFF"/>
            <w:noWrap/>
            <w:vAlign w:val="center"/>
            <w:hideMark/>
          </w:tcPr>
          <w:p w14:paraId="0142AB3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3</w:t>
            </w:r>
          </w:p>
        </w:tc>
        <w:tc>
          <w:tcPr>
            <w:tcW w:w="497" w:type="pct"/>
            <w:tcBorders>
              <w:top w:val="nil"/>
              <w:left w:val="nil"/>
              <w:bottom w:val="nil"/>
              <w:right w:val="nil"/>
            </w:tcBorders>
            <w:shd w:val="clear" w:color="000000" w:fill="FFFFFF"/>
            <w:noWrap/>
            <w:vAlign w:val="center"/>
          </w:tcPr>
          <w:p w14:paraId="75AF4EB8"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616BDEB5"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024BA07F"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2A58DA57"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2DBD09E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2D4EE3D8"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3F445284"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06 Hacienda y Crédito Público</w:t>
            </w:r>
          </w:p>
        </w:tc>
        <w:tc>
          <w:tcPr>
            <w:tcW w:w="569" w:type="pct"/>
            <w:tcBorders>
              <w:top w:val="nil"/>
              <w:left w:val="nil"/>
              <w:bottom w:val="nil"/>
              <w:right w:val="nil"/>
            </w:tcBorders>
            <w:shd w:val="clear" w:color="auto" w:fill="F2F2F2" w:themeFill="background1" w:themeFillShade="F2"/>
            <w:noWrap/>
            <w:vAlign w:val="center"/>
            <w:hideMark/>
          </w:tcPr>
          <w:p w14:paraId="3B1E740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w:t>
            </w:r>
          </w:p>
        </w:tc>
        <w:tc>
          <w:tcPr>
            <w:tcW w:w="497" w:type="pct"/>
            <w:tcBorders>
              <w:top w:val="nil"/>
              <w:left w:val="nil"/>
              <w:bottom w:val="nil"/>
              <w:right w:val="nil"/>
            </w:tcBorders>
            <w:shd w:val="clear" w:color="auto" w:fill="F2F2F2" w:themeFill="background1" w:themeFillShade="F2"/>
            <w:noWrap/>
            <w:vAlign w:val="center"/>
            <w:hideMark/>
          </w:tcPr>
          <w:p w14:paraId="1A564E3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3</w:t>
            </w:r>
          </w:p>
        </w:tc>
        <w:tc>
          <w:tcPr>
            <w:tcW w:w="640" w:type="pct"/>
            <w:tcBorders>
              <w:top w:val="nil"/>
              <w:left w:val="nil"/>
              <w:bottom w:val="nil"/>
              <w:right w:val="nil"/>
            </w:tcBorders>
            <w:shd w:val="clear" w:color="auto" w:fill="F2F2F2" w:themeFill="background1" w:themeFillShade="F2"/>
            <w:noWrap/>
            <w:vAlign w:val="center"/>
            <w:hideMark/>
          </w:tcPr>
          <w:p w14:paraId="7C028E3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782" w:type="pct"/>
            <w:tcBorders>
              <w:top w:val="nil"/>
              <w:left w:val="nil"/>
              <w:bottom w:val="nil"/>
              <w:right w:val="nil"/>
            </w:tcBorders>
            <w:shd w:val="clear" w:color="auto" w:fill="F2F2F2" w:themeFill="background1" w:themeFillShade="F2"/>
            <w:noWrap/>
            <w:vAlign w:val="center"/>
          </w:tcPr>
          <w:p w14:paraId="091764DF"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auto" w:fill="F2F2F2" w:themeFill="background1" w:themeFillShade="F2"/>
            <w:noWrap/>
            <w:vAlign w:val="center"/>
            <w:hideMark/>
          </w:tcPr>
          <w:p w14:paraId="6185872A"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8</w:t>
            </w:r>
          </w:p>
        </w:tc>
        <w:tc>
          <w:tcPr>
            <w:tcW w:w="652" w:type="pct"/>
            <w:tcBorders>
              <w:top w:val="nil"/>
              <w:left w:val="nil"/>
              <w:bottom w:val="nil"/>
              <w:right w:val="nil"/>
            </w:tcBorders>
            <w:shd w:val="clear" w:color="auto" w:fill="F2F2F2" w:themeFill="background1" w:themeFillShade="F2"/>
            <w:noWrap/>
            <w:vAlign w:val="center"/>
            <w:hideMark/>
          </w:tcPr>
          <w:p w14:paraId="5A9F536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5.0</w:t>
            </w:r>
          </w:p>
        </w:tc>
      </w:tr>
      <w:tr w:rsidR="00F77FE5" w:rsidRPr="00F77FE5" w14:paraId="2FE681FC" w14:textId="77777777" w:rsidTr="005A7CAD">
        <w:trPr>
          <w:trHeight w:val="300"/>
        </w:trPr>
        <w:tc>
          <w:tcPr>
            <w:tcW w:w="818" w:type="pct"/>
            <w:tcBorders>
              <w:top w:val="nil"/>
              <w:left w:val="nil"/>
              <w:bottom w:val="nil"/>
              <w:right w:val="nil"/>
            </w:tcBorders>
            <w:shd w:val="clear" w:color="000000" w:fill="FFFFFF"/>
            <w:noWrap/>
            <w:vAlign w:val="center"/>
            <w:hideMark/>
          </w:tcPr>
          <w:p w14:paraId="46879801"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5ADF4397"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BANSEFI</w:t>
            </w:r>
          </w:p>
        </w:tc>
        <w:tc>
          <w:tcPr>
            <w:tcW w:w="569" w:type="pct"/>
            <w:tcBorders>
              <w:top w:val="nil"/>
              <w:left w:val="nil"/>
              <w:bottom w:val="nil"/>
              <w:right w:val="nil"/>
            </w:tcBorders>
            <w:shd w:val="clear" w:color="000000" w:fill="FFFFFF"/>
            <w:noWrap/>
            <w:vAlign w:val="center"/>
            <w:hideMark/>
          </w:tcPr>
          <w:p w14:paraId="4230E0E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97" w:type="pct"/>
            <w:tcBorders>
              <w:top w:val="nil"/>
              <w:left w:val="nil"/>
              <w:bottom w:val="nil"/>
              <w:right w:val="nil"/>
            </w:tcBorders>
            <w:shd w:val="clear" w:color="000000" w:fill="FFFFFF"/>
            <w:noWrap/>
            <w:vAlign w:val="center"/>
          </w:tcPr>
          <w:p w14:paraId="6830F115"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389D9370"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102DFD3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4F58E6E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209FDCCE"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44E4E125" w14:textId="77777777" w:rsidTr="005A7CAD">
        <w:trPr>
          <w:trHeight w:val="300"/>
        </w:trPr>
        <w:tc>
          <w:tcPr>
            <w:tcW w:w="818" w:type="pct"/>
            <w:tcBorders>
              <w:top w:val="nil"/>
              <w:left w:val="nil"/>
              <w:bottom w:val="nil"/>
              <w:right w:val="nil"/>
            </w:tcBorders>
            <w:shd w:val="clear" w:color="000000" w:fill="FFFFFF"/>
            <w:noWrap/>
            <w:vAlign w:val="center"/>
            <w:hideMark/>
          </w:tcPr>
          <w:p w14:paraId="39156E66"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06390E55"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FND</w:t>
            </w:r>
          </w:p>
        </w:tc>
        <w:tc>
          <w:tcPr>
            <w:tcW w:w="569" w:type="pct"/>
            <w:tcBorders>
              <w:top w:val="nil"/>
              <w:left w:val="nil"/>
              <w:bottom w:val="nil"/>
              <w:right w:val="nil"/>
            </w:tcBorders>
            <w:shd w:val="clear" w:color="000000" w:fill="FFFFFF"/>
            <w:noWrap/>
            <w:vAlign w:val="center"/>
            <w:hideMark/>
          </w:tcPr>
          <w:p w14:paraId="55E78D1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97" w:type="pct"/>
            <w:tcBorders>
              <w:top w:val="nil"/>
              <w:left w:val="nil"/>
              <w:bottom w:val="nil"/>
              <w:right w:val="nil"/>
            </w:tcBorders>
            <w:shd w:val="clear" w:color="000000" w:fill="FFFFFF"/>
            <w:noWrap/>
            <w:vAlign w:val="center"/>
          </w:tcPr>
          <w:p w14:paraId="2F1CD718"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0074737D"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0E7F25A1"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3ED3533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4C2BBC55"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075E828A" w14:textId="77777777" w:rsidTr="005A7CAD">
        <w:trPr>
          <w:trHeight w:val="300"/>
        </w:trPr>
        <w:tc>
          <w:tcPr>
            <w:tcW w:w="818" w:type="pct"/>
            <w:tcBorders>
              <w:top w:val="nil"/>
              <w:left w:val="nil"/>
              <w:bottom w:val="nil"/>
              <w:right w:val="nil"/>
            </w:tcBorders>
            <w:shd w:val="clear" w:color="000000" w:fill="FFFFFF"/>
            <w:noWrap/>
            <w:vAlign w:val="center"/>
            <w:hideMark/>
          </w:tcPr>
          <w:p w14:paraId="1B9E213C"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1C6DB7A4"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SHCP</w:t>
            </w:r>
          </w:p>
        </w:tc>
        <w:tc>
          <w:tcPr>
            <w:tcW w:w="569" w:type="pct"/>
            <w:tcBorders>
              <w:top w:val="nil"/>
              <w:left w:val="nil"/>
              <w:bottom w:val="nil"/>
              <w:right w:val="nil"/>
            </w:tcBorders>
            <w:shd w:val="clear" w:color="000000" w:fill="FFFFFF"/>
            <w:noWrap/>
            <w:vAlign w:val="center"/>
            <w:hideMark/>
          </w:tcPr>
          <w:p w14:paraId="382AD4F0"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97" w:type="pct"/>
            <w:tcBorders>
              <w:top w:val="nil"/>
              <w:left w:val="nil"/>
              <w:bottom w:val="nil"/>
              <w:right w:val="nil"/>
            </w:tcBorders>
            <w:shd w:val="clear" w:color="000000" w:fill="FFFFFF"/>
            <w:noWrap/>
            <w:vAlign w:val="center"/>
            <w:hideMark/>
          </w:tcPr>
          <w:p w14:paraId="5E37C42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640" w:type="pct"/>
            <w:tcBorders>
              <w:top w:val="nil"/>
              <w:left w:val="nil"/>
              <w:bottom w:val="nil"/>
              <w:right w:val="nil"/>
            </w:tcBorders>
            <w:shd w:val="clear" w:color="000000" w:fill="FFFFFF"/>
            <w:noWrap/>
            <w:vAlign w:val="center"/>
            <w:hideMark/>
          </w:tcPr>
          <w:p w14:paraId="1C6D7C51"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2F46E8F9"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4E645F1D"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7BA1C06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456013D2" w14:textId="77777777" w:rsidTr="005A7CAD">
        <w:trPr>
          <w:trHeight w:val="300"/>
        </w:trPr>
        <w:tc>
          <w:tcPr>
            <w:tcW w:w="818" w:type="pct"/>
            <w:tcBorders>
              <w:top w:val="nil"/>
              <w:left w:val="nil"/>
              <w:bottom w:val="nil"/>
              <w:right w:val="nil"/>
            </w:tcBorders>
            <w:shd w:val="clear" w:color="000000" w:fill="FFFFFF"/>
            <w:noWrap/>
            <w:vAlign w:val="center"/>
            <w:hideMark/>
          </w:tcPr>
          <w:p w14:paraId="4FC2A340"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78FDB426"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SAE</w:t>
            </w:r>
          </w:p>
        </w:tc>
        <w:tc>
          <w:tcPr>
            <w:tcW w:w="569" w:type="pct"/>
            <w:tcBorders>
              <w:top w:val="nil"/>
              <w:left w:val="nil"/>
              <w:bottom w:val="nil"/>
              <w:right w:val="nil"/>
            </w:tcBorders>
            <w:shd w:val="clear" w:color="000000" w:fill="FFFFFF"/>
            <w:noWrap/>
            <w:vAlign w:val="center"/>
            <w:hideMark/>
          </w:tcPr>
          <w:p w14:paraId="37F51735"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97" w:type="pct"/>
            <w:tcBorders>
              <w:top w:val="nil"/>
              <w:left w:val="nil"/>
              <w:bottom w:val="nil"/>
              <w:right w:val="nil"/>
            </w:tcBorders>
            <w:shd w:val="clear" w:color="000000" w:fill="FFFFFF"/>
            <w:noWrap/>
            <w:vAlign w:val="center"/>
            <w:hideMark/>
          </w:tcPr>
          <w:p w14:paraId="50881A67"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640" w:type="pct"/>
            <w:tcBorders>
              <w:top w:val="nil"/>
              <w:left w:val="nil"/>
              <w:bottom w:val="nil"/>
              <w:right w:val="nil"/>
            </w:tcBorders>
            <w:shd w:val="clear" w:color="000000" w:fill="FFFFFF"/>
            <w:noWrap/>
            <w:vAlign w:val="center"/>
            <w:hideMark/>
          </w:tcPr>
          <w:p w14:paraId="1069CC9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782" w:type="pct"/>
            <w:tcBorders>
              <w:top w:val="nil"/>
              <w:left w:val="nil"/>
              <w:bottom w:val="nil"/>
              <w:right w:val="nil"/>
            </w:tcBorders>
            <w:shd w:val="clear" w:color="000000" w:fill="FFFFFF"/>
            <w:noWrap/>
            <w:vAlign w:val="center"/>
          </w:tcPr>
          <w:p w14:paraId="45D9A6C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49DFDA7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2BCBD2B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5251430F" w14:textId="77777777" w:rsidTr="005A7CAD">
        <w:trPr>
          <w:trHeight w:val="300"/>
        </w:trPr>
        <w:tc>
          <w:tcPr>
            <w:tcW w:w="818" w:type="pct"/>
            <w:tcBorders>
              <w:top w:val="nil"/>
              <w:left w:val="nil"/>
              <w:bottom w:val="nil"/>
              <w:right w:val="nil"/>
            </w:tcBorders>
            <w:shd w:val="clear" w:color="000000" w:fill="FFFFFF"/>
            <w:noWrap/>
            <w:vAlign w:val="center"/>
            <w:hideMark/>
          </w:tcPr>
          <w:p w14:paraId="11E5287F"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lastRenderedPageBreak/>
              <w:t> </w:t>
            </w:r>
          </w:p>
        </w:tc>
        <w:tc>
          <w:tcPr>
            <w:tcW w:w="687" w:type="pct"/>
            <w:tcBorders>
              <w:top w:val="nil"/>
              <w:left w:val="nil"/>
              <w:bottom w:val="nil"/>
              <w:right w:val="nil"/>
            </w:tcBorders>
            <w:shd w:val="clear" w:color="000000" w:fill="FFFFFF"/>
            <w:noWrap/>
            <w:vAlign w:val="center"/>
            <w:hideMark/>
          </w:tcPr>
          <w:p w14:paraId="1F4F555F"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TESOFE</w:t>
            </w:r>
          </w:p>
        </w:tc>
        <w:tc>
          <w:tcPr>
            <w:tcW w:w="569" w:type="pct"/>
            <w:tcBorders>
              <w:top w:val="nil"/>
              <w:left w:val="nil"/>
              <w:bottom w:val="nil"/>
              <w:right w:val="nil"/>
            </w:tcBorders>
            <w:shd w:val="clear" w:color="000000" w:fill="FFFFFF"/>
            <w:noWrap/>
            <w:vAlign w:val="center"/>
            <w:hideMark/>
          </w:tcPr>
          <w:p w14:paraId="418AF10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97" w:type="pct"/>
            <w:tcBorders>
              <w:top w:val="nil"/>
              <w:left w:val="nil"/>
              <w:bottom w:val="nil"/>
              <w:right w:val="nil"/>
            </w:tcBorders>
            <w:shd w:val="clear" w:color="000000" w:fill="FFFFFF"/>
            <w:noWrap/>
            <w:vAlign w:val="center"/>
          </w:tcPr>
          <w:p w14:paraId="0A4E943C"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039975BA"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31460F54"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67C6CA2D"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5047172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4EABF9F8"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12868040"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09 Comunicaciones y Transportes</w:t>
            </w:r>
          </w:p>
        </w:tc>
        <w:tc>
          <w:tcPr>
            <w:tcW w:w="569" w:type="pct"/>
            <w:tcBorders>
              <w:top w:val="nil"/>
              <w:left w:val="nil"/>
              <w:bottom w:val="nil"/>
              <w:right w:val="nil"/>
            </w:tcBorders>
            <w:shd w:val="clear" w:color="auto" w:fill="F2F2F2" w:themeFill="background1" w:themeFillShade="F2"/>
            <w:noWrap/>
            <w:vAlign w:val="center"/>
            <w:hideMark/>
          </w:tcPr>
          <w:p w14:paraId="4CF2DD0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9</w:t>
            </w:r>
          </w:p>
        </w:tc>
        <w:tc>
          <w:tcPr>
            <w:tcW w:w="497" w:type="pct"/>
            <w:tcBorders>
              <w:top w:val="nil"/>
              <w:left w:val="nil"/>
              <w:bottom w:val="nil"/>
              <w:right w:val="nil"/>
            </w:tcBorders>
            <w:shd w:val="clear" w:color="auto" w:fill="F2F2F2" w:themeFill="background1" w:themeFillShade="F2"/>
            <w:noWrap/>
            <w:vAlign w:val="center"/>
          </w:tcPr>
          <w:p w14:paraId="1C1573B0"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auto" w:fill="F2F2F2" w:themeFill="background1" w:themeFillShade="F2"/>
            <w:noWrap/>
            <w:vAlign w:val="center"/>
          </w:tcPr>
          <w:p w14:paraId="7E03F83B"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7956F2B4"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auto" w:fill="F2F2F2" w:themeFill="background1" w:themeFillShade="F2"/>
            <w:noWrap/>
            <w:vAlign w:val="center"/>
            <w:hideMark/>
          </w:tcPr>
          <w:p w14:paraId="17A9EC9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9</w:t>
            </w:r>
          </w:p>
        </w:tc>
        <w:tc>
          <w:tcPr>
            <w:tcW w:w="652" w:type="pct"/>
            <w:tcBorders>
              <w:top w:val="nil"/>
              <w:left w:val="nil"/>
              <w:bottom w:val="nil"/>
              <w:right w:val="nil"/>
            </w:tcBorders>
            <w:shd w:val="clear" w:color="auto" w:fill="F2F2F2" w:themeFill="background1" w:themeFillShade="F2"/>
            <w:noWrap/>
            <w:vAlign w:val="center"/>
            <w:hideMark/>
          </w:tcPr>
          <w:p w14:paraId="6CE6007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5.6</w:t>
            </w:r>
          </w:p>
        </w:tc>
      </w:tr>
      <w:tr w:rsidR="00F77FE5" w:rsidRPr="00F77FE5" w14:paraId="182FA2DE" w14:textId="77777777" w:rsidTr="005A7CAD">
        <w:trPr>
          <w:trHeight w:val="300"/>
        </w:trPr>
        <w:tc>
          <w:tcPr>
            <w:tcW w:w="818" w:type="pct"/>
            <w:tcBorders>
              <w:top w:val="nil"/>
              <w:left w:val="nil"/>
              <w:bottom w:val="nil"/>
              <w:right w:val="nil"/>
            </w:tcBorders>
            <w:shd w:val="clear" w:color="000000" w:fill="FFFFFF"/>
            <w:noWrap/>
            <w:vAlign w:val="center"/>
            <w:hideMark/>
          </w:tcPr>
          <w:p w14:paraId="36A16FF1"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6A504A03"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FIT</w:t>
            </w:r>
          </w:p>
        </w:tc>
        <w:tc>
          <w:tcPr>
            <w:tcW w:w="569" w:type="pct"/>
            <w:tcBorders>
              <w:top w:val="nil"/>
              <w:left w:val="nil"/>
              <w:bottom w:val="nil"/>
              <w:right w:val="nil"/>
            </w:tcBorders>
            <w:shd w:val="clear" w:color="000000" w:fill="FFFFFF"/>
            <w:noWrap/>
            <w:vAlign w:val="center"/>
            <w:hideMark/>
          </w:tcPr>
          <w:p w14:paraId="253450A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497" w:type="pct"/>
            <w:tcBorders>
              <w:top w:val="nil"/>
              <w:left w:val="nil"/>
              <w:bottom w:val="nil"/>
              <w:right w:val="nil"/>
            </w:tcBorders>
            <w:shd w:val="clear" w:color="000000" w:fill="FFFFFF"/>
            <w:noWrap/>
            <w:vAlign w:val="center"/>
          </w:tcPr>
          <w:p w14:paraId="6306B7EF"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13CB3E8B"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772B117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4A4AF50D"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38A7CB51"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3D3B5D06" w14:textId="77777777" w:rsidTr="005A7CAD">
        <w:trPr>
          <w:trHeight w:val="300"/>
        </w:trPr>
        <w:tc>
          <w:tcPr>
            <w:tcW w:w="818" w:type="pct"/>
            <w:tcBorders>
              <w:top w:val="nil"/>
              <w:left w:val="nil"/>
              <w:bottom w:val="nil"/>
              <w:right w:val="nil"/>
            </w:tcBorders>
            <w:shd w:val="clear" w:color="000000" w:fill="FFFFFF"/>
            <w:noWrap/>
            <w:vAlign w:val="center"/>
            <w:hideMark/>
          </w:tcPr>
          <w:p w14:paraId="7687DA37"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54CB5954"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IMT</w:t>
            </w:r>
          </w:p>
        </w:tc>
        <w:tc>
          <w:tcPr>
            <w:tcW w:w="569" w:type="pct"/>
            <w:tcBorders>
              <w:top w:val="nil"/>
              <w:left w:val="nil"/>
              <w:bottom w:val="nil"/>
              <w:right w:val="nil"/>
            </w:tcBorders>
            <w:shd w:val="clear" w:color="000000" w:fill="FFFFFF"/>
            <w:noWrap/>
            <w:vAlign w:val="center"/>
            <w:hideMark/>
          </w:tcPr>
          <w:p w14:paraId="182ED45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497" w:type="pct"/>
            <w:tcBorders>
              <w:top w:val="nil"/>
              <w:left w:val="nil"/>
              <w:bottom w:val="nil"/>
              <w:right w:val="nil"/>
            </w:tcBorders>
            <w:shd w:val="clear" w:color="000000" w:fill="FFFFFF"/>
            <w:noWrap/>
            <w:vAlign w:val="center"/>
          </w:tcPr>
          <w:p w14:paraId="5794EBDD"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07296A7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5AE5D6E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3E734CCA"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6855C38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709FC7F8" w14:textId="77777777" w:rsidTr="005A7CAD">
        <w:trPr>
          <w:trHeight w:val="300"/>
        </w:trPr>
        <w:tc>
          <w:tcPr>
            <w:tcW w:w="818" w:type="pct"/>
            <w:tcBorders>
              <w:top w:val="nil"/>
              <w:left w:val="nil"/>
              <w:bottom w:val="nil"/>
              <w:right w:val="nil"/>
            </w:tcBorders>
            <w:shd w:val="clear" w:color="000000" w:fill="FFFFFF"/>
            <w:noWrap/>
            <w:vAlign w:val="center"/>
            <w:hideMark/>
          </w:tcPr>
          <w:p w14:paraId="296C8B7E"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44303238"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SENEAM</w:t>
            </w:r>
          </w:p>
        </w:tc>
        <w:tc>
          <w:tcPr>
            <w:tcW w:w="569" w:type="pct"/>
            <w:tcBorders>
              <w:top w:val="nil"/>
              <w:left w:val="nil"/>
              <w:bottom w:val="nil"/>
              <w:right w:val="nil"/>
            </w:tcBorders>
            <w:shd w:val="clear" w:color="000000" w:fill="FFFFFF"/>
            <w:noWrap/>
            <w:vAlign w:val="center"/>
            <w:hideMark/>
          </w:tcPr>
          <w:p w14:paraId="0803793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5</w:t>
            </w:r>
          </w:p>
        </w:tc>
        <w:tc>
          <w:tcPr>
            <w:tcW w:w="497" w:type="pct"/>
            <w:tcBorders>
              <w:top w:val="nil"/>
              <w:left w:val="nil"/>
              <w:bottom w:val="nil"/>
              <w:right w:val="nil"/>
            </w:tcBorders>
            <w:shd w:val="clear" w:color="000000" w:fill="FFFFFF"/>
            <w:noWrap/>
            <w:vAlign w:val="center"/>
          </w:tcPr>
          <w:p w14:paraId="084D2765"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12ECF1F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270B1A8C"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70063ED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3AA54047"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57246581"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3CC76FAD"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10 Economía</w:t>
            </w:r>
          </w:p>
        </w:tc>
        <w:tc>
          <w:tcPr>
            <w:tcW w:w="569" w:type="pct"/>
            <w:tcBorders>
              <w:top w:val="nil"/>
              <w:left w:val="nil"/>
              <w:bottom w:val="nil"/>
              <w:right w:val="nil"/>
            </w:tcBorders>
            <w:shd w:val="clear" w:color="auto" w:fill="F2F2F2" w:themeFill="background1" w:themeFillShade="F2"/>
            <w:noWrap/>
            <w:vAlign w:val="center"/>
            <w:hideMark/>
          </w:tcPr>
          <w:p w14:paraId="4A141FF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10</w:t>
            </w:r>
          </w:p>
        </w:tc>
        <w:tc>
          <w:tcPr>
            <w:tcW w:w="497" w:type="pct"/>
            <w:tcBorders>
              <w:top w:val="nil"/>
              <w:left w:val="nil"/>
              <w:bottom w:val="nil"/>
              <w:right w:val="nil"/>
            </w:tcBorders>
            <w:shd w:val="clear" w:color="auto" w:fill="F2F2F2" w:themeFill="background1" w:themeFillShade="F2"/>
            <w:noWrap/>
            <w:vAlign w:val="center"/>
            <w:hideMark/>
          </w:tcPr>
          <w:p w14:paraId="011BBBC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14</w:t>
            </w:r>
          </w:p>
        </w:tc>
        <w:tc>
          <w:tcPr>
            <w:tcW w:w="640" w:type="pct"/>
            <w:tcBorders>
              <w:top w:val="nil"/>
              <w:left w:val="nil"/>
              <w:bottom w:val="nil"/>
              <w:right w:val="nil"/>
            </w:tcBorders>
            <w:shd w:val="clear" w:color="auto" w:fill="F2F2F2" w:themeFill="background1" w:themeFillShade="F2"/>
            <w:noWrap/>
            <w:vAlign w:val="center"/>
          </w:tcPr>
          <w:p w14:paraId="1FFE66E1"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7DBD8D11"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auto" w:fill="F2F2F2" w:themeFill="background1" w:themeFillShade="F2"/>
            <w:noWrap/>
            <w:vAlign w:val="center"/>
            <w:hideMark/>
          </w:tcPr>
          <w:p w14:paraId="6BD9CDE1"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24</w:t>
            </w:r>
          </w:p>
        </w:tc>
        <w:tc>
          <w:tcPr>
            <w:tcW w:w="652" w:type="pct"/>
            <w:tcBorders>
              <w:top w:val="nil"/>
              <w:left w:val="nil"/>
              <w:bottom w:val="nil"/>
              <w:right w:val="nil"/>
            </w:tcBorders>
            <w:shd w:val="clear" w:color="auto" w:fill="F2F2F2" w:themeFill="background1" w:themeFillShade="F2"/>
            <w:noWrap/>
            <w:vAlign w:val="center"/>
            <w:hideMark/>
          </w:tcPr>
          <w:p w14:paraId="1DBC2D5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15.0</w:t>
            </w:r>
          </w:p>
        </w:tc>
      </w:tr>
      <w:tr w:rsidR="00F77FE5" w:rsidRPr="00F77FE5" w14:paraId="70D24B25" w14:textId="77777777" w:rsidTr="005A7CAD">
        <w:trPr>
          <w:trHeight w:val="300"/>
        </w:trPr>
        <w:tc>
          <w:tcPr>
            <w:tcW w:w="818" w:type="pct"/>
            <w:tcBorders>
              <w:top w:val="nil"/>
              <w:left w:val="nil"/>
              <w:bottom w:val="nil"/>
              <w:right w:val="nil"/>
            </w:tcBorders>
            <w:shd w:val="clear" w:color="000000" w:fill="FFFFFF"/>
            <w:noWrap/>
            <w:vAlign w:val="center"/>
            <w:hideMark/>
          </w:tcPr>
          <w:p w14:paraId="2A56EC38"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63B0D877"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CENAM</w:t>
            </w:r>
          </w:p>
        </w:tc>
        <w:tc>
          <w:tcPr>
            <w:tcW w:w="569" w:type="pct"/>
            <w:tcBorders>
              <w:top w:val="nil"/>
              <w:left w:val="nil"/>
              <w:bottom w:val="nil"/>
              <w:right w:val="nil"/>
            </w:tcBorders>
            <w:shd w:val="clear" w:color="000000" w:fill="FFFFFF"/>
            <w:noWrap/>
            <w:vAlign w:val="center"/>
            <w:hideMark/>
          </w:tcPr>
          <w:p w14:paraId="126D28F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497" w:type="pct"/>
            <w:tcBorders>
              <w:top w:val="nil"/>
              <w:left w:val="nil"/>
              <w:bottom w:val="nil"/>
              <w:right w:val="nil"/>
            </w:tcBorders>
            <w:shd w:val="clear" w:color="000000" w:fill="FFFFFF"/>
            <w:noWrap/>
            <w:vAlign w:val="center"/>
          </w:tcPr>
          <w:p w14:paraId="00C88BFB"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28AEDB4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571EE405"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571E861E"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490C1D71"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4EC25407" w14:textId="77777777" w:rsidTr="005A7CAD">
        <w:trPr>
          <w:trHeight w:val="300"/>
        </w:trPr>
        <w:tc>
          <w:tcPr>
            <w:tcW w:w="818" w:type="pct"/>
            <w:tcBorders>
              <w:top w:val="nil"/>
              <w:left w:val="nil"/>
              <w:bottom w:val="nil"/>
              <w:right w:val="nil"/>
            </w:tcBorders>
            <w:shd w:val="clear" w:color="000000" w:fill="FFFFFF"/>
            <w:noWrap/>
            <w:vAlign w:val="center"/>
            <w:hideMark/>
          </w:tcPr>
          <w:p w14:paraId="4E99B524"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79C6F2BA"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FOFIMI</w:t>
            </w:r>
          </w:p>
        </w:tc>
        <w:tc>
          <w:tcPr>
            <w:tcW w:w="569" w:type="pct"/>
            <w:tcBorders>
              <w:top w:val="nil"/>
              <w:left w:val="nil"/>
              <w:bottom w:val="nil"/>
              <w:right w:val="nil"/>
            </w:tcBorders>
            <w:shd w:val="clear" w:color="000000" w:fill="FFFFFF"/>
            <w:noWrap/>
            <w:vAlign w:val="center"/>
            <w:hideMark/>
          </w:tcPr>
          <w:p w14:paraId="605AC2CD"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497" w:type="pct"/>
            <w:tcBorders>
              <w:top w:val="nil"/>
              <w:left w:val="nil"/>
              <w:bottom w:val="nil"/>
              <w:right w:val="nil"/>
            </w:tcBorders>
            <w:shd w:val="clear" w:color="000000" w:fill="FFFFFF"/>
            <w:noWrap/>
            <w:vAlign w:val="center"/>
          </w:tcPr>
          <w:p w14:paraId="14F02EC8"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5D3F6F3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659B8D64"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1B8C167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684589B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4BBF78BA" w14:textId="77777777" w:rsidTr="005A7CAD">
        <w:trPr>
          <w:trHeight w:val="300"/>
        </w:trPr>
        <w:tc>
          <w:tcPr>
            <w:tcW w:w="818" w:type="pct"/>
            <w:tcBorders>
              <w:top w:val="nil"/>
              <w:left w:val="nil"/>
              <w:bottom w:val="nil"/>
              <w:right w:val="nil"/>
            </w:tcBorders>
            <w:shd w:val="clear" w:color="000000" w:fill="FFFFFF"/>
            <w:noWrap/>
            <w:vAlign w:val="center"/>
            <w:hideMark/>
          </w:tcPr>
          <w:p w14:paraId="101E831D"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7D989898"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IMPI</w:t>
            </w:r>
          </w:p>
        </w:tc>
        <w:tc>
          <w:tcPr>
            <w:tcW w:w="569" w:type="pct"/>
            <w:tcBorders>
              <w:top w:val="nil"/>
              <w:left w:val="nil"/>
              <w:bottom w:val="nil"/>
              <w:right w:val="nil"/>
            </w:tcBorders>
            <w:shd w:val="clear" w:color="000000" w:fill="FFFFFF"/>
            <w:noWrap/>
            <w:vAlign w:val="center"/>
            <w:hideMark/>
          </w:tcPr>
          <w:p w14:paraId="6222EDB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97" w:type="pct"/>
            <w:tcBorders>
              <w:top w:val="nil"/>
              <w:left w:val="nil"/>
              <w:bottom w:val="nil"/>
              <w:right w:val="nil"/>
            </w:tcBorders>
            <w:shd w:val="clear" w:color="000000" w:fill="FFFFFF"/>
            <w:noWrap/>
            <w:vAlign w:val="center"/>
          </w:tcPr>
          <w:p w14:paraId="71074280"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3E8F1658"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125912E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7E36CEBA"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17A5B93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086F4D0C" w14:textId="77777777" w:rsidTr="005A7CAD">
        <w:trPr>
          <w:trHeight w:val="300"/>
        </w:trPr>
        <w:tc>
          <w:tcPr>
            <w:tcW w:w="818" w:type="pct"/>
            <w:tcBorders>
              <w:top w:val="nil"/>
              <w:left w:val="nil"/>
              <w:bottom w:val="nil"/>
              <w:right w:val="nil"/>
            </w:tcBorders>
            <w:shd w:val="clear" w:color="000000" w:fill="FFFFFF"/>
            <w:noWrap/>
            <w:vAlign w:val="center"/>
            <w:hideMark/>
          </w:tcPr>
          <w:p w14:paraId="0B875A2E"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629B4BAF"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SE</w:t>
            </w:r>
          </w:p>
        </w:tc>
        <w:tc>
          <w:tcPr>
            <w:tcW w:w="569" w:type="pct"/>
            <w:tcBorders>
              <w:top w:val="nil"/>
              <w:left w:val="nil"/>
              <w:bottom w:val="nil"/>
              <w:right w:val="nil"/>
            </w:tcBorders>
            <w:shd w:val="clear" w:color="000000" w:fill="FFFFFF"/>
            <w:noWrap/>
            <w:vAlign w:val="center"/>
            <w:hideMark/>
          </w:tcPr>
          <w:p w14:paraId="7AB36285"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w:t>
            </w:r>
          </w:p>
        </w:tc>
        <w:tc>
          <w:tcPr>
            <w:tcW w:w="497" w:type="pct"/>
            <w:tcBorders>
              <w:top w:val="nil"/>
              <w:left w:val="nil"/>
              <w:bottom w:val="nil"/>
              <w:right w:val="nil"/>
            </w:tcBorders>
            <w:shd w:val="clear" w:color="000000" w:fill="FFFFFF"/>
            <w:noWrap/>
            <w:vAlign w:val="center"/>
            <w:hideMark/>
          </w:tcPr>
          <w:p w14:paraId="4ED7826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14</w:t>
            </w:r>
          </w:p>
        </w:tc>
        <w:tc>
          <w:tcPr>
            <w:tcW w:w="640" w:type="pct"/>
            <w:tcBorders>
              <w:top w:val="nil"/>
              <w:left w:val="nil"/>
              <w:bottom w:val="nil"/>
              <w:right w:val="nil"/>
            </w:tcBorders>
            <w:shd w:val="clear" w:color="000000" w:fill="FFFFFF"/>
            <w:noWrap/>
            <w:vAlign w:val="center"/>
          </w:tcPr>
          <w:p w14:paraId="3CB172AB"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7E88E322"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647E877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651F9A4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49B8CA22" w14:textId="77777777" w:rsidTr="005A7CAD">
        <w:trPr>
          <w:trHeight w:val="300"/>
        </w:trPr>
        <w:tc>
          <w:tcPr>
            <w:tcW w:w="818" w:type="pct"/>
            <w:tcBorders>
              <w:top w:val="nil"/>
              <w:left w:val="nil"/>
              <w:bottom w:val="nil"/>
              <w:right w:val="nil"/>
            </w:tcBorders>
            <w:shd w:val="clear" w:color="000000" w:fill="FFFFFF"/>
            <w:noWrap/>
            <w:vAlign w:val="center"/>
            <w:hideMark/>
          </w:tcPr>
          <w:p w14:paraId="30EB8D5E"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579B17FA"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SGM</w:t>
            </w:r>
          </w:p>
        </w:tc>
        <w:tc>
          <w:tcPr>
            <w:tcW w:w="569" w:type="pct"/>
            <w:tcBorders>
              <w:top w:val="nil"/>
              <w:left w:val="nil"/>
              <w:bottom w:val="nil"/>
              <w:right w:val="nil"/>
            </w:tcBorders>
            <w:shd w:val="clear" w:color="000000" w:fill="FFFFFF"/>
            <w:noWrap/>
            <w:vAlign w:val="center"/>
            <w:hideMark/>
          </w:tcPr>
          <w:p w14:paraId="73F3C0F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97" w:type="pct"/>
            <w:tcBorders>
              <w:top w:val="nil"/>
              <w:left w:val="nil"/>
              <w:bottom w:val="nil"/>
              <w:right w:val="nil"/>
            </w:tcBorders>
            <w:shd w:val="clear" w:color="000000" w:fill="FFFFFF"/>
            <w:noWrap/>
            <w:vAlign w:val="center"/>
          </w:tcPr>
          <w:p w14:paraId="693D9F5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7C1692A9"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0905573B"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2CF0336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15F0960A"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60919782"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512F65A6"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11 Educación Pública</w:t>
            </w:r>
          </w:p>
        </w:tc>
        <w:tc>
          <w:tcPr>
            <w:tcW w:w="569" w:type="pct"/>
            <w:tcBorders>
              <w:top w:val="nil"/>
              <w:left w:val="nil"/>
              <w:bottom w:val="nil"/>
              <w:right w:val="nil"/>
            </w:tcBorders>
            <w:shd w:val="clear" w:color="auto" w:fill="F2F2F2" w:themeFill="background1" w:themeFillShade="F2"/>
            <w:noWrap/>
            <w:vAlign w:val="center"/>
            <w:hideMark/>
          </w:tcPr>
          <w:p w14:paraId="225B6F5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7</w:t>
            </w:r>
          </w:p>
        </w:tc>
        <w:tc>
          <w:tcPr>
            <w:tcW w:w="497" w:type="pct"/>
            <w:tcBorders>
              <w:top w:val="nil"/>
              <w:left w:val="nil"/>
              <w:bottom w:val="nil"/>
              <w:right w:val="nil"/>
            </w:tcBorders>
            <w:shd w:val="clear" w:color="auto" w:fill="F2F2F2" w:themeFill="background1" w:themeFillShade="F2"/>
            <w:noWrap/>
            <w:vAlign w:val="center"/>
          </w:tcPr>
          <w:p w14:paraId="28CB34DF"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auto" w:fill="F2F2F2" w:themeFill="background1" w:themeFillShade="F2"/>
            <w:noWrap/>
            <w:vAlign w:val="center"/>
          </w:tcPr>
          <w:p w14:paraId="16B827C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31DBC6A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auto" w:fill="F2F2F2" w:themeFill="background1" w:themeFillShade="F2"/>
            <w:noWrap/>
            <w:vAlign w:val="center"/>
            <w:hideMark/>
          </w:tcPr>
          <w:p w14:paraId="5761C791"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7</w:t>
            </w:r>
          </w:p>
        </w:tc>
        <w:tc>
          <w:tcPr>
            <w:tcW w:w="652" w:type="pct"/>
            <w:tcBorders>
              <w:top w:val="nil"/>
              <w:left w:val="nil"/>
              <w:bottom w:val="nil"/>
              <w:right w:val="nil"/>
            </w:tcBorders>
            <w:shd w:val="clear" w:color="auto" w:fill="F2F2F2" w:themeFill="background1" w:themeFillShade="F2"/>
            <w:noWrap/>
            <w:vAlign w:val="center"/>
            <w:hideMark/>
          </w:tcPr>
          <w:p w14:paraId="5D31F505"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4.4</w:t>
            </w:r>
          </w:p>
        </w:tc>
      </w:tr>
      <w:tr w:rsidR="00F77FE5" w:rsidRPr="00F77FE5" w14:paraId="7238CC7A" w14:textId="77777777" w:rsidTr="005A7CAD">
        <w:trPr>
          <w:trHeight w:val="300"/>
        </w:trPr>
        <w:tc>
          <w:tcPr>
            <w:tcW w:w="818" w:type="pct"/>
            <w:tcBorders>
              <w:top w:val="nil"/>
              <w:left w:val="nil"/>
              <w:bottom w:val="nil"/>
              <w:right w:val="nil"/>
            </w:tcBorders>
            <w:shd w:val="clear" w:color="000000" w:fill="FFFFFF"/>
            <w:noWrap/>
            <w:vAlign w:val="center"/>
            <w:hideMark/>
          </w:tcPr>
          <w:p w14:paraId="4C6E3622"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3B1FA35F"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SEP</w:t>
            </w:r>
          </w:p>
        </w:tc>
        <w:tc>
          <w:tcPr>
            <w:tcW w:w="569" w:type="pct"/>
            <w:tcBorders>
              <w:top w:val="nil"/>
              <w:left w:val="nil"/>
              <w:bottom w:val="nil"/>
              <w:right w:val="nil"/>
            </w:tcBorders>
            <w:shd w:val="clear" w:color="000000" w:fill="FFFFFF"/>
            <w:noWrap/>
            <w:vAlign w:val="center"/>
            <w:hideMark/>
          </w:tcPr>
          <w:p w14:paraId="47CB585D"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7</w:t>
            </w:r>
          </w:p>
        </w:tc>
        <w:tc>
          <w:tcPr>
            <w:tcW w:w="497" w:type="pct"/>
            <w:tcBorders>
              <w:top w:val="nil"/>
              <w:left w:val="nil"/>
              <w:bottom w:val="nil"/>
              <w:right w:val="nil"/>
            </w:tcBorders>
            <w:shd w:val="clear" w:color="000000" w:fill="FFFFFF"/>
            <w:noWrap/>
            <w:vAlign w:val="center"/>
          </w:tcPr>
          <w:p w14:paraId="5F09D45B"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17248878"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6F941C29"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2009566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214514B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039EA1D7"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08096B45"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12 Salud</w:t>
            </w:r>
          </w:p>
        </w:tc>
        <w:tc>
          <w:tcPr>
            <w:tcW w:w="569" w:type="pct"/>
            <w:tcBorders>
              <w:top w:val="nil"/>
              <w:left w:val="nil"/>
              <w:bottom w:val="nil"/>
              <w:right w:val="nil"/>
            </w:tcBorders>
            <w:shd w:val="clear" w:color="auto" w:fill="F2F2F2" w:themeFill="background1" w:themeFillShade="F2"/>
            <w:noWrap/>
            <w:vAlign w:val="center"/>
            <w:hideMark/>
          </w:tcPr>
          <w:p w14:paraId="6C64EEC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7</w:t>
            </w:r>
          </w:p>
        </w:tc>
        <w:tc>
          <w:tcPr>
            <w:tcW w:w="497" w:type="pct"/>
            <w:tcBorders>
              <w:top w:val="nil"/>
              <w:left w:val="nil"/>
              <w:bottom w:val="nil"/>
              <w:right w:val="nil"/>
            </w:tcBorders>
            <w:shd w:val="clear" w:color="auto" w:fill="F2F2F2" w:themeFill="background1" w:themeFillShade="F2"/>
            <w:noWrap/>
            <w:vAlign w:val="center"/>
            <w:hideMark/>
          </w:tcPr>
          <w:p w14:paraId="7729821D"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640" w:type="pct"/>
            <w:tcBorders>
              <w:top w:val="nil"/>
              <w:left w:val="nil"/>
              <w:bottom w:val="nil"/>
              <w:right w:val="nil"/>
            </w:tcBorders>
            <w:shd w:val="clear" w:color="auto" w:fill="F2F2F2" w:themeFill="background1" w:themeFillShade="F2"/>
            <w:noWrap/>
            <w:vAlign w:val="center"/>
          </w:tcPr>
          <w:p w14:paraId="0E717E5C"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3309519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auto" w:fill="F2F2F2" w:themeFill="background1" w:themeFillShade="F2"/>
            <w:noWrap/>
            <w:vAlign w:val="center"/>
            <w:hideMark/>
          </w:tcPr>
          <w:p w14:paraId="078BA9E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9</w:t>
            </w:r>
          </w:p>
        </w:tc>
        <w:tc>
          <w:tcPr>
            <w:tcW w:w="652" w:type="pct"/>
            <w:tcBorders>
              <w:top w:val="nil"/>
              <w:left w:val="nil"/>
              <w:bottom w:val="nil"/>
              <w:right w:val="nil"/>
            </w:tcBorders>
            <w:shd w:val="clear" w:color="auto" w:fill="F2F2F2" w:themeFill="background1" w:themeFillShade="F2"/>
            <w:noWrap/>
            <w:vAlign w:val="center"/>
            <w:hideMark/>
          </w:tcPr>
          <w:p w14:paraId="1400F40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5.6</w:t>
            </w:r>
          </w:p>
        </w:tc>
      </w:tr>
      <w:tr w:rsidR="00F77FE5" w:rsidRPr="00F77FE5" w14:paraId="5A1D1A28" w14:textId="77777777" w:rsidTr="005A7CAD">
        <w:trPr>
          <w:trHeight w:val="300"/>
        </w:trPr>
        <w:tc>
          <w:tcPr>
            <w:tcW w:w="818" w:type="pct"/>
            <w:tcBorders>
              <w:top w:val="nil"/>
              <w:left w:val="nil"/>
              <w:bottom w:val="nil"/>
              <w:right w:val="nil"/>
            </w:tcBorders>
            <w:shd w:val="clear" w:color="000000" w:fill="FFFFFF"/>
            <w:noWrap/>
            <w:vAlign w:val="center"/>
            <w:hideMark/>
          </w:tcPr>
          <w:p w14:paraId="77B35ACB"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36AF0599"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SALUD</w:t>
            </w:r>
          </w:p>
        </w:tc>
        <w:tc>
          <w:tcPr>
            <w:tcW w:w="569" w:type="pct"/>
            <w:tcBorders>
              <w:top w:val="nil"/>
              <w:left w:val="nil"/>
              <w:bottom w:val="nil"/>
              <w:right w:val="nil"/>
            </w:tcBorders>
            <w:shd w:val="clear" w:color="000000" w:fill="FFFFFF"/>
            <w:noWrap/>
            <w:vAlign w:val="center"/>
            <w:hideMark/>
          </w:tcPr>
          <w:p w14:paraId="73768F21"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7</w:t>
            </w:r>
          </w:p>
        </w:tc>
        <w:tc>
          <w:tcPr>
            <w:tcW w:w="497" w:type="pct"/>
            <w:tcBorders>
              <w:top w:val="nil"/>
              <w:left w:val="nil"/>
              <w:bottom w:val="nil"/>
              <w:right w:val="nil"/>
            </w:tcBorders>
            <w:shd w:val="clear" w:color="000000" w:fill="FFFFFF"/>
            <w:noWrap/>
            <w:vAlign w:val="center"/>
            <w:hideMark/>
          </w:tcPr>
          <w:p w14:paraId="265DC8F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640" w:type="pct"/>
            <w:tcBorders>
              <w:top w:val="nil"/>
              <w:left w:val="nil"/>
              <w:bottom w:val="nil"/>
              <w:right w:val="nil"/>
            </w:tcBorders>
            <w:shd w:val="clear" w:color="000000" w:fill="FFFFFF"/>
            <w:noWrap/>
            <w:vAlign w:val="center"/>
          </w:tcPr>
          <w:p w14:paraId="76F2AB60"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56A57C4F"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259EB50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549458B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3F99B8B2"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29816605"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14 Trabajo y Previsión Social</w:t>
            </w:r>
          </w:p>
        </w:tc>
        <w:tc>
          <w:tcPr>
            <w:tcW w:w="569" w:type="pct"/>
            <w:tcBorders>
              <w:top w:val="nil"/>
              <w:left w:val="nil"/>
              <w:bottom w:val="nil"/>
              <w:right w:val="nil"/>
            </w:tcBorders>
            <w:shd w:val="clear" w:color="auto" w:fill="F2F2F2" w:themeFill="background1" w:themeFillShade="F2"/>
            <w:noWrap/>
            <w:vAlign w:val="center"/>
            <w:hideMark/>
          </w:tcPr>
          <w:p w14:paraId="6433A07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497" w:type="pct"/>
            <w:tcBorders>
              <w:top w:val="nil"/>
              <w:left w:val="nil"/>
              <w:bottom w:val="nil"/>
              <w:right w:val="nil"/>
            </w:tcBorders>
            <w:shd w:val="clear" w:color="auto" w:fill="F2F2F2" w:themeFill="background1" w:themeFillShade="F2"/>
            <w:noWrap/>
            <w:vAlign w:val="center"/>
          </w:tcPr>
          <w:p w14:paraId="2B9FB61F"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auto" w:fill="F2F2F2" w:themeFill="background1" w:themeFillShade="F2"/>
            <w:noWrap/>
            <w:vAlign w:val="center"/>
          </w:tcPr>
          <w:p w14:paraId="291A8247"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7904AE6A"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auto" w:fill="F2F2F2" w:themeFill="background1" w:themeFillShade="F2"/>
            <w:noWrap/>
            <w:vAlign w:val="center"/>
            <w:hideMark/>
          </w:tcPr>
          <w:p w14:paraId="43A4036E"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652" w:type="pct"/>
            <w:tcBorders>
              <w:top w:val="nil"/>
              <w:left w:val="nil"/>
              <w:bottom w:val="nil"/>
              <w:right w:val="nil"/>
            </w:tcBorders>
            <w:shd w:val="clear" w:color="auto" w:fill="F2F2F2" w:themeFill="background1" w:themeFillShade="F2"/>
            <w:noWrap/>
            <w:vAlign w:val="center"/>
            <w:hideMark/>
          </w:tcPr>
          <w:p w14:paraId="0624749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1.3</w:t>
            </w:r>
          </w:p>
        </w:tc>
      </w:tr>
      <w:tr w:rsidR="00F77FE5" w:rsidRPr="00F77FE5" w14:paraId="066EAA90" w14:textId="77777777" w:rsidTr="005A7CAD">
        <w:trPr>
          <w:trHeight w:val="300"/>
        </w:trPr>
        <w:tc>
          <w:tcPr>
            <w:tcW w:w="818" w:type="pct"/>
            <w:tcBorders>
              <w:top w:val="nil"/>
              <w:left w:val="nil"/>
              <w:bottom w:val="nil"/>
              <w:right w:val="nil"/>
            </w:tcBorders>
            <w:shd w:val="clear" w:color="000000" w:fill="FFFFFF"/>
            <w:noWrap/>
            <w:vAlign w:val="center"/>
            <w:hideMark/>
          </w:tcPr>
          <w:p w14:paraId="074F5777"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09DB18B2"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STPS</w:t>
            </w:r>
          </w:p>
        </w:tc>
        <w:tc>
          <w:tcPr>
            <w:tcW w:w="569" w:type="pct"/>
            <w:tcBorders>
              <w:top w:val="nil"/>
              <w:left w:val="nil"/>
              <w:bottom w:val="nil"/>
              <w:right w:val="nil"/>
            </w:tcBorders>
            <w:shd w:val="clear" w:color="000000" w:fill="FFFFFF"/>
            <w:noWrap/>
            <w:vAlign w:val="center"/>
            <w:hideMark/>
          </w:tcPr>
          <w:p w14:paraId="354F1B7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497" w:type="pct"/>
            <w:tcBorders>
              <w:top w:val="nil"/>
              <w:left w:val="nil"/>
              <w:bottom w:val="nil"/>
              <w:right w:val="nil"/>
            </w:tcBorders>
            <w:shd w:val="clear" w:color="000000" w:fill="FFFFFF"/>
            <w:noWrap/>
            <w:vAlign w:val="center"/>
          </w:tcPr>
          <w:p w14:paraId="36DC690F"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40B74854"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525E9D39"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12C2845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4B5B3E37"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4BC41F54"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5E91FCF9"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15 Desarrollo Agrario, Territorial y Urbano</w:t>
            </w:r>
          </w:p>
        </w:tc>
        <w:tc>
          <w:tcPr>
            <w:tcW w:w="569" w:type="pct"/>
            <w:tcBorders>
              <w:top w:val="nil"/>
              <w:left w:val="nil"/>
              <w:bottom w:val="nil"/>
              <w:right w:val="nil"/>
            </w:tcBorders>
            <w:shd w:val="clear" w:color="auto" w:fill="F2F2F2" w:themeFill="background1" w:themeFillShade="F2"/>
            <w:noWrap/>
            <w:vAlign w:val="center"/>
            <w:hideMark/>
          </w:tcPr>
          <w:p w14:paraId="21A2D22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497" w:type="pct"/>
            <w:tcBorders>
              <w:top w:val="nil"/>
              <w:left w:val="nil"/>
              <w:bottom w:val="nil"/>
              <w:right w:val="nil"/>
            </w:tcBorders>
            <w:shd w:val="clear" w:color="auto" w:fill="F2F2F2" w:themeFill="background1" w:themeFillShade="F2"/>
            <w:noWrap/>
            <w:vAlign w:val="center"/>
            <w:hideMark/>
          </w:tcPr>
          <w:p w14:paraId="7E65A32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640" w:type="pct"/>
            <w:tcBorders>
              <w:top w:val="nil"/>
              <w:left w:val="nil"/>
              <w:bottom w:val="nil"/>
              <w:right w:val="nil"/>
            </w:tcBorders>
            <w:shd w:val="clear" w:color="auto" w:fill="F2F2F2" w:themeFill="background1" w:themeFillShade="F2"/>
            <w:noWrap/>
            <w:vAlign w:val="center"/>
          </w:tcPr>
          <w:p w14:paraId="1C31A9E0"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384EB697"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auto" w:fill="F2F2F2" w:themeFill="background1" w:themeFillShade="F2"/>
            <w:noWrap/>
            <w:vAlign w:val="center"/>
            <w:hideMark/>
          </w:tcPr>
          <w:p w14:paraId="3EBF8BE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w:t>
            </w:r>
          </w:p>
        </w:tc>
        <w:tc>
          <w:tcPr>
            <w:tcW w:w="652" w:type="pct"/>
            <w:tcBorders>
              <w:top w:val="nil"/>
              <w:left w:val="nil"/>
              <w:bottom w:val="nil"/>
              <w:right w:val="nil"/>
            </w:tcBorders>
            <w:shd w:val="clear" w:color="auto" w:fill="F2F2F2" w:themeFill="background1" w:themeFillShade="F2"/>
            <w:noWrap/>
            <w:vAlign w:val="center"/>
            <w:hideMark/>
          </w:tcPr>
          <w:p w14:paraId="55662C7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2.5</w:t>
            </w:r>
          </w:p>
        </w:tc>
      </w:tr>
      <w:tr w:rsidR="00F77FE5" w:rsidRPr="00F77FE5" w14:paraId="63063A06" w14:textId="77777777" w:rsidTr="005A7CAD">
        <w:trPr>
          <w:trHeight w:val="300"/>
        </w:trPr>
        <w:tc>
          <w:tcPr>
            <w:tcW w:w="818" w:type="pct"/>
            <w:tcBorders>
              <w:top w:val="nil"/>
              <w:left w:val="nil"/>
              <w:bottom w:val="nil"/>
              <w:right w:val="nil"/>
            </w:tcBorders>
            <w:shd w:val="clear" w:color="000000" w:fill="FFFFFF"/>
            <w:noWrap/>
            <w:vAlign w:val="center"/>
            <w:hideMark/>
          </w:tcPr>
          <w:p w14:paraId="3DF2B467"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22FFB9EC"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SEDATU</w:t>
            </w:r>
          </w:p>
        </w:tc>
        <w:tc>
          <w:tcPr>
            <w:tcW w:w="569" w:type="pct"/>
            <w:tcBorders>
              <w:top w:val="nil"/>
              <w:left w:val="nil"/>
              <w:bottom w:val="nil"/>
              <w:right w:val="nil"/>
            </w:tcBorders>
            <w:shd w:val="clear" w:color="000000" w:fill="FFFFFF"/>
            <w:noWrap/>
            <w:vAlign w:val="center"/>
            <w:hideMark/>
          </w:tcPr>
          <w:p w14:paraId="478C58C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497" w:type="pct"/>
            <w:tcBorders>
              <w:top w:val="nil"/>
              <w:left w:val="nil"/>
              <w:bottom w:val="nil"/>
              <w:right w:val="nil"/>
            </w:tcBorders>
            <w:shd w:val="clear" w:color="000000" w:fill="FFFFFF"/>
            <w:noWrap/>
            <w:vAlign w:val="center"/>
            <w:hideMark/>
          </w:tcPr>
          <w:p w14:paraId="6E373737"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640" w:type="pct"/>
            <w:tcBorders>
              <w:top w:val="nil"/>
              <w:left w:val="nil"/>
              <w:bottom w:val="nil"/>
              <w:right w:val="nil"/>
            </w:tcBorders>
            <w:shd w:val="clear" w:color="000000" w:fill="FFFFFF"/>
            <w:noWrap/>
            <w:vAlign w:val="center"/>
          </w:tcPr>
          <w:p w14:paraId="574E2028"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6B347D03"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57ACDE2A"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1DD3D7B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5CFB82CA"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00ECF623"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16 Medio Ambiente y Recursos Naturales</w:t>
            </w:r>
          </w:p>
        </w:tc>
        <w:tc>
          <w:tcPr>
            <w:tcW w:w="569" w:type="pct"/>
            <w:tcBorders>
              <w:top w:val="nil"/>
              <w:left w:val="nil"/>
              <w:bottom w:val="nil"/>
              <w:right w:val="nil"/>
            </w:tcBorders>
            <w:shd w:val="clear" w:color="auto" w:fill="F2F2F2" w:themeFill="background1" w:themeFillShade="F2"/>
            <w:noWrap/>
            <w:vAlign w:val="center"/>
            <w:hideMark/>
          </w:tcPr>
          <w:p w14:paraId="1DAB5D2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6</w:t>
            </w:r>
          </w:p>
        </w:tc>
        <w:tc>
          <w:tcPr>
            <w:tcW w:w="497" w:type="pct"/>
            <w:tcBorders>
              <w:top w:val="nil"/>
              <w:left w:val="nil"/>
              <w:bottom w:val="nil"/>
              <w:right w:val="nil"/>
            </w:tcBorders>
            <w:shd w:val="clear" w:color="auto" w:fill="F2F2F2" w:themeFill="background1" w:themeFillShade="F2"/>
            <w:noWrap/>
            <w:vAlign w:val="center"/>
            <w:hideMark/>
          </w:tcPr>
          <w:p w14:paraId="5221831A"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8</w:t>
            </w:r>
          </w:p>
        </w:tc>
        <w:tc>
          <w:tcPr>
            <w:tcW w:w="640" w:type="pct"/>
            <w:tcBorders>
              <w:top w:val="nil"/>
              <w:left w:val="nil"/>
              <w:bottom w:val="nil"/>
              <w:right w:val="nil"/>
            </w:tcBorders>
            <w:shd w:val="clear" w:color="auto" w:fill="F2F2F2" w:themeFill="background1" w:themeFillShade="F2"/>
            <w:noWrap/>
            <w:vAlign w:val="center"/>
            <w:hideMark/>
          </w:tcPr>
          <w:p w14:paraId="6AAF4AEE"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782" w:type="pct"/>
            <w:tcBorders>
              <w:top w:val="nil"/>
              <w:left w:val="nil"/>
              <w:bottom w:val="nil"/>
              <w:right w:val="nil"/>
            </w:tcBorders>
            <w:shd w:val="clear" w:color="auto" w:fill="F2F2F2" w:themeFill="background1" w:themeFillShade="F2"/>
            <w:noWrap/>
            <w:vAlign w:val="center"/>
            <w:hideMark/>
          </w:tcPr>
          <w:p w14:paraId="61DA83B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355" w:type="pct"/>
            <w:tcBorders>
              <w:top w:val="nil"/>
              <w:left w:val="nil"/>
              <w:bottom w:val="nil"/>
              <w:right w:val="nil"/>
            </w:tcBorders>
            <w:shd w:val="clear" w:color="auto" w:fill="F2F2F2" w:themeFill="background1" w:themeFillShade="F2"/>
            <w:noWrap/>
            <w:vAlign w:val="center"/>
            <w:hideMark/>
          </w:tcPr>
          <w:p w14:paraId="16FD16D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16</w:t>
            </w:r>
          </w:p>
        </w:tc>
        <w:tc>
          <w:tcPr>
            <w:tcW w:w="652" w:type="pct"/>
            <w:tcBorders>
              <w:top w:val="nil"/>
              <w:left w:val="nil"/>
              <w:bottom w:val="nil"/>
              <w:right w:val="nil"/>
            </w:tcBorders>
            <w:shd w:val="clear" w:color="auto" w:fill="F2F2F2" w:themeFill="background1" w:themeFillShade="F2"/>
            <w:noWrap/>
            <w:vAlign w:val="center"/>
            <w:hideMark/>
          </w:tcPr>
          <w:p w14:paraId="0661475E"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10.0</w:t>
            </w:r>
          </w:p>
        </w:tc>
      </w:tr>
      <w:tr w:rsidR="00F77FE5" w:rsidRPr="00F77FE5" w14:paraId="19C28D66" w14:textId="77777777" w:rsidTr="005A7CAD">
        <w:trPr>
          <w:trHeight w:val="300"/>
        </w:trPr>
        <w:tc>
          <w:tcPr>
            <w:tcW w:w="818" w:type="pct"/>
            <w:tcBorders>
              <w:top w:val="nil"/>
              <w:left w:val="nil"/>
              <w:bottom w:val="nil"/>
              <w:right w:val="nil"/>
            </w:tcBorders>
            <w:shd w:val="clear" w:color="000000" w:fill="FFFFFF"/>
            <w:noWrap/>
            <w:vAlign w:val="center"/>
            <w:hideMark/>
          </w:tcPr>
          <w:p w14:paraId="37D56E94"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11FFEC86"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ASEA</w:t>
            </w:r>
          </w:p>
        </w:tc>
        <w:tc>
          <w:tcPr>
            <w:tcW w:w="569" w:type="pct"/>
            <w:tcBorders>
              <w:top w:val="nil"/>
              <w:left w:val="nil"/>
              <w:bottom w:val="nil"/>
              <w:right w:val="nil"/>
            </w:tcBorders>
            <w:shd w:val="clear" w:color="000000" w:fill="FFFFFF"/>
            <w:noWrap/>
            <w:vAlign w:val="center"/>
            <w:hideMark/>
          </w:tcPr>
          <w:p w14:paraId="2221927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97" w:type="pct"/>
            <w:tcBorders>
              <w:top w:val="nil"/>
              <w:left w:val="nil"/>
              <w:bottom w:val="nil"/>
              <w:right w:val="nil"/>
            </w:tcBorders>
            <w:shd w:val="clear" w:color="000000" w:fill="FFFFFF"/>
            <w:noWrap/>
            <w:vAlign w:val="center"/>
            <w:hideMark/>
          </w:tcPr>
          <w:p w14:paraId="7CFCCB8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3</w:t>
            </w:r>
          </w:p>
        </w:tc>
        <w:tc>
          <w:tcPr>
            <w:tcW w:w="640" w:type="pct"/>
            <w:tcBorders>
              <w:top w:val="nil"/>
              <w:left w:val="nil"/>
              <w:bottom w:val="nil"/>
              <w:right w:val="nil"/>
            </w:tcBorders>
            <w:shd w:val="clear" w:color="000000" w:fill="FFFFFF"/>
            <w:noWrap/>
            <w:vAlign w:val="center"/>
          </w:tcPr>
          <w:p w14:paraId="0917D967"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72FBE71B"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44DDFAD5"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12EC995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4E153520" w14:textId="77777777" w:rsidTr="005A7CAD">
        <w:trPr>
          <w:trHeight w:val="300"/>
        </w:trPr>
        <w:tc>
          <w:tcPr>
            <w:tcW w:w="818" w:type="pct"/>
            <w:tcBorders>
              <w:top w:val="nil"/>
              <w:left w:val="nil"/>
              <w:bottom w:val="nil"/>
              <w:right w:val="nil"/>
            </w:tcBorders>
            <w:shd w:val="clear" w:color="000000" w:fill="FFFFFF"/>
            <w:noWrap/>
            <w:vAlign w:val="center"/>
            <w:hideMark/>
          </w:tcPr>
          <w:p w14:paraId="57B734C8"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2A70B55F"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CONAGUA</w:t>
            </w:r>
          </w:p>
        </w:tc>
        <w:tc>
          <w:tcPr>
            <w:tcW w:w="569" w:type="pct"/>
            <w:tcBorders>
              <w:top w:val="nil"/>
              <w:left w:val="nil"/>
              <w:bottom w:val="nil"/>
              <w:right w:val="nil"/>
            </w:tcBorders>
            <w:shd w:val="clear" w:color="000000" w:fill="FFFFFF"/>
            <w:noWrap/>
            <w:vAlign w:val="center"/>
            <w:hideMark/>
          </w:tcPr>
          <w:p w14:paraId="40EAD9C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5</w:t>
            </w:r>
          </w:p>
        </w:tc>
        <w:tc>
          <w:tcPr>
            <w:tcW w:w="497" w:type="pct"/>
            <w:tcBorders>
              <w:top w:val="nil"/>
              <w:left w:val="nil"/>
              <w:bottom w:val="nil"/>
              <w:right w:val="nil"/>
            </w:tcBorders>
            <w:shd w:val="clear" w:color="000000" w:fill="FFFFFF"/>
            <w:noWrap/>
            <w:vAlign w:val="center"/>
            <w:hideMark/>
          </w:tcPr>
          <w:p w14:paraId="0CB0653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5</w:t>
            </w:r>
          </w:p>
        </w:tc>
        <w:tc>
          <w:tcPr>
            <w:tcW w:w="640" w:type="pct"/>
            <w:tcBorders>
              <w:top w:val="nil"/>
              <w:left w:val="nil"/>
              <w:bottom w:val="nil"/>
              <w:right w:val="nil"/>
            </w:tcBorders>
            <w:shd w:val="clear" w:color="000000" w:fill="FFFFFF"/>
            <w:noWrap/>
            <w:vAlign w:val="center"/>
            <w:hideMark/>
          </w:tcPr>
          <w:p w14:paraId="6628510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782" w:type="pct"/>
            <w:tcBorders>
              <w:top w:val="nil"/>
              <w:left w:val="nil"/>
              <w:bottom w:val="nil"/>
              <w:right w:val="nil"/>
            </w:tcBorders>
            <w:shd w:val="clear" w:color="000000" w:fill="FFFFFF"/>
            <w:noWrap/>
            <w:vAlign w:val="center"/>
            <w:hideMark/>
          </w:tcPr>
          <w:p w14:paraId="33B9C6D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355" w:type="pct"/>
            <w:tcBorders>
              <w:top w:val="nil"/>
              <w:left w:val="nil"/>
              <w:bottom w:val="nil"/>
              <w:right w:val="nil"/>
            </w:tcBorders>
            <w:shd w:val="clear" w:color="000000" w:fill="FFFFFF"/>
            <w:noWrap/>
            <w:vAlign w:val="center"/>
            <w:hideMark/>
          </w:tcPr>
          <w:p w14:paraId="790E40F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32DFC855"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5DD79005"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1EA3FB12"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17 Procuraduría General de la República</w:t>
            </w:r>
          </w:p>
        </w:tc>
        <w:tc>
          <w:tcPr>
            <w:tcW w:w="569" w:type="pct"/>
            <w:tcBorders>
              <w:top w:val="nil"/>
              <w:left w:val="nil"/>
              <w:bottom w:val="nil"/>
              <w:right w:val="nil"/>
            </w:tcBorders>
            <w:shd w:val="clear" w:color="auto" w:fill="F2F2F2" w:themeFill="background1" w:themeFillShade="F2"/>
            <w:noWrap/>
            <w:vAlign w:val="center"/>
          </w:tcPr>
          <w:p w14:paraId="13E3B157"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97" w:type="pct"/>
            <w:tcBorders>
              <w:top w:val="nil"/>
              <w:left w:val="nil"/>
              <w:bottom w:val="nil"/>
              <w:right w:val="nil"/>
            </w:tcBorders>
            <w:shd w:val="clear" w:color="auto" w:fill="F2F2F2" w:themeFill="background1" w:themeFillShade="F2"/>
            <w:noWrap/>
            <w:vAlign w:val="center"/>
          </w:tcPr>
          <w:p w14:paraId="21171B3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auto" w:fill="F2F2F2" w:themeFill="background1" w:themeFillShade="F2"/>
            <w:noWrap/>
            <w:vAlign w:val="center"/>
            <w:hideMark/>
          </w:tcPr>
          <w:p w14:paraId="0E7CDBB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w:t>
            </w:r>
          </w:p>
        </w:tc>
        <w:tc>
          <w:tcPr>
            <w:tcW w:w="782" w:type="pct"/>
            <w:tcBorders>
              <w:top w:val="nil"/>
              <w:left w:val="nil"/>
              <w:bottom w:val="nil"/>
              <w:right w:val="nil"/>
            </w:tcBorders>
            <w:shd w:val="clear" w:color="auto" w:fill="F2F2F2" w:themeFill="background1" w:themeFillShade="F2"/>
            <w:noWrap/>
            <w:vAlign w:val="center"/>
          </w:tcPr>
          <w:p w14:paraId="6704B152"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auto" w:fill="F2F2F2" w:themeFill="background1" w:themeFillShade="F2"/>
            <w:noWrap/>
            <w:vAlign w:val="center"/>
            <w:hideMark/>
          </w:tcPr>
          <w:p w14:paraId="3A13947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w:t>
            </w:r>
          </w:p>
        </w:tc>
        <w:tc>
          <w:tcPr>
            <w:tcW w:w="652" w:type="pct"/>
            <w:tcBorders>
              <w:top w:val="nil"/>
              <w:left w:val="nil"/>
              <w:bottom w:val="nil"/>
              <w:right w:val="nil"/>
            </w:tcBorders>
            <w:shd w:val="clear" w:color="auto" w:fill="F2F2F2" w:themeFill="background1" w:themeFillShade="F2"/>
            <w:noWrap/>
            <w:vAlign w:val="center"/>
            <w:hideMark/>
          </w:tcPr>
          <w:p w14:paraId="1C32A45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2.5</w:t>
            </w:r>
          </w:p>
        </w:tc>
      </w:tr>
      <w:tr w:rsidR="00F77FE5" w:rsidRPr="00F77FE5" w14:paraId="7A435345" w14:textId="77777777" w:rsidTr="005A7CAD">
        <w:trPr>
          <w:trHeight w:val="300"/>
        </w:trPr>
        <w:tc>
          <w:tcPr>
            <w:tcW w:w="818" w:type="pct"/>
            <w:tcBorders>
              <w:top w:val="nil"/>
              <w:left w:val="nil"/>
              <w:bottom w:val="nil"/>
              <w:right w:val="nil"/>
            </w:tcBorders>
            <w:shd w:val="clear" w:color="000000" w:fill="FFFFFF"/>
            <w:noWrap/>
            <w:vAlign w:val="center"/>
            <w:hideMark/>
          </w:tcPr>
          <w:p w14:paraId="31BCF7AB"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39762B85"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PGR</w:t>
            </w:r>
          </w:p>
        </w:tc>
        <w:tc>
          <w:tcPr>
            <w:tcW w:w="569" w:type="pct"/>
            <w:tcBorders>
              <w:top w:val="nil"/>
              <w:left w:val="nil"/>
              <w:bottom w:val="nil"/>
              <w:right w:val="nil"/>
            </w:tcBorders>
            <w:shd w:val="clear" w:color="000000" w:fill="FFFFFF"/>
            <w:noWrap/>
            <w:vAlign w:val="center"/>
          </w:tcPr>
          <w:p w14:paraId="05706357"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97" w:type="pct"/>
            <w:tcBorders>
              <w:top w:val="nil"/>
              <w:left w:val="nil"/>
              <w:bottom w:val="nil"/>
              <w:right w:val="nil"/>
            </w:tcBorders>
            <w:shd w:val="clear" w:color="000000" w:fill="FFFFFF"/>
            <w:noWrap/>
            <w:vAlign w:val="center"/>
          </w:tcPr>
          <w:p w14:paraId="439FA1CC"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hideMark/>
          </w:tcPr>
          <w:p w14:paraId="5E0EFAD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w:t>
            </w:r>
          </w:p>
        </w:tc>
        <w:tc>
          <w:tcPr>
            <w:tcW w:w="782" w:type="pct"/>
            <w:tcBorders>
              <w:top w:val="nil"/>
              <w:left w:val="nil"/>
              <w:bottom w:val="nil"/>
              <w:right w:val="nil"/>
            </w:tcBorders>
            <w:shd w:val="clear" w:color="000000" w:fill="FFFFFF"/>
            <w:noWrap/>
            <w:vAlign w:val="center"/>
          </w:tcPr>
          <w:p w14:paraId="7FBA8509"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318EB68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4AFD80C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752FCB9B"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03DE889D"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19 Aportaciones a Seguridad Social</w:t>
            </w:r>
          </w:p>
        </w:tc>
        <w:tc>
          <w:tcPr>
            <w:tcW w:w="569" w:type="pct"/>
            <w:tcBorders>
              <w:top w:val="nil"/>
              <w:left w:val="nil"/>
              <w:bottom w:val="nil"/>
              <w:right w:val="nil"/>
            </w:tcBorders>
            <w:shd w:val="clear" w:color="auto" w:fill="F2F2F2" w:themeFill="background1" w:themeFillShade="F2"/>
            <w:noWrap/>
            <w:vAlign w:val="center"/>
            <w:hideMark/>
          </w:tcPr>
          <w:p w14:paraId="0B2B9CF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97" w:type="pct"/>
            <w:tcBorders>
              <w:top w:val="nil"/>
              <w:left w:val="nil"/>
              <w:bottom w:val="nil"/>
              <w:right w:val="nil"/>
            </w:tcBorders>
            <w:shd w:val="clear" w:color="auto" w:fill="F2F2F2" w:themeFill="background1" w:themeFillShade="F2"/>
            <w:noWrap/>
            <w:vAlign w:val="center"/>
          </w:tcPr>
          <w:p w14:paraId="233196D5"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auto" w:fill="F2F2F2" w:themeFill="background1" w:themeFillShade="F2"/>
            <w:noWrap/>
            <w:vAlign w:val="center"/>
          </w:tcPr>
          <w:p w14:paraId="407440D2"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46E79127"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auto" w:fill="F2F2F2" w:themeFill="background1" w:themeFillShade="F2"/>
            <w:noWrap/>
            <w:vAlign w:val="center"/>
            <w:hideMark/>
          </w:tcPr>
          <w:p w14:paraId="3CB86F5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652" w:type="pct"/>
            <w:tcBorders>
              <w:top w:val="nil"/>
              <w:left w:val="nil"/>
              <w:bottom w:val="nil"/>
              <w:right w:val="nil"/>
            </w:tcBorders>
            <w:shd w:val="clear" w:color="auto" w:fill="F2F2F2" w:themeFill="background1" w:themeFillShade="F2"/>
            <w:noWrap/>
            <w:vAlign w:val="center"/>
            <w:hideMark/>
          </w:tcPr>
          <w:p w14:paraId="0A944535"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0.6</w:t>
            </w:r>
          </w:p>
        </w:tc>
      </w:tr>
      <w:tr w:rsidR="00F77FE5" w:rsidRPr="00F77FE5" w14:paraId="63B5178A" w14:textId="77777777" w:rsidTr="005A7CAD">
        <w:trPr>
          <w:trHeight w:val="300"/>
        </w:trPr>
        <w:tc>
          <w:tcPr>
            <w:tcW w:w="818" w:type="pct"/>
            <w:tcBorders>
              <w:top w:val="nil"/>
              <w:left w:val="nil"/>
              <w:bottom w:val="nil"/>
              <w:right w:val="nil"/>
            </w:tcBorders>
            <w:shd w:val="clear" w:color="000000" w:fill="FFFFFF"/>
            <w:noWrap/>
            <w:vAlign w:val="center"/>
            <w:hideMark/>
          </w:tcPr>
          <w:p w14:paraId="45A2F2D8"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174B13ED"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IMSS</w:t>
            </w:r>
          </w:p>
        </w:tc>
        <w:tc>
          <w:tcPr>
            <w:tcW w:w="569" w:type="pct"/>
            <w:tcBorders>
              <w:top w:val="nil"/>
              <w:left w:val="nil"/>
              <w:bottom w:val="nil"/>
              <w:right w:val="nil"/>
            </w:tcBorders>
            <w:shd w:val="clear" w:color="000000" w:fill="FFFFFF"/>
            <w:noWrap/>
            <w:vAlign w:val="center"/>
            <w:hideMark/>
          </w:tcPr>
          <w:p w14:paraId="36481B3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97" w:type="pct"/>
            <w:tcBorders>
              <w:top w:val="nil"/>
              <w:left w:val="nil"/>
              <w:bottom w:val="nil"/>
              <w:right w:val="nil"/>
            </w:tcBorders>
            <w:shd w:val="clear" w:color="000000" w:fill="FFFFFF"/>
            <w:noWrap/>
            <w:vAlign w:val="center"/>
          </w:tcPr>
          <w:p w14:paraId="074864E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7F537835"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40379359"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2F1C8E2E"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7587542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62408509"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3554F734"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20 Desarrollo Social</w:t>
            </w:r>
          </w:p>
        </w:tc>
        <w:tc>
          <w:tcPr>
            <w:tcW w:w="569" w:type="pct"/>
            <w:tcBorders>
              <w:top w:val="nil"/>
              <w:left w:val="nil"/>
              <w:bottom w:val="nil"/>
              <w:right w:val="nil"/>
            </w:tcBorders>
            <w:shd w:val="clear" w:color="auto" w:fill="F2F2F2" w:themeFill="background1" w:themeFillShade="F2"/>
            <w:noWrap/>
            <w:vAlign w:val="center"/>
          </w:tcPr>
          <w:p w14:paraId="179C5937"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97" w:type="pct"/>
            <w:tcBorders>
              <w:top w:val="nil"/>
              <w:left w:val="nil"/>
              <w:bottom w:val="nil"/>
              <w:right w:val="nil"/>
            </w:tcBorders>
            <w:shd w:val="clear" w:color="auto" w:fill="F2F2F2" w:themeFill="background1" w:themeFillShade="F2"/>
            <w:noWrap/>
            <w:vAlign w:val="center"/>
            <w:hideMark/>
          </w:tcPr>
          <w:p w14:paraId="641745D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640" w:type="pct"/>
            <w:tcBorders>
              <w:top w:val="nil"/>
              <w:left w:val="nil"/>
              <w:bottom w:val="nil"/>
              <w:right w:val="nil"/>
            </w:tcBorders>
            <w:shd w:val="clear" w:color="auto" w:fill="F2F2F2" w:themeFill="background1" w:themeFillShade="F2"/>
            <w:noWrap/>
            <w:vAlign w:val="center"/>
          </w:tcPr>
          <w:p w14:paraId="6BDFC935"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0336F09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auto" w:fill="F2F2F2" w:themeFill="background1" w:themeFillShade="F2"/>
            <w:noWrap/>
            <w:vAlign w:val="center"/>
            <w:hideMark/>
          </w:tcPr>
          <w:p w14:paraId="6DB9825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652" w:type="pct"/>
            <w:tcBorders>
              <w:top w:val="nil"/>
              <w:left w:val="nil"/>
              <w:bottom w:val="nil"/>
              <w:right w:val="nil"/>
            </w:tcBorders>
            <w:shd w:val="clear" w:color="auto" w:fill="F2F2F2" w:themeFill="background1" w:themeFillShade="F2"/>
            <w:noWrap/>
            <w:vAlign w:val="center"/>
            <w:hideMark/>
          </w:tcPr>
          <w:p w14:paraId="00CA0C25"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0.6</w:t>
            </w:r>
          </w:p>
        </w:tc>
      </w:tr>
      <w:tr w:rsidR="00F77FE5" w:rsidRPr="00F77FE5" w14:paraId="24A79FD7" w14:textId="77777777" w:rsidTr="005A7CAD">
        <w:trPr>
          <w:trHeight w:val="300"/>
        </w:trPr>
        <w:tc>
          <w:tcPr>
            <w:tcW w:w="818" w:type="pct"/>
            <w:tcBorders>
              <w:top w:val="nil"/>
              <w:left w:val="nil"/>
              <w:bottom w:val="nil"/>
              <w:right w:val="nil"/>
            </w:tcBorders>
            <w:shd w:val="clear" w:color="000000" w:fill="FFFFFF"/>
            <w:noWrap/>
            <w:vAlign w:val="center"/>
            <w:hideMark/>
          </w:tcPr>
          <w:p w14:paraId="603CA0CE"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10F1F1C7"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CONADIS</w:t>
            </w:r>
          </w:p>
        </w:tc>
        <w:tc>
          <w:tcPr>
            <w:tcW w:w="569" w:type="pct"/>
            <w:tcBorders>
              <w:top w:val="nil"/>
              <w:left w:val="nil"/>
              <w:bottom w:val="nil"/>
              <w:right w:val="nil"/>
            </w:tcBorders>
            <w:shd w:val="clear" w:color="000000" w:fill="FFFFFF"/>
            <w:noWrap/>
            <w:vAlign w:val="center"/>
          </w:tcPr>
          <w:p w14:paraId="2CD52B32"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97" w:type="pct"/>
            <w:tcBorders>
              <w:top w:val="nil"/>
              <w:left w:val="nil"/>
              <w:bottom w:val="nil"/>
              <w:right w:val="nil"/>
            </w:tcBorders>
            <w:shd w:val="clear" w:color="000000" w:fill="FFFFFF"/>
            <w:noWrap/>
            <w:vAlign w:val="center"/>
            <w:hideMark/>
          </w:tcPr>
          <w:p w14:paraId="08E6F715"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640" w:type="pct"/>
            <w:tcBorders>
              <w:top w:val="nil"/>
              <w:left w:val="nil"/>
              <w:bottom w:val="nil"/>
              <w:right w:val="nil"/>
            </w:tcBorders>
            <w:shd w:val="clear" w:color="000000" w:fill="FFFFFF"/>
            <w:noWrap/>
            <w:vAlign w:val="center"/>
          </w:tcPr>
          <w:p w14:paraId="1FA192E8"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148DA38D"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18C826D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518634E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42FB2CC1"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4DABB77F"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21 Turismo</w:t>
            </w:r>
          </w:p>
        </w:tc>
        <w:tc>
          <w:tcPr>
            <w:tcW w:w="569" w:type="pct"/>
            <w:tcBorders>
              <w:top w:val="nil"/>
              <w:left w:val="nil"/>
              <w:bottom w:val="nil"/>
              <w:right w:val="nil"/>
            </w:tcBorders>
            <w:shd w:val="clear" w:color="auto" w:fill="F2F2F2" w:themeFill="background1" w:themeFillShade="F2"/>
            <w:noWrap/>
            <w:vAlign w:val="center"/>
            <w:hideMark/>
          </w:tcPr>
          <w:p w14:paraId="4FAB6C6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97" w:type="pct"/>
            <w:tcBorders>
              <w:top w:val="nil"/>
              <w:left w:val="nil"/>
              <w:bottom w:val="nil"/>
              <w:right w:val="nil"/>
            </w:tcBorders>
            <w:shd w:val="clear" w:color="auto" w:fill="F2F2F2" w:themeFill="background1" w:themeFillShade="F2"/>
            <w:noWrap/>
            <w:vAlign w:val="center"/>
            <w:hideMark/>
          </w:tcPr>
          <w:p w14:paraId="7E6AD9D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11</w:t>
            </w:r>
          </w:p>
        </w:tc>
        <w:tc>
          <w:tcPr>
            <w:tcW w:w="640" w:type="pct"/>
            <w:tcBorders>
              <w:top w:val="nil"/>
              <w:left w:val="nil"/>
              <w:bottom w:val="nil"/>
              <w:right w:val="nil"/>
            </w:tcBorders>
            <w:shd w:val="clear" w:color="auto" w:fill="F2F2F2" w:themeFill="background1" w:themeFillShade="F2"/>
            <w:noWrap/>
            <w:vAlign w:val="center"/>
          </w:tcPr>
          <w:p w14:paraId="643454A3"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469FE654"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auto" w:fill="F2F2F2" w:themeFill="background1" w:themeFillShade="F2"/>
            <w:noWrap/>
            <w:vAlign w:val="center"/>
            <w:hideMark/>
          </w:tcPr>
          <w:p w14:paraId="7F53FAAE"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12</w:t>
            </w:r>
          </w:p>
        </w:tc>
        <w:tc>
          <w:tcPr>
            <w:tcW w:w="652" w:type="pct"/>
            <w:tcBorders>
              <w:top w:val="nil"/>
              <w:left w:val="nil"/>
              <w:bottom w:val="nil"/>
              <w:right w:val="nil"/>
            </w:tcBorders>
            <w:shd w:val="clear" w:color="auto" w:fill="F2F2F2" w:themeFill="background1" w:themeFillShade="F2"/>
            <w:noWrap/>
            <w:vAlign w:val="center"/>
            <w:hideMark/>
          </w:tcPr>
          <w:p w14:paraId="53C4E111"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7.5</w:t>
            </w:r>
          </w:p>
        </w:tc>
      </w:tr>
      <w:tr w:rsidR="00F77FE5" w:rsidRPr="00F77FE5" w14:paraId="5D52A36E" w14:textId="77777777" w:rsidTr="005A7CAD">
        <w:trPr>
          <w:trHeight w:val="300"/>
        </w:trPr>
        <w:tc>
          <w:tcPr>
            <w:tcW w:w="818" w:type="pct"/>
            <w:tcBorders>
              <w:top w:val="nil"/>
              <w:left w:val="nil"/>
              <w:bottom w:val="nil"/>
              <w:right w:val="nil"/>
            </w:tcBorders>
            <w:shd w:val="clear" w:color="000000" w:fill="FFFFFF"/>
            <w:noWrap/>
            <w:vAlign w:val="center"/>
            <w:hideMark/>
          </w:tcPr>
          <w:p w14:paraId="38F0D150"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099AC4CE"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ANGELES VERDES</w:t>
            </w:r>
          </w:p>
        </w:tc>
        <w:tc>
          <w:tcPr>
            <w:tcW w:w="569" w:type="pct"/>
            <w:tcBorders>
              <w:top w:val="nil"/>
              <w:left w:val="nil"/>
              <w:bottom w:val="nil"/>
              <w:right w:val="nil"/>
            </w:tcBorders>
            <w:shd w:val="clear" w:color="000000" w:fill="FFFFFF"/>
            <w:noWrap/>
            <w:vAlign w:val="center"/>
          </w:tcPr>
          <w:p w14:paraId="117CC50B"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97" w:type="pct"/>
            <w:tcBorders>
              <w:top w:val="nil"/>
              <w:left w:val="nil"/>
              <w:bottom w:val="nil"/>
              <w:right w:val="nil"/>
            </w:tcBorders>
            <w:shd w:val="clear" w:color="000000" w:fill="FFFFFF"/>
            <w:noWrap/>
            <w:vAlign w:val="center"/>
            <w:hideMark/>
          </w:tcPr>
          <w:p w14:paraId="7A9FDEEE"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w:t>
            </w:r>
          </w:p>
        </w:tc>
        <w:tc>
          <w:tcPr>
            <w:tcW w:w="640" w:type="pct"/>
            <w:tcBorders>
              <w:top w:val="nil"/>
              <w:left w:val="nil"/>
              <w:bottom w:val="nil"/>
              <w:right w:val="nil"/>
            </w:tcBorders>
            <w:shd w:val="clear" w:color="000000" w:fill="FFFFFF"/>
            <w:noWrap/>
            <w:vAlign w:val="center"/>
          </w:tcPr>
          <w:p w14:paraId="6238498B"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246A47B8"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1C4E18BD"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7B17DBA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21AD5C7C" w14:textId="77777777" w:rsidTr="005A7CAD">
        <w:trPr>
          <w:trHeight w:val="300"/>
        </w:trPr>
        <w:tc>
          <w:tcPr>
            <w:tcW w:w="818" w:type="pct"/>
            <w:tcBorders>
              <w:top w:val="nil"/>
              <w:left w:val="nil"/>
              <w:bottom w:val="nil"/>
              <w:right w:val="nil"/>
            </w:tcBorders>
            <w:shd w:val="clear" w:color="000000" w:fill="FFFFFF"/>
            <w:noWrap/>
            <w:vAlign w:val="center"/>
            <w:hideMark/>
          </w:tcPr>
          <w:p w14:paraId="4654A647"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387BBA2D"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FONATUR</w:t>
            </w:r>
          </w:p>
        </w:tc>
        <w:tc>
          <w:tcPr>
            <w:tcW w:w="569" w:type="pct"/>
            <w:tcBorders>
              <w:top w:val="nil"/>
              <w:left w:val="nil"/>
              <w:bottom w:val="nil"/>
              <w:right w:val="nil"/>
            </w:tcBorders>
            <w:shd w:val="clear" w:color="000000" w:fill="FFFFFF"/>
            <w:noWrap/>
            <w:vAlign w:val="center"/>
          </w:tcPr>
          <w:p w14:paraId="7DA215A7"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97" w:type="pct"/>
            <w:tcBorders>
              <w:top w:val="nil"/>
              <w:left w:val="nil"/>
              <w:bottom w:val="nil"/>
              <w:right w:val="nil"/>
            </w:tcBorders>
            <w:shd w:val="clear" w:color="000000" w:fill="FFFFFF"/>
            <w:noWrap/>
            <w:vAlign w:val="center"/>
            <w:hideMark/>
          </w:tcPr>
          <w:p w14:paraId="4E25A88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3</w:t>
            </w:r>
          </w:p>
        </w:tc>
        <w:tc>
          <w:tcPr>
            <w:tcW w:w="640" w:type="pct"/>
            <w:tcBorders>
              <w:top w:val="nil"/>
              <w:left w:val="nil"/>
              <w:bottom w:val="nil"/>
              <w:right w:val="nil"/>
            </w:tcBorders>
            <w:shd w:val="clear" w:color="000000" w:fill="FFFFFF"/>
            <w:noWrap/>
            <w:vAlign w:val="center"/>
          </w:tcPr>
          <w:p w14:paraId="15BFC68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792FB6FA"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368B8CC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22A4A72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050253C3" w14:textId="77777777" w:rsidTr="005A7CAD">
        <w:trPr>
          <w:trHeight w:val="300"/>
        </w:trPr>
        <w:tc>
          <w:tcPr>
            <w:tcW w:w="818" w:type="pct"/>
            <w:tcBorders>
              <w:top w:val="nil"/>
              <w:left w:val="nil"/>
              <w:bottom w:val="nil"/>
              <w:right w:val="nil"/>
            </w:tcBorders>
            <w:shd w:val="clear" w:color="000000" w:fill="FFFFFF"/>
            <w:noWrap/>
            <w:vAlign w:val="center"/>
            <w:hideMark/>
          </w:tcPr>
          <w:p w14:paraId="12C1C84F"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2F2E2836"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SECTUR</w:t>
            </w:r>
          </w:p>
        </w:tc>
        <w:tc>
          <w:tcPr>
            <w:tcW w:w="569" w:type="pct"/>
            <w:tcBorders>
              <w:top w:val="nil"/>
              <w:left w:val="nil"/>
              <w:bottom w:val="nil"/>
              <w:right w:val="nil"/>
            </w:tcBorders>
            <w:shd w:val="clear" w:color="000000" w:fill="FFFFFF"/>
            <w:noWrap/>
            <w:vAlign w:val="center"/>
            <w:hideMark/>
          </w:tcPr>
          <w:p w14:paraId="18C96B3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97" w:type="pct"/>
            <w:tcBorders>
              <w:top w:val="nil"/>
              <w:left w:val="nil"/>
              <w:bottom w:val="nil"/>
              <w:right w:val="nil"/>
            </w:tcBorders>
            <w:shd w:val="clear" w:color="000000" w:fill="FFFFFF"/>
            <w:noWrap/>
            <w:vAlign w:val="center"/>
            <w:hideMark/>
          </w:tcPr>
          <w:p w14:paraId="022327C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w:t>
            </w:r>
          </w:p>
        </w:tc>
        <w:tc>
          <w:tcPr>
            <w:tcW w:w="640" w:type="pct"/>
            <w:tcBorders>
              <w:top w:val="nil"/>
              <w:left w:val="nil"/>
              <w:bottom w:val="nil"/>
              <w:right w:val="nil"/>
            </w:tcBorders>
            <w:shd w:val="clear" w:color="000000" w:fill="FFFFFF"/>
            <w:noWrap/>
            <w:vAlign w:val="center"/>
          </w:tcPr>
          <w:p w14:paraId="19B8B384"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5DCB7C5C"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626EC91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4F262265"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1BF959D8"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455415DD"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47 Entidades No Sectorizadas</w:t>
            </w:r>
          </w:p>
        </w:tc>
        <w:tc>
          <w:tcPr>
            <w:tcW w:w="569" w:type="pct"/>
            <w:tcBorders>
              <w:top w:val="nil"/>
              <w:left w:val="nil"/>
              <w:bottom w:val="nil"/>
              <w:right w:val="nil"/>
            </w:tcBorders>
            <w:shd w:val="clear" w:color="auto" w:fill="F2F2F2" w:themeFill="background1" w:themeFillShade="F2"/>
            <w:noWrap/>
            <w:vAlign w:val="center"/>
            <w:hideMark/>
          </w:tcPr>
          <w:p w14:paraId="45D797B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3</w:t>
            </w:r>
          </w:p>
        </w:tc>
        <w:tc>
          <w:tcPr>
            <w:tcW w:w="497" w:type="pct"/>
            <w:tcBorders>
              <w:top w:val="nil"/>
              <w:left w:val="nil"/>
              <w:bottom w:val="nil"/>
              <w:right w:val="nil"/>
            </w:tcBorders>
            <w:shd w:val="clear" w:color="auto" w:fill="F2F2F2" w:themeFill="background1" w:themeFillShade="F2"/>
            <w:noWrap/>
            <w:vAlign w:val="center"/>
            <w:hideMark/>
          </w:tcPr>
          <w:p w14:paraId="7AE394C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w:t>
            </w:r>
          </w:p>
        </w:tc>
        <w:tc>
          <w:tcPr>
            <w:tcW w:w="640" w:type="pct"/>
            <w:tcBorders>
              <w:top w:val="nil"/>
              <w:left w:val="nil"/>
              <w:bottom w:val="nil"/>
              <w:right w:val="nil"/>
            </w:tcBorders>
            <w:shd w:val="clear" w:color="auto" w:fill="F2F2F2" w:themeFill="background1" w:themeFillShade="F2"/>
            <w:noWrap/>
            <w:vAlign w:val="center"/>
          </w:tcPr>
          <w:p w14:paraId="07CE8B14"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19BA458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auto" w:fill="F2F2F2" w:themeFill="background1" w:themeFillShade="F2"/>
            <w:noWrap/>
            <w:vAlign w:val="center"/>
            <w:hideMark/>
          </w:tcPr>
          <w:p w14:paraId="1A09F58E"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7</w:t>
            </w:r>
          </w:p>
        </w:tc>
        <w:tc>
          <w:tcPr>
            <w:tcW w:w="652" w:type="pct"/>
            <w:tcBorders>
              <w:top w:val="nil"/>
              <w:left w:val="nil"/>
              <w:bottom w:val="nil"/>
              <w:right w:val="nil"/>
            </w:tcBorders>
            <w:shd w:val="clear" w:color="auto" w:fill="F2F2F2" w:themeFill="background1" w:themeFillShade="F2"/>
            <w:noWrap/>
            <w:vAlign w:val="center"/>
            <w:hideMark/>
          </w:tcPr>
          <w:p w14:paraId="0B1E1431"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4.4</w:t>
            </w:r>
          </w:p>
        </w:tc>
      </w:tr>
      <w:tr w:rsidR="00F77FE5" w:rsidRPr="00F77FE5" w14:paraId="4A48D160" w14:textId="77777777" w:rsidTr="005A7CAD">
        <w:trPr>
          <w:trHeight w:val="300"/>
        </w:trPr>
        <w:tc>
          <w:tcPr>
            <w:tcW w:w="818" w:type="pct"/>
            <w:tcBorders>
              <w:top w:val="nil"/>
              <w:left w:val="nil"/>
              <w:bottom w:val="nil"/>
              <w:right w:val="nil"/>
            </w:tcBorders>
            <w:shd w:val="clear" w:color="000000" w:fill="FFFFFF"/>
            <w:noWrap/>
            <w:vAlign w:val="center"/>
            <w:hideMark/>
          </w:tcPr>
          <w:p w14:paraId="47F8763B"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21DC8935"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CDI</w:t>
            </w:r>
          </w:p>
        </w:tc>
        <w:tc>
          <w:tcPr>
            <w:tcW w:w="569" w:type="pct"/>
            <w:tcBorders>
              <w:top w:val="nil"/>
              <w:left w:val="nil"/>
              <w:bottom w:val="nil"/>
              <w:right w:val="nil"/>
            </w:tcBorders>
            <w:shd w:val="clear" w:color="000000" w:fill="FFFFFF"/>
            <w:noWrap/>
            <w:vAlign w:val="center"/>
            <w:hideMark/>
          </w:tcPr>
          <w:p w14:paraId="24886C9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97" w:type="pct"/>
            <w:tcBorders>
              <w:top w:val="nil"/>
              <w:left w:val="nil"/>
              <w:bottom w:val="nil"/>
              <w:right w:val="nil"/>
            </w:tcBorders>
            <w:shd w:val="clear" w:color="000000" w:fill="FFFFFF"/>
            <w:noWrap/>
            <w:vAlign w:val="center"/>
            <w:hideMark/>
          </w:tcPr>
          <w:p w14:paraId="20BA37B1"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22F7578C"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05E64BF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6EFCD56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74931991"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050D4CD9" w14:textId="77777777" w:rsidTr="005A7CAD">
        <w:trPr>
          <w:trHeight w:val="300"/>
        </w:trPr>
        <w:tc>
          <w:tcPr>
            <w:tcW w:w="818" w:type="pct"/>
            <w:tcBorders>
              <w:top w:val="nil"/>
              <w:left w:val="nil"/>
              <w:bottom w:val="nil"/>
              <w:right w:val="nil"/>
            </w:tcBorders>
            <w:shd w:val="clear" w:color="000000" w:fill="FFFFFF"/>
            <w:noWrap/>
            <w:vAlign w:val="center"/>
            <w:hideMark/>
          </w:tcPr>
          <w:p w14:paraId="669539E6"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05DB0739"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NOTIMEX</w:t>
            </w:r>
          </w:p>
        </w:tc>
        <w:tc>
          <w:tcPr>
            <w:tcW w:w="569" w:type="pct"/>
            <w:tcBorders>
              <w:top w:val="nil"/>
              <w:left w:val="nil"/>
              <w:bottom w:val="nil"/>
              <w:right w:val="nil"/>
            </w:tcBorders>
            <w:shd w:val="clear" w:color="000000" w:fill="FFFFFF"/>
            <w:noWrap/>
            <w:vAlign w:val="center"/>
            <w:hideMark/>
          </w:tcPr>
          <w:p w14:paraId="3EB0C0F1"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97" w:type="pct"/>
            <w:tcBorders>
              <w:top w:val="nil"/>
              <w:left w:val="nil"/>
              <w:bottom w:val="nil"/>
              <w:right w:val="nil"/>
            </w:tcBorders>
            <w:shd w:val="clear" w:color="000000" w:fill="FFFFFF"/>
            <w:noWrap/>
            <w:vAlign w:val="center"/>
            <w:hideMark/>
          </w:tcPr>
          <w:p w14:paraId="1DE6AFF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w:t>
            </w:r>
          </w:p>
        </w:tc>
        <w:tc>
          <w:tcPr>
            <w:tcW w:w="640" w:type="pct"/>
            <w:tcBorders>
              <w:top w:val="nil"/>
              <w:left w:val="nil"/>
              <w:bottom w:val="nil"/>
              <w:right w:val="nil"/>
            </w:tcBorders>
            <w:shd w:val="clear" w:color="000000" w:fill="FFFFFF"/>
            <w:noWrap/>
            <w:vAlign w:val="center"/>
          </w:tcPr>
          <w:p w14:paraId="35F9B5C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47C06B37"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3BDDEC7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4BC5F9C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7B079FEA" w14:textId="77777777" w:rsidTr="005A7CAD">
        <w:trPr>
          <w:trHeight w:val="300"/>
        </w:trPr>
        <w:tc>
          <w:tcPr>
            <w:tcW w:w="818" w:type="pct"/>
            <w:tcBorders>
              <w:top w:val="nil"/>
              <w:left w:val="nil"/>
              <w:bottom w:val="nil"/>
              <w:right w:val="nil"/>
            </w:tcBorders>
            <w:shd w:val="clear" w:color="000000" w:fill="FFFFFF"/>
            <w:noWrap/>
            <w:vAlign w:val="center"/>
            <w:hideMark/>
          </w:tcPr>
          <w:p w14:paraId="6A49E1B8"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2F653539"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PRODECON</w:t>
            </w:r>
          </w:p>
        </w:tc>
        <w:tc>
          <w:tcPr>
            <w:tcW w:w="569" w:type="pct"/>
            <w:tcBorders>
              <w:top w:val="nil"/>
              <w:left w:val="nil"/>
              <w:bottom w:val="nil"/>
              <w:right w:val="nil"/>
            </w:tcBorders>
            <w:shd w:val="clear" w:color="000000" w:fill="FFFFFF"/>
            <w:noWrap/>
            <w:vAlign w:val="center"/>
            <w:hideMark/>
          </w:tcPr>
          <w:p w14:paraId="58B79C5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497" w:type="pct"/>
            <w:tcBorders>
              <w:top w:val="nil"/>
              <w:left w:val="nil"/>
              <w:bottom w:val="nil"/>
              <w:right w:val="nil"/>
            </w:tcBorders>
            <w:shd w:val="clear" w:color="000000" w:fill="FFFFFF"/>
            <w:noWrap/>
            <w:vAlign w:val="center"/>
          </w:tcPr>
          <w:p w14:paraId="16F52D71"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56DD033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77D24E64"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5A164F9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24F8E22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0A2B87D0"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6E8EE059"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50 Instituto Mexicano del Seguro Social</w:t>
            </w:r>
          </w:p>
        </w:tc>
        <w:tc>
          <w:tcPr>
            <w:tcW w:w="569" w:type="pct"/>
            <w:tcBorders>
              <w:top w:val="nil"/>
              <w:left w:val="nil"/>
              <w:bottom w:val="nil"/>
              <w:right w:val="nil"/>
            </w:tcBorders>
            <w:shd w:val="clear" w:color="auto" w:fill="F2F2F2" w:themeFill="background1" w:themeFillShade="F2"/>
            <w:noWrap/>
            <w:vAlign w:val="center"/>
            <w:hideMark/>
          </w:tcPr>
          <w:p w14:paraId="7A41986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97" w:type="pct"/>
            <w:tcBorders>
              <w:top w:val="nil"/>
              <w:left w:val="nil"/>
              <w:bottom w:val="nil"/>
              <w:right w:val="nil"/>
            </w:tcBorders>
            <w:shd w:val="clear" w:color="auto" w:fill="F2F2F2" w:themeFill="background1" w:themeFillShade="F2"/>
            <w:noWrap/>
            <w:vAlign w:val="center"/>
          </w:tcPr>
          <w:p w14:paraId="4180EB81"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auto" w:fill="F2F2F2" w:themeFill="background1" w:themeFillShade="F2"/>
            <w:noWrap/>
            <w:vAlign w:val="center"/>
          </w:tcPr>
          <w:p w14:paraId="09D79B58"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2F6F2C87"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auto" w:fill="F2F2F2" w:themeFill="background1" w:themeFillShade="F2"/>
            <w:noWrap/>
            <w:vAlign w:val="center"/>
            <w:hideMark/>
          </w:tcPr>
          <w:p w14:paraId="570BFB4D"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652" w:type="pct"/>
            <w:tcBorders>
              <w:top w:val="nil"/>
              <w:left w:val="nil"/>
              <w:bottom w:val="nil"/>
              <w:right w:val="nil"/>
            </w:tcBorders>
            <w:shd w:val="clear" w:color="auto" w:fill="F2F2F2" w:themeFill="background1" w:themeFillShade="F2"/>
            <w:noWrap/>
            <w:vAlign w:val="center"/>
            <w:hideMark/>
          </w:tcPr>
          <w:p w14:paraId="01B4A50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0.6</w:t>
            </w:r>
          </w:p>
        </w:tc>
      </w:tr>
      <w:tr w:rsidR="00F77FE5" w:rsidRPr="00F77FE5" w14:paraId="248F105D" w14:textId="77777777" w:rsidTr="005A7CAD">
        <w:trPr>
          <w:trHeight w:val="300"/>
        </w:trPr>
        <w:tc>
          <w:tcPr>
            <w:tcW w:w="818" w:type="pct"/>
            <w:tcBorders>
              <w:top w:val="nil"/>
              <w:left w:val="nil"/>
              <w:bottom w:val="nil"/>
              <w:right w:val="nil"/>
            </w:tcBorders>
            <w:shd w:val="clear" w:color="000000" w:fill="FFFFFF"/>
            <w:noWrap/>
            <w:vAlign w:val="center"/>
            <w:hideMark/>
          </w:tcPr>
          <w:p w14:paraId="4305E59F"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5446D1ED"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IMSS</w:t>
            </w:r>
          </w:p>
        </w:tc>
        <w:tc>
          <w:tcPr>
            <w:tcW w:w="569" w:type="pct"/>
            <w:tcBorders>
              <w:top w:val="nil"/>
              <w:left w:val="nil"/>
              <w:bottom w:val="nil"/>
              <w:right w:val="nil"/>
            </w:tcBorders>
            <w:shd w:val="clear" w:color="000000" w:fill="FFFFFF"/>
            <w:noWrap/>
            <w:vAlign w:val="center"/>
            <w:hideMark/>
          </w:tcPr>
          <w:p w14:paraId="3BF0657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97" w:type="pct"/>
            <w:tcBorders>
              <w:top w:val="nil"/>
              <w:left w:val="nil"/>
              <w:bottom w:val="nil"/>
              <w:right w:val="nil"/>
            </w:tcBorders>
            <w:shd w:val="clear" w:color="000000" w:fill="FFFFFF"/>
            <w:noWrap/>
            <w:vAlign w:val="center"/>
          </w:tcPr>
          <w:p w14:paraId="10713D15"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6341009B"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4FC11A11"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3E11DD4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4E621A1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186B06E9"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1F7381E0"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51 Instituto de Seguridad y Servicios Sociales de los Trabajadores del Estado</w:t>
            </w:r>
          </w:p>
        </w:tc>
        <w:tc>
          <w:tcPr>
            <w:tcW w:w="569" w:type="pct"/>
            <w:tcBorders>
              <w:top w:val="nil"/>
              <w:left w:val="nil"/>
              <w:bottom w:val="nil"/>
              <w:right w:val="nil"/>
            </w:tcBorders>
            <w:shd w:val="clear" w:color="auto" w:fill="F2F2F2" w:themeFill="background1" w:themeFillShade="F2"/>
            <w:noWrap/>
            <w:vAlign w:val="center"/>
            <w:hideMark/>
          </w:tcPr>
          <w:p w14:paraId="2D4A29C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497" w:type="pct"/>
            <w:tcBorders>
              <w:top w:val="nil"/>
              <w:left w:val="nil"/>
              <w:bottom w:val="nil"/>
              <w:right w:val="nil"/>
            </w:tcBorders>
            <w:shd w:val="clear" w:color="auto" w:fill="F2F2F2" w:themeFill="background1" w:themeFillShade="F2"/>
            <w:noWrap/>
            <w:vAlign w:val="center"/>
            <w:hideMark/>
          </w:tcPr>
          <w:p w14:paraId="11322C2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640" w:type="pct"/>
            <w:tcBorders>
              <w:top w:val="nil"/>
              <w:left w:val="nil"/>
              <w:bottom w:val="nil"/>
              <w:right w:val="nil"/>
            </w:tcBorders>
            <w:shd w:val="clear" w:color="auto" w:fill="F2F2F2" w:themeFill="background1" w:themeFillShade="F2"/>
            <w:noWrap/>
            <w:vAlign w:val="center"/>
          </w:tcPr>
          <w:p w14:paraId="4CD4EB73"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1F596A5A"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auto" w:fill="F2F2F2" w:themeFill="background1" w:themeFillShade="F2"/>
            <w:noWrap/>
            <w:vAlign w:val="center"/>
            <w:hideMark/>
          </w:tcPr>
          <w:p w14:paraId="4451D4CA"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w:t>
            </w:r>
          </w:p>
        </w:tc>
        <w:tc>
          <w:tcPr>
            <w:tcW w:w="652" w:type="pct"/>
            <w:tcBorders>
              <w:top w:val="nil"/>
              <w:left w:val="nil"/>
              <w:bottom w:val="nil"/>
              <w:right w:val="nil"/>
            </w:tcBorders>
            <w:shd w:val="clear" w:color="auto" w:fill="F2F2F2" w:themeFill="background1" w:themeFillShade="F2"/>
            <w:noWrap/>
            <w:vAlign w:val="center"/>
            <w:hideMark/>
          </w:tcPr>
          <w:p w14:paraId="125D17E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2.5</w:t>
            </w:r>
          </w:p>
        </w:tc>
      </w:tr>
      <w:tr w:rsidR="00F77FE5" w:rsidRPr="00F77FE5" w14:paraId="5D6CF8B1" w14:textId="77777777" w:rsidTr="005A7CAD">
        <w:trPr>
          <w:trHeight w:val="300"/>
        </w:trPr>
        <w:tc>
          <w:tcPr>
            <w:tcW w:w="818" w:type="pct"/>
            <w:tcBorders>
              <w:top w:val="nil"/>
              <w:left w:val="nil"/>
              <w:bottom w:val="nil"/>
              <w:right w:val="nil"/>
            </w:tcBorders>
            <w:shd w:val="clear" w:color="000000" w:fill="FFFFFF"/>
            <w:noWrap/>
            <w:vAlign w:val="center"/>
            <w:hideMark/>
          </w:tcPr>
          <w:p w14:paraId="5CF4D423"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87" w:type="pct"/>
            <w:tcBorders>
              <w:top w:val="nil"/>
              <w:left w:val="nil"/>
              <w:bottom w:val="nil"/>
              <w:right w:val="nil"/>
            </w:tcBorders>
            <w:shd w:val="clear" w:color="000000" w:fill="FFFFFF"/>
            <w:noWrap/>
            <w:vAlign w:val="center"/>
            <w:hideMark/>
          </w:tcPr>
          <w:p w14:paraId="377B2519"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ISSSTE</w:t>
            </w:r>
          </w:p>
        </w:tc>
        <w:tc>
          <w:tcPr>
            <w:tcW w:w="569" w:type="pct"/>
            <w:tcBorders>
              <w:top w:val="nil"/>
              <w:left w:val="nil"/>
              <w:bottom w:val="nil"/>
              <w:right w:val="nil"/>
            </w:tcBorders>
            <w:shd w:val="clear" w:color="000000" w:fill="FFFFFF"/>
            <w:noWrap/>
            <w:vAlign w:val="center"/>
            <w:hideMark/>
          </w:tcPr>
          <w:p w14:paraId="0A4AF685"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497" w:type="pct"/>
            <w:tcBorders>
              <w:top w:val="nil"/>
              <w:left w:val="nil"/>
              <w:bottom w:val="nil"/>
              <w:right w:val="nil"/>
            </w:tcBorders>
            <w:shd w:val="clear" w:color="000000" w:fill="FFFFFF"/>
            <w:noWrap/>
            <w:vAlign w:val="center"/>
            <w:hideMark/>
          </w:tcPr>
          <w:p w14:paraId="78DFF5E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640" w:type="pct"/>
            <w:tcBorders>
              <w:top w:val="nil"/>
              <w:left w:val="nil"/>
              <w:bottom w:val="nil"/>
              <w:right w:val="nil"/>
            </w:tcBorders>
            <w:shd w:val="clear" w:color="000000" w:fill="FFFFFF"/>
            <w:noWrap/>
            <w:vAlign w:val="center"/>
          </w:tcPr>
          <w:p w14:paraId="42E9717D"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10B3A8D9"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5761378A"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479C9781"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4101FA85"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388D8D6C"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52 Petróleos Mexicanos</w:t>
            </w:r>
          </w:p>
        </w:tc>
        <w:tc>
          <w:tcPr>
            <w:tcW w:w="569" w:type="pct"/>
            <w:tcBorders>
              <w:top w:val="nil"/>
              <w:left w:val="nil"/>
              <w:bottom w:val="nil"/>
              <w:right w:val="nil"/>
            </w:tcBorders>
            <w:shd w:val="clear" w:color="auto" w:fill="F2F2F2" w:themeFill="background1" w:themeFillShade="F2"/>
            <w:noWrap/>
            <w:vAlign w:val="center"/>
            <w:hideMark/>
          </w:tcPr>
          <w:p w14:paraId="29772A0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97" w:type="pct"/>
            <w:tcBorders>
              <w:top w:val="nil"/>
              <w:left w:val="nil"/>
              <w:bottom w:val="nil"/>
              <w:right w:val="nil"/>
            </w:tcBorders>
            <w:shd w:val="clear" w:color="auto" w:fill="F2F2F2" w:themeFill="background1" w:themeFillShade="F2"/>
            <w:noWrap/>
            <w:vAlign w:val="center"/>
            <w:hideMark/>
          </w:tcPr>
          <w:p w14:paraId="5B93EE1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27</w:t>
            </w:r>
          </w:p>
        </w:tc>
        <w:tc>
          <w:tcPr>
            <w:tcW w:w="640" w:type="pct"/>
            <w:tcBorders>
              <w:top w:val="nil"/>
              <w:left w:val="nil"/>
              <w:bottom w:val="nil"/>
              <w:right w:val="nil"/>
            </w:tcBorders>
            <w:shd w:val="clear" w:color="auto" w:fill="F2F2F2" w:themeFill="background1" w:themeFillShade="F2"/>
            <w:noWrap/>
            <w:vAlign w:val="center"/>
          </w:tcPr>
          <w:p w14:paraId="5521ADE3"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0818CCE3"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auto" w:fill="F2F2F2" w:themeFill="background1" w:themeFillShade="F2"/>
            <w:noWrap/>
            <w:vAlign w:val="center"/>
            <w:hideMark/>
          </w:tcPr>
          <w:p w14:paraId="3A78D7C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27</w:t>
            </w:r>
          </w:p>
        </w:tc>
        <w:tc>
          <w:tcPr>
            <w:tcW w:w="652" w:type="pct"/>
            <w:tcBorders>
              <w:top w:val="nil"/>
              <w:left w:val="nil"/>
              <w:bottom w:val="nil"/>
              <w:right w:val="nil"/>
            </w:tcBorders>
            <w:shd w:val="clear" w:color="auto" w:fill="F2F2F2" w:themeFill="background1" w:themeFillShade="F2"/>
            <w:noWrap/>
            <w:vAlign w:val="center"/>
            <w:hideMark/>
          </w:tcPr>
          <w:p w14:paraId="48FA2FA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16.9</w:t>
            </w:r>
          </w:p>
        </w:tc>
      </w:tr>
      <w:tr w:rsidR="00F77FE5" w:rsidRPr="00F77FE5" w14:paraId="1DB00F26" w14:textId="77777777" w:rsidTr="005A7CAD">
        <w:trPr>
          <w:trHeight w:val="300"/>
        </w:trPr>
        <w:tc>
          <w:tcPr>
            <w:tcW w:w="818" w:type="pct"/>
            <w:tcBorders>
              <w:top w:val="nil"/>
              <w:left w:val="nil"/>
              <w:bottom w:val="nil"/>
              <w:right w:val="nil"/>
            </w:tcBorders>
            <w:shd w:val="clear" w:color="000000" w:fill="FFFFFF"/>
            <w:noWrap/>
            <w:vAlign w:val="center"/>
            <w:hideMark/>
          </w:tcPr>
          <w:p w14:paraId="03F4A1A7"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lastRenderedPageBreak/>
              <w:t> </w:t>
            </w:r>
          </w:p>
        </w:tc>
        <w:tc>
          <w:tcPr>
            <w:tcW w:w="687" w:type="pct"/>
            <w:tcBorders>
              <w:top w:val="nil"/>
              <w:left w:val="nil"/>
              <w:bottom w:val="nil"/>
              <w:right w:val="nil"/>
            </w:tcBorders>
            <w:shd w:val="clear" w:color="000000" w:fill="FFFFFF"/>
            <w:noWrap/>
            <w:vAlign w:val="center"/>
            <w:hideMark/>
          </w:tcPr>
          <w:p w14:paraId="5AEA3545"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PEMEX</w:t>
            </w:r>
          </w:p>
        </w:tc>
        <w:tc>
          <w:tcPr>
            <w:tcW w:w="569" w:type="pct"/>
            <w:tcBorders>
              <w:top w:val="nil"/>
              <w:left w:val="nil"/>
              <w:bottom w:val="nil"/>
              <w:right w:val="nil"/>
            </w:tcBorders>
            <w:shd w:val="clear" w:color="000000" w:fill="FFFFFF"/>
            <w:noWrap/>
            <w:vAlign w:val="center"/>
            <w:hideMark/>
          </w:tcPr>
          <w:p w14:paraId="660A7B58"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97" w:type="pct"/>
            <w:tcBorders>
              <w:top w:val="nil"/>
              <w:left w:val="nil"/>
              <w:bottom w:val="nil"/>
              <w:right w:val="nil"/>
            </w:tcBorders>
            <w:shd w:val="clear" w:color="000000" w:fill="FFFFFF"/>
            <w:noWrap/>
            <w:vAlign w:val="center"/>
            <w:hideMark/>
          </w:tcPr>
          <w:p w14:paraId="3B2AD2A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27</w:t>
            </w:r>
          </w:p>
        </w:tc>
        <w:tc>
          <w:tcPr>
            <w:tcW w:w="640" w:type="pct"/>
            <w:tcBorders>
              <w:top w:val="nil"/>
              <w:left w:val="nil"/>
              <w:bottom w:val="nil"/>
              <w:right w:val="nil"/>
            </w:tcBorders>
            <w:shd w:val="clear" w:color="000000" w:fill="FFFFFF"/>
            <w:noWrap/>
            <w:vAlign w:val="center"/>
          </w:tcPr>
          <w:p w14:paraId="74E06240"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5F262EA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355" w:type="pct"/>
            <w:tcBorders>
              <w:top w:val="nil"/>
              <w:left w:val="nil"/>
              <w:bottom w:val="nil"/>
              <w:right w:val="nil"/>
            </w:tcBorders>
            <w:shd w:val="clear" w:color="000000" w:fill="FFFFFF"/>
            <w:noWrap/>
            <w:vAlign w:val="center"/>
            <w:hideMark/>
          </w:tcPr>
          <w:p w14:paraId="56D9A5B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652" w:type="pct"/>
            <w:tcBorders>
              <w:top w:val="nil"/>
              <w:left w:val="nil"/>
              <w:bottom w:val="nil"/>
              <w:right w:val="nil"/>
            </w:tcBorders>
            <w:shd w:val="clear" w:color="000000" w:fill="FFFFFF"/>
            <w:noWrap/>
            <w:vAlign w:val="center"/>
            <w:hideMark/>
          </w:tcPr>
          <w:p w14:paraId="76B876B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7AACB34F" w14:textId="77777777" w:rsidTr="005A7CAD">
        <w:trPr>
          <w:trHeight w:val="315"/>
        </w:trPr>
        <w:tc>
          <w:tcPr>
            <w:tcW w:w="1505" w:type="pct"/>
            <w:gridSpan w:val="2"/>
            <w:tcBorders>
              <w:top w:val="nil"/>
              <w:left w:val="nil"/>
              <w:bottom w:val="single" w:sz="12" w:space="0" w:color="auto"/>
              <w:right w:val="nil"/>
            </w:tcBorders>
            <w:shd w:val="clear" w:color="000000" w:fill="FFFFFF"/>
            <w:noWrap/>
            <w:vAlign w:val="center"/>
            <w:hideMark/>
          </w:tcPr>
          <w:p w14:paraId="0641DA3B" w14:textId="77777777" w:rsidR="00F77FE5" w:rsidRPr="00F77FE5" w:rsidRDefault="00F77FE5" w:rsidP="00F77FE5">
            <w:pPr>
              <w:spacing w:after="0"/>
              <w:rPr>
                <w:rFonts w:eastAsia="Times New Roman" w:cs="Calibri"/>
                <w:b/>
                <w:color w:val="000000"/>
                <w:sz w:val="14"/>
                <w:szCs w:val="14"/>
                <w:lang w:val="es-MX" w:eastAsia="es-MX"/>
              </w:rPr>
            </w:pPr>
            <w:r w:rsidRPr="00F77FE5">
              <w:rPr>
                <w:rFonts w:eastAsia="Times New Roman" w:cs="Calibri"/>
                <w:b/>
                <w:color w:val="000000"/>
                <w:sz w:val="14"/>
                <w:szCs w:val="14"/>
                <w:lang w:val="es-MX" w:eastAsia="es-MX"/>
              </w:rPr>
              <w:t>Total</w:t>
            </w:r>
          </w:p>
        </w:tc>
        <w:tc>
          <w:tcPr>
            <w:tcW w:w="569" w:type="pct"/>
            <w:tcBorders>
              <w:top w:val="nil"/>
              <w:left w:val="nil"/>
              <w:bottom w:val="nil"/>
              <w:right w:val="nil"/>
            </w:tcBorders>
            <w:shd w:val="clear" w:color="000000" w:fill="FFFFFF"/>
            <w:noWrap/>
            <w:vAlign w:val="center"/>
            <w:hideMark/>
          </w:tcPr>
          <w:p w14:paraId="275DD078" w14:textId="77777777" w:rsidR="00F77FE5" w:rsidRPr="00F77FE5" w:rsidRDefault="00F77FE5" w:rsidP="00F77FE5">
            <w:pPr>
              <w:spacing w:after="0"/>
              <w:jc w:val="center"/>
              <w:rPr>
                <w:rFonts w:eastAsia="Times New Roman" w:cs="Calibri"/>
                <w:b/>
                <w:bCs/>
                <w:color w:val="000000"/>
                <w:sz w:val="14"/>
                <w:szCs w:val="14"/>
                <w:lang w:val="es-MX" w:eastAsia="es-MX"/>
              </w:rPr>
            </w:pPr>
            <w:r w:rsidRPr="00F77FE5">
              <w:rPr>
                <w:rFonts w:eastAsia="Times New Roman" w:cs="Calibri"/>
                <w:b/>
                <w:bCs/>
                <w:color w:val="000000"/>
                <w:sz w:val="14"/>
                <w:szCs w:val="14"/>
                <w:lang w:val="es-MX" w:eastAsia="es-MX"/>
              </w:rPr>
              <w:t>78</w:t>
            </w:r>
          </w:p>
        </w:tc>
        <w:tc>
          <w:tcPr>
            <w:tcW w:w="497" w:type="pct"/>
            <w:tcBorders>
              <w:top w:val="nil"/>
              <w:left w:val="nil"/>
              <w:bottom w:val="nil"/>
              <w:right w:val="nil"/>
            </w:tcBorders>
            <w:shd w:val="clear" w:color="000000" w:fill="FFFFFF"/>
            <w:noWrap/>
            <w:vAlign w:val="center"/>
            <w:hideMark/>
          </w:tcPr>
          <w:p w14:paraId="55134690" w14:textId="77777777" w:rsidR="00F77FE5" w:rsidRPr="00F77FE5" w:rsidRDefault="00F77FE5" w:rsidP="00F77FE5">
            <w:pPr>
              <w:spacing w:after="0"/>
              <w:jc w:val="center"/>
              <w:rPr>
                <w:rFonts w:eastAsia="Times New Roman" w:cs="Calibri"/>
                <w:b/>
                <w:bCs/>
                <w:color w:val="000000"/>
                <w:sz w:val="14"/>
                <w:szCs w:val="14"/>
                <w:lang w:val="es-MX" w:eastAsia="es-MX"/>
              </w:rPr>
            </w:pPr>
            <w:r w:rsidRPr="00F77FE5">
              <w:rPr>
                <w:rFonts w:eastAsia="Times New Roman" w:cs="Calibri"/>
                <w:b/>
                <w:bCs/>
                <w:color w:val="000000"/>
                <w:sz w:val="14"/>
                <w:szCs w:val="14"/>
                <w:lang w:val="es-MX" w:eastAsia="es-MX"/>
              </w:rPr>
              <w:t>74</w:t>
            </w:r>
          </w:p>
        </w:tc>
        <w:tc>
          <w:tcPr>
            <w:tcW w:w="640" w:type="pct"/>
            <w:tcBorders>
              <w:top w:val="nil"/>
              <w:left w:val="nil"/>
              <w:bottom w:val="nil"/>
              <w:right w:val="nil"/>
            </w:tcBorders>
            <w:shd w:val="clear" w:color="000000" w:fill="FFFFFF"/>
            <w:noWrap/>
            <w:vAlign w:val="center"/>
            <w:hideMark/>
          </w:tcPr>
          <w:p w14:paraId="5F86DA47" w14:textId="77777777" w:rsidR="00F77FE5" w:rsidRPr="00F77FE5" w:rsidRDefault="00F77FE5" w:rsidP="00F77FE5">
            <w:pPr>
              <w:spacing w:after="0"/>
              <w:jc w:val="center"/>
              <w:rPr>
                <w:rFonts w:eastAsia="Times New Roman" w:cs="Calibri"/>
                <w:b/>
                <w:bCs/>
                <w:color w:val="000000"/>
                <w:sz w:val="14"/>
                <w:szCs w:val="14"/>
                <w:lang w:val="es-MX" w:eastAsia="es-MX"/>
              </w:rPr>
            </w:pPr>
            <w:r w:rsidRPr="00F77FE5">
              <w:rPr>
                <w:rFonts w:eastAsia="Times New Roman" w:cs="Calibri"/>
                <w:b/>
                <w:bCs/>
                <w:color w:val="000000"/>
                <w:sz w:val="14"/>
                <w:szCs w:val="14"/>
                <w:lang w:val="es-MX" w:eastAsia="es-MX"/>
              </w:rPr>
              <w:t>7</w:t>
            </w:r>
          </w:p>
        </w:tc>
        <w:tc>
          <w:tcPr>
            <w:tcW w:w="782" w:type="pct"/>
            <w:tcBorders>
              <w:top w:val="nil"/>
              <w:left w:val="nil"/>
              <w:bottom w:val="nil"/>
              <w:right w:val="nil"/>
            </w:tcBorders>
            <w:shd w:val="clear" w:color="000000" w:fill="FFFFFF"/>
            <w:noWrap/>
            <w:vAlign w:val="center"/>
            <w:hideMark/>
          </w:tcPr>
          <w:p w14:paraId="5370B912" w14:textId="77777777" w:rsidR="00F77FE5" w:rsidRPr="00F77FE5" w:rsidRDefault="00F77FE5" w:rsidP="00F77FE5">
            <w:pPr>
              <w:spacing w:after="0"/>
              <w:jc w:val="center"/>
              <w:rPr>
                <w:rFonts w:eastAsia="Times New Roman" w:cs="Calibri"/>
                <w:b/>
                <w:bCs/>
                <w:color w:val="000000"/>
                <w:sz w:val="14"/>
                <w:szCs w:val="14"/>
                <w:lang w:val="es-MX" w:eastAsia="es-MX"/>
              </w:rPr>
            </w:pPr>
            <w:r w:rsidRPr="00F77FE5">
              <w:rPr>
                <w:rFonts w:eastAsia="Times New Roman" w:cs="Calibri"/>
                <w:b/>
                <w:bCs/>
                <w:color w:val="000000"/>
                <w:sz w:val="14"/>
                <w:szCs w:val="14"/>
                <w:lang w:val="es-MX" w:eastAsia="es-MX"/>
              </w:rPr>
              <w:t>1</w:t>
            </w:r>
          </w:p>
        </w:tc>
        <w:tc>
          <w:tcPr>
            <w:tcW w:w="355" w:type="pct"/>
            <w:tcBorders>
              <w:top w:val="nil"/>
              <w:left w:val="nil"/>
              <w:bottom w:val="nil"/>
              <w:right w:val="nil"/>
            </w:tcBorders>
            <w:shd w:val="clear" w:color="000000" w:fill="FFFFFF"/>
            <w:noWrap/>
            <w:vAlign w:val="center"/>
            <w:hideMark/>
          </w:tcPr>
          <w:p w14:paraId="2678DB3B" w14:textId="77777777" w:rsidR="00F77FE5" w:rsidRPr="00F77FE5" w:rsidRDefault="00F77FE5" w:rsidP="00F77FE5">
            <w:pPr>
              <w:spacing w:after="0"/>
              <w:jc w:val="center"/>
              <w:rPr>
                <w:rFonts w:eastAsia="Times New Roman" w:cs="Calibri"/>
                <w:b/>
                <w:bCs/>
                <w:color w:val="000000"/>
                <w:sz w:val="14"/>
                <w:szCs w:val="14"/>
                <w:lang w:val="es-MX" w:eastAsia="es-MX"/>
              </w:rPr>
            </w:pPr>
            <w:r w:rsidRPr="00F77FE5">
              <w:rPr>
                <w:rFonts w:eastAsia="Times New Roman" w:cs="Calibri"/>
                <w:b/>
                <w:bCs/>
                <w:color w:val="000000"/>
                <w:sz w:val="14"/>
                <w:szCs w:val="14"/>
                <w:lang w:val="es-MX" w:eastAsia="es-MX"/>
              </w:rPr>
              <w:t>160</w:t>
            </w:r>
          </w:p>
        </w:tc>
        <w:tc>
          <w:tcPr>
            <w:tcW w:w="652" w:type="pct"/>
            <w:tcBorders>
              <w:top w:val="nil"/>
              <w:left w:val="nil"/>
              <w:bottom w:val="nil"/>
              <w:right w:val="nil"/>
            </w:tcBorders>
            <w:shd w:val="clear" w:color="000000" w:fill="FFFFFF"/>
            <w:noWrap/>
            <w:vAlign w:val="center"/>
            <w:hideMark/>
          </w:tcPr>
          <w:p w14:paraId="057F2B4C" w14:textId="77777777" w:rsidR="00F77FE5" w:rsidRPr="00F77FE5" w:rsidRDefault="00F77FE5" w:rsidP="00F77FE5">
            <w:pPr>
              <w:spacing w:after="0"/>
              <w:jc w:val="center"/>
              <w:rPr>
                <w:rFonts w:eastAsia="Times New Roman" w:cs="Calibri"/>
                <w:b/>
                <w:color w:val="000000"/>
                <w:sz w:val="14"/>
                <w:szCs w:val="14"/>
                <w:lang w:val="es-MX" w:eastAsia="es-MX"/>
              </w:rPr>
            </w:pPr>
            <w:r w:rsidRPr="00F77FE5">
              <w:rPr>
                <w:rFonts w:eastAsia="Times New Roman" w:cs="Calibri"/>
                <w:b/>
                <w:color w:val="000000"/>
                <w:sz w:val="14"/>
                <w:szCs w:val="14"/>
                <w:lang w:val="es-MX" w:eastAsia="es-MX"/>
              </w:rPr>
              <w:t>100</w:t>
            </w:r>
          </w:p>
        </w:tc>
      </w:tr>
      <w:tr w:rsidR="00F77FE5" w:rsidRPr="00F77FE5" w14:paraId="021A7446" w14:textId="77777777" w:rsidTr="005A7CAD">
        <w:trPr>
          <w:trHeight w:val="315"/>
        </w:trPr>
        <w:tc>
          <w:tcPr>
            <w:tcW w:w="5000" w:type="pct"/>
            <w:gridSpan w:val="8"/>
            <w:tcBorders>
              <w:top w:val="single" w:sz="12" w:space="0" w:color="auto"/>
              <w:left w:val="nil"/>
              <w:bottom w:val="nil"/>
              <w:right w:val="nil"/>
            </w:tcBorders>
            <w:shd w:val="clear" w:color="000000" w:fill="FFFFFF"/>
            <w:noWrap/>
            <w:vAlign w:val="center"/>
            <w:hideMark/>
          </w:tcPr>
          <w:p w14:paraId="4E67E073"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Fuente: Unidad de Evaluación del Desempeño, con información proporcionada por las dependencias y entidades de la APF a la SHCP</w:t>
            </w:r>
          </w:p>
        </w:tc>
      </w:tr>
    </w:tbl>
    <w:p w14:paraId="4709299D" w14:textId="77777777" w:rsidR="005854F3" w:rsidRDefault="005854F3" w:rsidP="00F77FE5">
      <w:pPr>
        <w:jc w:val="both"/>
        <w:rPr>
          <w:rFonts w:eastAsia="Times New Roman" w:cs="Arial"/>
          <w:szCs w:val="20"/>
          <w:lang w:val="es-ES"/>
        </w:rPr>
      </w:pPr>
    </w:p>
    <w:p w14:paraId="1B5F19E7"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ES"/>
        </w:rPr>
        <w:t>Es importante destacar que la mayoría de los ASM se concentra en aspectos clasificados como específicos, que de acuerdo a lo establecido en el Mecanismo, son atendidos por la UR del Pp.</w:t>
      </w:r>
    </w:p>
    <w:p w14:paraId="2A716B0A"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ES"/>
        </w:rPr>
        <w:t xml:space="preserve">Durante el primer trimestre de 2018, 61 ASM (38.1%) han concluido su implementación, de los cuales 34 (55.8%) son del tipo específico, 21 (34.4%) son del tipo institucional y seis (9.8%) se identificaron del tipo interinstitucional. </w:t>
      </w:r>
    </w:p>
    <w:p w14:paraId="5C243A58"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ES"/>
        </w:rPr>
        <w:t>Asimismo, 68 (42.5%) reportaron avances y continúan con el proceso de instrumentación y 31 ASM (19.4%) fueron reportados sin avances.</w:t>
      </w:r>
    </w:p>
    <w:p w14:paraId="74DF2865" w14:textId="77777777" w:rsidR="00F77FE5" w:rsidRPr="00F77FE5" w:rsidRDefault="00F77FE5" w:rsidP="00F77FE5">
      <w:pPr>
        <w:jc w:val="both"/>
        <w:rPr>
          <w:rFonts w:eastAsia="Times New Roman" w:cs="Arial"/>
          <w:szCs w:val="20"/>
          <w:lang w:val="es-ES"/>
        </w:rPr>
      </w:pPr>
    </w:p>
    <w:p w14:paraId="301D9025" w14:textId="77777777" w:rsidR="00F77FE5" w:rsidRPr="00F77FE5" w:rsidRDefault="00F77FE5" w:rsidP="00F77FE5">
      <w:pPr>
        <w:spacing w:after="0"/>
        <w:jc w:val="center"/>
        <w:rPr>
          <w:rFonts w:eastAsia="Times New Roman" w:cs="Arial"/>
          <w:szCs w:val="20"/>
          <w:lang w:val="es-ES"/>
        </w:rPr>
      </w:pPr>
      <w:r w:rsidRPr="00F77FE5">
        <w:rPr>
          <w:noProof/>
          <w:lang w:val="es-MX" w:eastAsia="es-MX"/>
        </w:rPr>
        <w:drawing>
          <wp:inline distT="0" distB="0" distL="0" distR="0" wp14:anchorId="71CD8E86" wp14:editId="75E1B119">
            <wp:extent cx="5900738" cy="2743200"/>
            <wp:effectExtent l="0" t="0" r="508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2FB32E" w14:textId="77777777" w:rsidR="00F77FE5" w:rsidRPr="00F77FE5" w:rsidRDefault="00F77FE5" w:rsidP="00F77FE5">
      <w:pPr>
        <w:jc w:val="both"/>
        <w:rPr>
          <w:rFonts w:eastAsia="Times New Roman" w:cs="Arial"/>
          <w:szCs w:val="20"/>
          <w:lang w:val="es-ES"/>
        </w:rPr>
      </w:pPr>
    </w:p>
    <w:p w14:paraId="35F9E073" w14:textId="77777777" w:rsidR="00F77FE5" w:rsidRPr="00F77FE5" w:rsidRDefault="00F77FE5" w:rsidP="00F77FE5">
      <w:pPr>
        <w:jc w:val="both"/>
        <w:rPr>
          <w:rFonts w:ascii="Cambria" w:hAnsi="Cambria"/>
          <w:sz w:val="20"/>
          <w:szCs w:val="20"/>
          <w:lang w:val="es-MX" w:eastAsia="es-MX"/>
        </w:rPr>
      </w:pPr>
      <w:r w:rsidRPr="00F77FE5">
        <w:rPr>
          <w:rFonts w:eastAsia="Times New Roman" w:cs="Arial"/>
          <w:szCs w:val="20"/>
          <w:lang w:val="es-ES"/>
        </w:rPr>
        <w:t xml:space="preserve">De acuerdo al tipo de evaluación que dio origen a los ASM concluidos reportados en este trimestre, se identifican principalmente los siguientes tipos: Diseño con 28 (45.9%), Consistencia y Resultados con 22 (36.1%) y Procesos con ocho (13.1%) evaluaciones con ASM concluidos. </w:t>
      </w:r>
      <w:r w:rsidRPr="00F77FE5">
        <w:rPr>
          <w:rFonts w:eastAsia="Times New Roman" w:cs="Arial"/>
          <w:szCs w:val="20"/>
          <w:lang w:val="es-ES"/>
        </w:rPr>
        <w:fldChar w:fldCharType="begin"/>
      </w:r>
      <w:r w:rsidRPr="00F77FE5">
        <w:rPr>
          <w:rFonts w:eastAsia="Times New Roman" w:cs="Arial"/>
          <w:szCs w:val="20"/>
          <w:lang w:val="es-ES"/>
        </w:rPr>
        <w:instrText xml:space="preserve"> LINK Excel.Sheet.12 "C:\\Users\\monica_amezcua\\Documents\\2016\\ASM 3ER TRIM 2016\\Base de Datos ASM_3er trim 2016.xlsx" graficos!F3C16:F13C20 \a \f 4 \h  \* MERGEFORMAT </w:instrText>
      </w:r>
      <w:r w:rsidRPr="00F77FE5">
        <w:rPr>
          <w:rFonts w:eastAsia="Times New Roman" w:cs="Arial"/>
          <w:szCs w:val="20"/>
          <w:lang w:val="es-ES"/>
        </w:rPr>
        <w:fldChar w:fldCharType="separate"/>
      </w:r>
    </w:p>
    <w:p w14:paraId="4E24759E" w14:textId="77777777" w:rsidR="00F77FE5" w:rsidRDefault="00F77FE5" w:rsidP="00F77FE5">
      <w:pPr>
        <w:jc w:val="both"/>
        <w:rPr>
          <w:rFonts w:eastAsia="Times New Roman" w:cs="Arial"/>
          <w:szCs w:val="20"/>
          <w:lang w:val="es-ES"/>
        </w:rPr>
      </w:pPr>
      <w:r w:rsidRPr="00F77FE5">
        <w:rPr>
          <w:rFonts w:eastAsia="Times New Roman" w:cs="Arial"/>
          <w:szCs w:val="20"/>
          <w:lang w:val="es-ES"/>
        </w:rPr>
        <w:fldChar w:fldCharType="end"/>
      </w:r>
    </w:p>
    <w:p w14:paraId="458E5409" w14:textId="77777777" w:rsidR="005854F3" w:rsidRDefault="005854F3" w:rsidP="00F77FE5">
      <w:pPr>
        <w:jc w:val="both"/>
        <w:rPr>
          <w:rFonts w:eastAsia="Times New Roman" w:cs="Arial"/>
          <w:szCs w:val="20"/>
          <w:lang w:val="es-ES"/>
        </w:rPr>
      </w:pPr>
    </w:p>
    <w:p w14:paraId="003ABB9C" w14:textId="77777777" w:rsidR="005854F3" w:rsidRDefault="005854F3" w:rsidP="00F77FE5">
      <w:pPr>
        <w:jc w:val="both"/>
        <w:rPr>
          <w:rFonts w:eastAsia="Times New Roman" w:cs="Arial"/>
          <w:szCs w:val="20"/>
          <w:lang w:val="es-ES"/>
        </w:rPr>
      </w:pPr>
    </w:p>
    <w:p w14:paraId="683BF715" w14:textId="77777777" w:rsidR="005854F3" w:rsidRDefault="005854F3" w:rsidP="00F77FE5">
      <w:pPr>
        <w:jc w:val="both"/>
        <w:rPr>
          <w:rFonts w:eastAsia="Times New Roman" w:cs="Arial"/>
          <w:szCs w:val="20"/>
          <w:lang w:val="es-ES"/>
        </w:rPr>
      </w:pPr>
    </w:p>
    <w:p w14:paraId="5F82CF4C" w14:textId="77777777" w:rsidR="005854F3" w:rsidRDefault="005854F3" w:rsidP="00F77FE5">
      <w:pPr>
        <w:jc w:val="both"/>
        <w:rPr>
          <w:rFonts w:eastAsia="Times New Roman" w:cs="Arial"/>
          <w:szCs w:val="20"/>
          <w:lang w:val="es-ES"/>
        </w:rPr>
      </w:pPr>
    </w:p>
    <w:p w14:paraId="385789B3" w14:textId="77777777" w:rsidR="005854F3" w:rsidRDefault="005854F3" w:rsidP="00F77FE5">
      <w:pPr>
        <w:jc w:val="both"/>
        <w:rPr>
          <w:rFonts w:eastAsia="Times New Roman" w:cs="Arial"/>
          <w:szCs w:val="20"/>
          <w:lang w:val="es-ES"/>
        </w:rPr>
      </w:pPr>
    </w:p>
    <w:p w14:paraId="114A71DF" w14:textId="77777777" w:rsidR="005854F3" w:rsidRPr="00F77FE5" w:rsidRDefault="005854F3" w:rsidP="00F77FE5">
      <w:pPr>
        <w:jc w:val="both"/>
        <w:rPr>
          <w:rFonts w:eastAsia="Times New Roman" w:cs="Arial"/>
          <w:szCs w:val="20"/>
          <w:lang w:val="es-ES"/>
        </w:rPr>
      </w:pPr>
    </w:p>
    <w:tbl>
      <w:tblPr>
        <w:tblW w:w="4336" w:type="pct"/>
        <w:jc w:val="center"/>
        <w:tblCellMar>
          <w:left w:w="70" w:type="dxa"/>
          <w:right w:w="70" w:type="dxa"/>
        </w:tblCellMar>
        <w:tblLook w:val="04A0" w:firstRow="1" w:lastRow="0" w:firstColumn="1" w:lastColumn="0" w:noHBand="0" w:noVBand="1"/>
      </w:tblPr>
      <w:tblGrid>
        <w:gridCol w:w="3313"/>
        <w:gridCol w:w="965"/>
        <w:gridCol w:w="1223"/>
        <w:gridCol w:w="1403"/>
        <w:gridCol w:w="187"/>
        <w:gridCol w:w="493"/>
        <w:gridCol w:w="1064"/>
      </w:tblGrid>
      <w:tr w:rsidR="00F77FE5" w:rsidRPr="00F77FE5" w14:paraId="722C8BED" w14:textId="77777777" w:rsidTr="005A7CAD">
        <w:trPr>
          <w:trHeight w:val="300"/>
          <w:jc w:val="center"/>
        </w:trPr>
        <w:tc>
          <w:tcPr>
            <w:tcW w:w="5000" w:type="pct"/>
            <w:gridSpan w:val="7"/>
            <w:tcBorders>
              <w:top w:val="nil"/>
              <w:left w:val="nil"/>
              <w:bottom w:val="nil"/>
              <w:right w:val="nil"/>
            </w:tcBorders>
            <w:shd w:val="clear" w:color="000000" w:fill="EAF1DD"/>
            <w:noWrap/>
            <w:vAlign w:val="center"/>
            <w:hideMark/>
          </w:tcPr>
          <w:p w14:paraId="67C10011" w14:textId="77777777" w:rsidR="00F77FE5" w:rsidRPr="00F77FE5" w:rsidRDefault="00F77FE5" w:rsidP="00F77FE5">
            <w:pPr>
              <w:spacing w:after="0"/>
              <w:jc w:val="center"/>
              <w:rPr>
                <w:rFonts w:eastAsia="Times New Roman" w:cs="Calibri"/>
                <w:color w:val="000000"/>
                <w:sz w:val="18"/>
                <w:szCs w:val="18"/>
                <w:lang w:val="es-MX" w:eastAsia="es-MX"/>
              </w:rPr>
            </w:pPr>
            <w:r w:rsidRPr="00F77FE5">
              <w:rPr>
                <w:rFonts w:eastAsia="Times New Roman" w:cs="Calibri"/>
                <w:color w:val="000000"/>
                <w:sz w:val="18"/>
                <w:szCs w:val="18"/>
                <w:lang w:val="es-MX" w:eastAsia="es-MX"/>
              </w:rPr>
              <w:t>Tabla 7. Cantidad de ASM concluidos por tipo de evaluación al primer trimestre de 2018</w:t>
            </w:r>
          </w:p>
        </w:tc>
      </w:tr>
      <w:tr w:rsidR="00F77FE5" w:rsidRPr="00F77FE5" w14:paraId="4D0C82A4" w14:textId="77777777" w:rsidTr="005A7CAD">
        <w:trPr>
          <w:trHeight w:val="315"/>
          <w:jc w:val="center"/>
        </w:trPr>
        <w:tc>
          <w:tcPr>
            <w:tcW w:w="1916" w:type="pct"/>
            <w:tcBorders>
              <w:top w:val="nil"/>
              <w:left w:val="nil"/>
              <w:bottom w:val="single" w:sz="8" w:space="0" w:color="auto"/>
              <w:right w:val="nil"/>
            </w:tcBorders>
            <w:shd w:val="clear" w:color="000000" w:fill="FFFFFF"/>
            <w:noWrap/>
            <w:vAlign w:val="center"/>
            <w:hideMark/>
          </w:tcPr>
          <w:p w14:paraId="3200F7B0"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Tipo de evaluación (Fuente de información)</w:t>
            </w:r>
          </w:p>
        </w:tc>
        <w:tc>
          <w:tcPr>
            <w:tcW w:w="558" w:type="pct"/>
            <w:tcBorders>
              <w:top w:val="nil"/>
              <w:left w:val="nil"/>
              <w:bottom w:val="single" w:sz="8" w:space="0" w:color="auto"/>
              <w:right w:val="nil"/>
            </w:tcBorders>
            <w:shd w:val="clear" w:color="000000" w:fill="FFFFFF"/>
            <w:noWrap/>
            <w:vAlign w:val="center"/>
            <w:hideMark/>
          </w:tcPr>
          <w:p w14:paraId="6A2AE6B0"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Específicos</w:t>
            </w:r>
          </w:p>
        </w:tc>
        <w:tc>
          <w:tcPr>
            <w:tcW w:w="707" w:type="pct"/>
            <w:tcBorders>
              <w:top w:val="nil"/>
              <w:left w:val="nil"/>
              <w:bottom w:val="single" w:sz="8" w:space="0" w:color="auto"/>
              <w:right w:val="nil"/>
            </w:tcBorders>
            <w:shd w:val="clear" w:color="000000" w:fill="FFFFFF"/>
            <w:noWrap/>
            <w:vAlign w:val="center"/>
            <w:hideMark/>
          </w:tcPr>
          <w:p w14:paraId="0AE0E048"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Institucionales</w:t>
            </w:r>
          </w:p>
        </w:tc>
        <w:tc>
          <w:tcPr>
            <w:tcW w:w="811" w:type="pct"/>
            <w:tcBorders>
              <w:top w:val="nil"/>
              <w:left w:val="nil"/>
              <w:bottom w:val="single" w:sz="8" w:space="0" w:color="auto"/>
              <w:right w:val="nil"/>
            </w:tcBorders>
            <w:shd w:val="clear" w:color="000000" w:fill="FFFFFF"/>
            <w:noWrap/>
            <w:vAlign w:val="center"/>
            <w:hideMark/>
          </w:tcPr>
          <w:p w14:paraId="7008E4AC"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Interinstitucional</w:t>
            </w:r>
          </w:p>
        </w:tc>
        <w:tc>
          <w:tcPr>
            <w:tcW w:w="108" w:type="pct"/>
            <w:tcBorders>
              <w:top w:val="nil"/>
              <w:left w:val="nil"/>
              <w:bottom w:val="single" w:sz="8" w:space="0" w:color="auto"/>
              <w:right w:val="nil"/>
            </w:tcBorders>
            <w:shd w:val="clear" w:color="000000" w:fill="FFFFFF"/>
            <w:noWrap/>
            <w:vAlign w:val="center"/>
            <w:hideMark/>
          </w:tcPr>
          <w:p w14:paraId="2039955E" w14:textId="77777777" w:rsidR="00F77FE5" w:rsidRPr="00F77FE5" w:rsidRDefault="00F77FE5" w:rsidP="00F77FE5">
            <w:pPr>
              <w:spacing w:after="0"/>
              <w:jc w:val="center"/>
              <w:rPr>
                <w:rFonts w:eastAsia="Calibri" w:cstheme="minorBidi"/>
                <w:sz w:val="14"/>
                <w:szCs w:val="22"/>
                <w:lang w:val="es-MX" w:eastAsia="es-MX"/>
              </w:rPr>
            </w:pPr>
          </w:p>
        </w:tc>
        <w:tc>
          <w:tcPr>
            <w:tcW w:w="285" w:type="pct"/>
            <w:tcBorders>
              <w:top w:val="nil"/>
              <w:left w:val="nil"/>
              <w:bottom w:val="single" w:sz="8" w:space="0" w:color="auto"/>
              <w:right w:val="nil"/>
            </w:tcBorders>
            <w:shd w:val="clear" w:color="000000" w:fill="FFFFFF"/>
            <w:noWrap/>
            <w:vAlign w:val="center"/>
            <w:hideMark/>
          </w:tcPr>
          <w:p w14:paraId="5C240CCA"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Total</w:t>
            </w:r>
          </w:p>
        </w:tc>
        <w:tc>
          <w:tcPr>
            <w:tcW w:w="615" w:type="pct"/>
            <w:tcBorders>
              <w:top w:val="nil"/>
              <w:left w:val="nil"/>
              <w:bottom w:val="single" w:sz="8" w:space="0" w:color="auto"/>
              <w:right w:val="nil"/>
            </w:tcBorders>
            <w:shd w:val="clear" w:color="000000" w:fill="FFFFFF"/>
            <w:noWrap/>
            <w:vAlign w:val="center"/>
            <w:hideMark/>
          </w:tcPr>
          <w:p w14:paraId="6E0B92D2"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 del Total</w:t>
            </w:r>
          </w:p>
        </w:tc>
      </w:tr>
      <w:tr w:rsidR="00F77FE5" w:rsidRPr="00F77FE5" w14:paraId="7AE10813" w14:textId="77777777" w:rsidTr="005A7CAD">
        <w:trPr>
          <w:trHeight w:val="300"/>
          <w:jc w:val="center"/>
        </w:trPr>
        <w:tc>
          <w:tcPr>
            <w:tcW w:w="1916" w:type="pct"/>
            <w:tcBorders>
              <w:top w:val="nil"/>
              <w:left w:val="nil"/>
              <w:bottom w:val="nil"/>
              <w:right w:val="nil"/>
            </w:tcBorders>
            <w:shd w:val="clear" w:color="000000" w:fill="FFFFFF"/>
            <w:noWrap/>
            <w:vAlign w:val="center"/>
            <w:hideMark/>
          </w:tcPr>
          <w:p w14:paraId="73FCAD42"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Evaluación de Consistencia y Resultados</w:t>
            </w:r>
          </w:p>
        </w:tc>
        <w:tc>
          <w:tcPr>
            <w:tcW w:w="558" w:type="pct"/>
            <w:tcBorders>
              <w:top w:val="nil"/>
              <w:left w:val="nil"/>
              <w:bottom w:val="nil"/>
              <w:right w:val="nil"/>
            </w:tcBorders>
            <w:shd w:val="clear" w:color="000000" w:fill="FFFFFF"/>
            <w:noWrap/>
            <w:vAlign w:val="center"/>
            <w:hideMark/>
          </w:tcPr>
          <w:p w14:paraId="3F8FBB75"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15</w:t>
            </w:r>
          </w:p>
        </w:tc>
        <w:tc>
          <w:tcPr>
            <w:tcW w:w="707" w:type="pct"/>
            <w:tcBorders>
              <w:top w:val="nil"/>
              <w:left w:val="nil"/>
              <w:bottom w:val="nil"/>
              <w:right w:val="nil"/>
            </w:tcBorders>
            <w:shd w:val="clear" w:color="000000" w:fill="FFFFFF"/>
            <w:noWrap/>
            <w:vAlign w:val="center"/>
            <w:hideMark/>
          </w:tcPr>
          <w:p w14:paraId="0817425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7</w:t>
            </w:r>
          </w:p>
        </w:tc>
        <w:tc>
          <w:tcPr>
            <w:tcW w:w="811" w:type="pct"/>
            <w:tcBorders>
              <w:top w:val="nil"/>
              <w:left w:val="nil"/>
              <w:bottom w:val="nil"/>
              <w:right w:val="nil"/>
            </w:tcBorders>
            <w:shd w:val="clear" w:color="000000" w:fill="FFFFFF"/>
            <w:noWrap/>
            <w:vAlign w:val="center"/>
            <w:hideMark/>
          </w:tcPr>
          <w:p w14:paraId="7F598881" w14:textId="77777777" w:rsidR="00F77FE5" w:rsidRPr="00F77FE5" w:rsidRDefault="00F77FE5" w:rsidP="00F77FE5">
            <w:pPr>
              <w:spacing w:after="0"/>
              <w:jc w:val="center"/>
              <w:rPr>
                <w:rFonts w:eastAsia="Times New Roman" w:cs="Calibri"/>
                <w:color w:val="000000"/>
                <w:sz w:val="12"/>
                <w:szCs w:val="12"/>
                <w:lang w:val="es-MX" w:eastAsia="es-MX"/>
              </w:rPr>
            </w:pPr>
          </w:p>
        </w:tc>
        <w:tc>
          <w:tcPr>
            <w:tcW w:w="108" w:type="pct"/>
            <w:tcBorders>
              <w:top w:val="nil"/>
              <w:left w:val="nil"/>
              <w:bottom w:val="nil"/>
              <w:right w:val="nil"/>
            </w:tcBorders>
            <w:shd w:val="clear" w:color="000000" w:fill="FFFFFF"/>
            <w:noWrap/>
            <w:vAlign w:val="center"/>
          </w:tcPr>
          <w:p w14:paraId="28D6A8D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285" w:type="pct"/>
            <w:tcBorders>
              <w:top w:val="nil"/>
              <w:left w:val="nil"/>
              <w:bottom w:val="nil"/>
              <w:right w:val="nil"/>
            </w:tcBorders>
            <w:shd w:val="clear" w:color="000000" w:fill="FFFFFF"/>
            <w:noWrap/>
            <w:vAlign w:val="center"/>
            <w:hideMark/>
          </w:tcPr>
          <w:p w14:paraId="4E17E9D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22</w:t>
            </w:r>
          </w:p>
        </w:tc>
        <w:tc>
          <w:tcPr>
            <w:tcW w:w="615" w:type="pct"/>
            <w:tcBorders>
              <w:top w:val="nil"/>
              <w:left w:val="nil"/>
              <w:bottom w:val="nil"/>
              <w:right w:val="nil"/>
            </w:tcBorders>
            <w:shd w:val="clear" w:color="000000" w:fill="FFFFFF"/>
            <w:noWrap/>
            <w:vAlign w:val="center"/>
            <w:hideMark/>
          </w:tcPr>
          <w:p w14:paraId="0672BD9E"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36.1</w:t>
            </w:r>
          </w:p>
        </w:tc>
      </w:tr>
      <w:tr w:rsidR="00F77FE5" w:rsidRPr="00F77FE5" w14:paraId="523AEF76" w14:textId="77777777" w:rsidTr="005A7CAD">
        <w:trPr>
          <w:trHeight w:val="300"/>
          <w:jc w:val="center"/>
        </w:trPr>
        <w:tc>
          <w:tcPr>
            <w:tcW w:w="1916" w:type="pct"/>
            <w:tcBorders>
              <w:top w:val="nil"/>
              <w:left w:val="nil"/>
              <w:bottom w:val="nil"/>
              <w:right w:val="nil"/>
            </w:tcBorders>
            <w:shd w:val="clear" w:color="000000" w:fill="FFFFFF"/>
            <w:noWrap/>
            <w:vAlign w:val="center"/>
            <w:hideMark/>
          </w:tcPr>
          <w:p w14:paraId="25FFAB27"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Evaluación de Diseño</w:t>
            </w:r>
          </w:p>
        </w:tc>
        <w:tc>
          <w:tcPr>
            <w:tcW w:w="558" w:type="pct"/>
            <w:tcBorders>
              <w:top w:val="nil"/>
              <w:left w:val="nil"/>
              <w:bottom w:val="nil"/>
              <w:right w:val="nil"/>
            </w:tcBorders>
            <w:shd w:val="clear" w:color="000000" w:fill="FFFFFF"/>
            <w:noWrap/>
            <w:vAlign w:val="center"/>
            <w:hideMark/>
          </w:tcPr>
          <w:p w14:paraId="5C55C085"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15</w:t>
            </w:r>
          </w:p>
        </w:tc>
        <w:tc>
          <w:tcPr>
            <w:tcW w:w="707" w:type="pct"/>
            <w:tcBorders>
              <w:top w:val="nil"/>
              <w:left w:val="nil"/>
              <w:bottom w:val="nil"/>
              <w:right w:val="nil"/>
            </w:tcBorders>
            <w:shd w:val="clear" w:color="000000" w:fill="FFFFFF"/>
            <w:noWrap/>
            <w:vAlign w:val="center"/>
            <w:hideMark/>
          </w:tcPr>
          <w:p w14:paraId="60C7A7D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w:t>
            </w:r>
          </w:p>
        </w:tc>
        <w:tc>
          <w:tcPr>
            <w:tcW w:w="811" w:type="pct"/>
            <w:tcBorders>
              <w:top w:val="nil"/>
              <w:left w:val="nil"/>
              <w:bottom w:val="nil"/>
              <w:right w:val="nil"/>
            </w:tcBorders>
            <w:shd w:val="clear" w:color="000000" w:fill="FFFFFF"/>
            <w:noWrap/>
            <w:vAlign w:val="center"/>
            <w:hideMark/>
          </w:tcPr>
          <w:p w14:paraId="667F217F"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5</w:t>
            </w:r>
          </w:p>
        </w:tc>
        <w:tc>
          <w:tcPr>
            <w:tcW w:w="108" w:type="pct"/>
            <w:tcBorders>
              <w:top w:val="nil"/>
              <w:left w:val="nil"/>
              <w:bottom w:val="nil"/>
              <w:right w:val="nil"/>
            </w:tcBorders>
            <w:shd w:val="clear" w:color="000000" w:fill="FFFFFF"/>
            <w:noWrap/>
            <w:vAlign w:val="center"/>
          </w:tcPr>
          <w:p w14:paraId="3634F408" w14:textId="77777777" w:rsidR="00F77FE5" w:rsidRPr="00F77FE5" w:rsidRDefault="00F77FE5" w:rsidP="00F77FE5">
            <w:pPr>
              <w:spacing w:after="0"/>
              <w:jc w:val="center"/>
              <w:rPr>
                <w:rFonts w:eastAsia="Times New Roman" w:cs="Calibri"/>
                <w:color w:val="000000"/>
                <w:sz w:val="12"/>
                <w:szCs w:val="12"/>
                <w:lang w:val="es-MX" w:eastAsia="es-MX"/>
              </w:rPr>
            </w:pPr>
          </w:p>
        </w:tc>
        <w:tc>
          <w:tcPr>
            <w:tcW w:w="285" w:type="pct"/>
            <w:tcBorders>
              <w:top w:val="nil"/>
              <w:left w:val="nil"/>
              <w:bottom w:val="nil"/>
              <w:right w:val="nil"/>
            </w:tcBorders>
            <w:shd w:val="clear" w:color="000000" w:fill="FFFFFF"/>
            <w:noWrap/>
            <w:vAlign w:val="center"/>
            <w:hideMark/>
          </w:tcPr>
          <w:p w14:paraId="2882AA2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28</w:t>
            </w:r>
          </w:p>
        </w:tc>
        <w:tc>
          <w:tcPr>
            <w:tcW w:w="615" w:type="pct"/>
            <w:tcBorders>
              <w:top w:val="nil"/>
              <w:left w:val="nil"/>
              <w:bottom w:val="nil"/>
              <w:right w:val="nil"/>
            </w:tcBorders>
            <w:shd w:val="clear" w:color="000000" w:fill="FFFFFF"/>
            <w:noWrap/>
            <w:vAlign w:val="center"/>
            <w:hideMark/>
          </w:tcPr>
          <w:p w14:paraId="37C66C71"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45.9</w:t>
            </w:r>
          </w:p>
        </w:tc>
      </w:tr>
      <w:tr w:rsidR="00F77FE5" w:rsidRPr="00F77FE5" w14:paraId="08C47DA4" w14:textId="77777777" w:rsidTr="005A7CAD">
        <w:trPr>
          <w:trHeight w:val="300"/>
          <w:jc w:val="center"/>
        </w:trPr>
        <w:tc>
          <w:tcPr>
            <w:tcW w:w="1916" w:type="pct"/>
            <w:tcBorders>
              <w:top w:val="nil"/>
              <w:left w:val="nil"/>
              <w:bottom w:val="nil"/>
              <w:right w:val="nil"/>
            </w:tcBorders>
            <w:shd w:val="clear" w:color="000000" w:fill="FFFFFF"/>
            <w:noWrap/>
            <w:vAlign w:val="center"/>
            <w:hideMark/>
          </w:tcPr>
          <w:p w14:paraId="3A01557D"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Evaluación de Procesos</w:t>
            </w:r>
          </w:p>
        </w:tc>
        <w:tc>
          <w:tcPr>
            <w:tcW w:w="558" w:type="pct"/>
            <w:tcBorders>
              <w:top w:val="nil"/>
              <w:left w:val="nil"/>
              <w:bottom w:val="nil"/>
              <w:right w:val="nil"/>
            </w:tcBorders>
            <w:shd w:val="clear" w:color="000000" w:fill="FFFFFF"/>
            <w:noWrap/>
            <w:vAlign w:val="center"/>
            <w:hideMark/>
          </w:tcPr>
          <w:p w14:paraId="60396B2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707" w:type="pct"/>
            <w:tcBorders>
              <w:top w:val="nil"/>
              <w:left w:val="nil"/>
              <w:bottom w:val="nil"/>
              <w:right w:val="nil"/>
            </w:tcBorders>
            <w:shd w:val="clear" w:color="000000" w:fill="FFFFFF"/>
            <w:noWrap/>
            <w:vAlign w:val="center"/>
            <w:hideMark/>
          </w:tcPr>
          <w:p w14:paraId="15D0DA1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6</w:t>
            </w:r>
          </w:p>
        </w:tc>
        <w:tc>
          <w:tcPr>
            <w:tcW w:w="811" w:type="pct"/>
            <w:tcBorders>
              <w:top w:val="nil"/>
              <w:left w:val="nil"/>
              <w:bottom w:val="nil"/>
              <w:right w:val="nil"/>
            </w:tcBorders>
            <w:shd w:val="clear" w:color="000000" w:fill="FFFFFF"/>
            <w:noWrap/>
            <w:vAlign w:val="center"/>
            <w:hideMark/>
          </w:tcPr>
          <w:p w14:paraId="084A6D4F"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108" w:type="pct"/>
            <w:tcBorders>
              <w:top w:val="nil"/>
              <w:left w:val="nil"/>
              <w:bottom w:val="nil"/>
              <w:right w:val="nil"/>
            </w:tcBorders>
            <w:shd w:val="clear" w:color="000000" w:fill="FFFFFF"/>
            <w:noWrap/>
            <w:vAlign w:val="center"/>
          </w:tcPr>
          <w:p w14:paraId="2A502CD8" w14:textId="77777777" w:rsidR="00F77FE5" w:rsidRPr="00F77FE5" w:rsidRDefault="00F77FE5" w:rsidP="00F77FE5">
            <w:pPr>
              <w:spacing w:after="0"/>
              <w:jc w:val="center"/>
              <w:rPr>
                <w:rFonts w:eastAsia="Times New Roman" w:cs="Calibri"/>
                <w:color w:val="000000"/>
                <w:sz w:val="12"/>
                <w:szCs w:val="12"/>
                <w:lang w:val="es-MX" w:eastAsia="es-MX"/>
              </w:rPr>
            </w:pPr>
          </w:p>
        </w:tc>
        <w:tc>
          <w:tcPr>
            <w:tcW w:w="285" w:type="pct"/>
            <w:tcBorders>
              <w:top w:val="nil"/>
              <w:left w:val="nil"/>
              <w:bottom w:val="nil"/>
              <w:right w:val="nil"/>
            </w:tcBorders>
            <w:shd w:val="clear" w:color="000000" w:fill="FFFFFF"/>
            <w:noWrap/>
            <w:vAlign w:val="center"/>
            <w:hideMark/>
          </w:tcPr>
          <w:p w14:paraId="60D5165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w:t>
            </w:r>
          </w:p>
        </w:tc>
        <w:tc>
          <w:tcPr>
            <w:tcW w:w="615" w:type="pct"/>
            <w:tcBorders>
              <w:top w:val="nil"/>
              <w:left w:val="nil"/>
              <w:bottom w:val="nil"/>
              <w:right w:val="nil"/>
            </w:tcBorders>
            <w:shd w:val="clear" w:color="000000" w:fill="FFFFFF"/>
            <w:noWrap/>
            <w:vAlign w:val="center"/>
            <w:hideMark/>
          </w:tcPr>
          <w:p w14:paraId="69C6C01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13.1</w:t>
            </w:r>
          </w:p>
        </w:tc>
      </w:tr>
      <w:tr w:rsidR="00F77FE5" w:rsidRPr="00F77FE5" w14:paraId="04CFECC4" w14:textId="77777777" w:rsidTr="005A7CAD">
        <w:trPr>
          <w:trHeight w:val="300"/>
          <w:jc w:val="center"/>
        </w:trPr>
        <w:tc>
          <w:tcPr>
            <w:tcW w:w="1916" w:type="pct"/>
            <w:tcBorders>
              <w:top w:val="nil"/>
              <w:left w:val="nil"/>
              <w:bottom w:val="nil"/>
              <w:right w:val="nil"/>
            </w:tcBorders>
            <w:shd w:val="clear" w:color="000000" w:fill="FFFFFF"/>
            <w:noWrap/>
            <w:vAlign w:val="center"/>
            <w:hideMark/>
          </w:tcPr>
          <w:p w14:paraId="7514A809"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Evaluación Específica</w:t>
            </w:r>
          </w:p>
        </w:tc>
        <w:tc>
          <w:tcPr>
            <w:tcW w:w="558" w:type="pct"/>
            <w:tcBorders>
              <w:top w:val="nil"/>
              <w:left w:val="nil"/>
              <w:bottom w:val="nil"/>
              <w:right w:val="nil"/>
            </w:tcBorders>
            <w:shd w:val="clear" w:color="000000" w:fill="FFFFFF"/>
            <w:noWrap/>
            <w:vAlign w:val="center"/>
            <w:hideMark/>
          </w:tcPr>
          <w:p w14:paraId="347F489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707" w:type="pct"/>
            <w:tcBorders>
              <w:top w:val="nil"/>
              <w:left w:val="nil"/>
              <w:bottom w:val="nil"/>
              <w:right w:val="nil"/>
            </w:tcBorders>
            <w:shd w:val="clear" w:color="000000" w:fill="FFFFFF"/>
            <w:noWrap/>
            <w:vAlign w:val="center"/>
            <w:hideMark/>
          </w:tcPr>
          <w:p w14:paraId="1210DBA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811" w:type="pct"/>
            <w:tcBorders>
              <w:top w:val="nil"/>
              <w:left w:val="nil"/>
              <w:bottom w:val="nil"/>
              <w:right w:val="nil"/>
            </w:tcBorders>
            <w:shd w:val="clear" w:color="000000" w:fill="FFFFFF"/>
            <w:noWrap/>
            <w:vAlign w:val="center"/>
            <w:hideMark/>
          </w:tcPr>
          <w:p w14:paraId="2BC6F60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108" w:type="pct"/>
            <w:tcBorders>
              <w:top w:val="nil"/>
              <w:left w:val="nil"/>
              <w:bottom w:val="nil"/>
              <w:right w:val="nil"/>
            </w:tcBorders>
            <w:shd w:val="clear" w:color="000000" w:fill="FFFFFF"/>
            <w:noWrap/>
            <w:vAlign w:val="center"/>
          </w:tcPr>
          <w:p w14:paraId="0ADA118A" w14:textId="77777777" w:rsidR="00F77FE5" w:rsidRPr="00F77FE5" w:rsidRDefault="00F77FE5" w:rsidP="00F77FE5">
            <w:pPr>
              <w:spacing w:after="0"/>
              <w:jc w:val="center"/>
              <w:rPr>
                <w:rFonts w:eastAsia="Times New Roman" w:cs="Calibri"/>
                <w:color w:val="000000"/>
                <w:sz w:val="12"/>
                <w:szCs w:val="12"/>
                <w:lang w:val="es-MX" w:eastAsia="es-MX"/>
              </w:rPr>
            </w:pPr>
          </w:p>
        </w:tc>
        <w:tc>
          <w:tcPr>
            <w:tcW w:w="285" w:type="pct"/>
            <w:tcBorders>
              <w:top w:val="nil"/>
              <w:left w:val="nil"/>
              <w:bottom w:val="nil"/>
              <w:right w:val="nil"/>
            </w:tcBorders>
            <w:shd w:val="clear" w:color="000000" w:fill="FFFFFF"/>
            <w:noWrap/>
            <w:vAlign w:val="center"/>
            <w:hideMark/>
          </w:tcPr>
          <w:p w14:paraId="6ADF932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615" w:type="pct"/>
            <w:tcBorders>
              <w:top w:val="nil"/>
              <w:left w:val="nil"/>
              <w:bottom w:val="nil"/>
              <w:right w:val="nil"/>
            </w:tcBorders>
            <w:shd w:val="clear" w:color="000000" w:fill="FFFFFF"/>
            <w:noWrap/>
            <w:vAlign w:val="center"/>
            <w:hideMark/>
          </w:tcPr>
          <w:p w14:paraId="1E1E2075"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4.9</w:t>
            </w:r>
          </w:p>
        </w:tc>
      </w:tr>
      <w:tr w:rsidR="00F77FE5" w:rsidRPr="00F77FE5" w14:paraId="08A53425" w14:textId="77777777" w:rsidTr="005A7CAD">
        <w:trPr>
          <w:trHeight w:val="300"/>
          <w:jc w:val="center"/>
        </w:trPr>
        <w:tc>
          <w:tcPr>
            <w:tcW w:w="1916" w:type="pct"/>
            <w:tcBorders>
              <w:top w:val="nil"/>
              <w:left w:val="nil"/>
              <w:bottom w:val="nil"/>
              <w:right w:val="nil"/>
            </w:tcBorders>
            <w:shd w:val="clear" w:color="000000" w:fill="FFFFFF"/>
            <w:noWrap/>
            <w:vAlign w:val="center"/>
            <w:hideMark/>
          </w:tcPr>
          <w:p w14:paraId="37BAE0E3" w14:textId="77777777" w:rsidR="00F77FE5" w:rsidRPr="00F77FE5" w:rsidRDefault="00F77FE5" w:rsidP="00F77FE5">
            <w:pPr>
              <w:spacing w:after="0"/>
              <w:jc w:val="both"/>
              <w:rPr>
                <w:rFonts w:eastAsia="Times New Roman" w:cs="Calibri"/>
                <w:b/>
                <w:bCs/>
                <w:color w:val="000000"/>
                <w:sz w:val="14"/>
                <w:szCs w:val="14"/>
                <w:lang w:val="es-MX" w:eastAsia="es-MX"/>
              </w:rPr>
            </w:pPr>
            <w:r w:rsidRPr="00F77FE5">
              <w:rPr>
                <w:rFonts w:eastAsia="Times New Roman" w:cs="Calibri"/>
                <w:b/>
                <w:bCs/>
                <w:color w:val="000000"/>
                <w:sz w:val="14"/>
                <w:szCs w:val="14"/>
                <w:lang w:val="es-MX" w:eastAsia="es-MX"/>
              </w:rPr>
              <w:t>Total</w:t>
            </w:r>
          </w:p>
        </w:tc>
        <w:tc>
          <w:tcPr>
            <w:tcW w:w="558" w:type="pct"/>
            <w:tcBorders>
              <w:top w:val="nil"/>
              <w:left w:val="nil"/>
              <w:bottom w:val="nil"/>
              <w:right w:val="nil"/>
            </w:tcBorders>
            <w:shd w:val="clear" w:color="000000" w:fill="FFFFFF"/>
            <w:noWrap/>
            <w:vAlign w:val="center"/>
            <w:hideMark/>
          </w:tcPr>
          <w:p w14:paraId="17523B7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34</w:t>
            </w:r>
          </w:p>
        </w:tc>
        <w:tc>
          <w:tcPr>
            <w:tcW w:w="707" w:type="pct"/>
            <w:tcBorders>
              <w:top w:val="nil"/>
              <w:left w:val="nil"/>
              <w:bottom w:val="nil"/>
              <w:right w:val="nil"/>
            </w:tcBorders>
            <w:shd w:val="clear" w:color="000000" w:fill="FFFFFF"/>
            <w:noWrap/>
            <w:vAlign w:val="center"/>
            <w:hideMark/>
          </w:tcPr>
          <w:p w14:paraId="48BFCCE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21</w:t>
            </w:r>
          </w:p>
        </w:tc>
        <w:tc>
          <w:tcPr>
            <w:tcW w:w="811" w:type="pct"/>
            <w:tcBorders>
              <w:top w:val="nil"/>
              <w:left w:val="nil"/>
              <w:bottom w:val="nil"/>
              <w:right w:val="nil"/>
            </w:tcBorders>
            <w:shd w:val="clear" w:color="000000" w:fill="FFFFFF"/>
            <w:noWrap/>
            <w:vAlign w:val="center"/>
            <w:hideMark/>
          </w:tcPr>
          <w:p w14:paraId="0125564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6</w:t>
            </w:r>
          </w:p>
        </w:tc>
        <w:tc>
          <w:tcPr>
            <w:tcW w:w="108" w:type="pct"/>
            <w:tcBorders>
              <w:top w:val="nil"/>
              <w:left w:val="nil"/>
              <w:bottom w:val="nil"/>
              <w:right w:val="nil"/>
            </w:tcBorders>
            <w:shd w:val="clear" w:color="000000" w:fill="FFFFFF"/>
            <w:noWrap/>
            <w:vAlign w:val="center"/>
          </w:tcPr>
          <w:p w14:paraId="106B7B6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285" w:type="pct"/>
            <w:tcBorders>
              <w:top w:val="nil"/>
              <w:left w:val="nil"/>
              <w:bottom w:val="nil"/>
              <w:right w:val="nil"/>
            </w:tcBorders>
            <w:shd w:val="clear" w:color="000000" w:fill="FFFFFF"/>
            <w:noWrap/>
            <w:vAlign w:val="center"/>
            <w:hideMark/>
          </w:tcPr>
          <w:p w14:paraId="066A965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61</w:t>
            </w:r>
          </w:p>
        </w:tc>
        <w:tc>
          <w:tcPr>
            <w:tcW w:w="615" w:type="pct"/>
            <w:tcBorders>
              <w:top w:val="nil"/>
              <w:left w:val="nil"/>
              <w:bottom w:val="nil"/>
              <w:right w:val="nil"/>
            </w:tcBorders>
            <w:shd w:val="clear" w:color="000000" w:fill="FFFFFF"/>
            <w:noWrap/>
            <w:vAlign w:val="center"/>
            <w:hideMark/>
          </w:tcPr>
          <w:p w14:paraId="4217084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100</w:t>
            </w:r>
          </w:p>
        </w:tc>
      </w:tr>
      <w:tr w:rsidR="00F77FE5" w:rsidRPr="00F77FE5" w14:paraId="68FB504D" w14:textId="77777777" w:rsidTr="005A7CAD">
        <w:trPr>
          <w:trHeight w:val="315"/>
          <w:jc w:val="center"/>
        </w:trPr>
        <w:tc>
          <w:tcPr>
            <w:tcW w:w="1916" w:type="pct"/>
            <w:tcBorders>
              <w:top w:val="nil"/>
              <w:left w:val="nil"/>
              <w:bottom w:val="single" w:sz="12" w:space="0" w:color="auto"/>
              <w:right w:val="nil"/>
            </w:tcBorders>
            <w:shd w:val="clear" w:color="000000" w:fill="FFFFFF"/>
            <w:noWrap/>
            <w:vAlign w:val="center"/>
            <w:hideMark/>
          </w:tcPr>
          <w:p w14:paraId="44CE2EFB" w14:textId="77777777" w:rsidR="00F77FE5" w:rsidRPr="00F77FE5" w:rsidRDefault="00F77FE5" w:rsidP="00F77FE5">
            <w:pPr>
              <w:spacing w:after="0"/>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 del Total</w:t>
            </w:r>
          </w:p>
        </w:tc>
        <w:tc>
          <w:tcPr>
            <w:tcW w:w="558" w:type="pct"/>
            <w:tcBorders>
              <w:top w:val="nil"/>
              <w:left w:val="nil"/>
              <w:bottom w:val="single" w:sz="12" w:space="0" w:color="auto"/>
              <w:right w:val="nil"/>
            </w:tcBorders>
            <w:shd w:val="clear" w:color="000000" w:fill="FFFFFF"/>
            <w:noWrap/>
            <w:vAlign w:val="center"/>
            <w:hideMark/>
          </w:tcPr>
          <w:p w14:paraId="34ED2E39"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55.8</w:t>
            </w:r>
          </w:p>
        </w:tc>
        <w:tc>
          <w:tcPr>
            <w:tcW w:w="707" w:type="pct"/>
            <w:tcBorders>
              <w:top w:val="nil"/>
              <w:left w:val="nil"/>
              <w:bottom w:val="single" w:sz="12" w:space="0" w:color="auto"/>
              <w:right w:val="nil"/>
            </w:tcBorders>
            <w:shd w:val="clear" w:color="000000" w:fill="FFFFFF"/>
            <w:noWrap/>
            <w:vAlign w:val="center"/>
            <w:hideMark/>
          </w:tcPr>
          <w:p w14:paraId="0A130EC9"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34.4</w:t>
            </w:r>
          </w:p>
        </w:tc>
        <w:tc>
          <w:tcPr>
            <w:tcW w:w="811" w:type="pct"/>
            <w:tcBorders>
              <w:top w:val="nil"/>
              <w:left w:val="nil"/>
              <w:bottom w:val="single" w:sz="12" w:space="0" w:color="auto"/>
              <w:right w:val="nil"/>
            </w:tcBorders>
            <w:shd w:val="clear" w:color="000000" w:fill="FFFFFF"/>
            <w:noWrap/>
            <w:vAlign w:val="center"/>
            <w:hideMark/>
          </w:tcPr>
          <w:p w14:paraId="182AF2D7"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9.8</w:t>
            </w:r>
          </w:p>
        </w:tc>
        <w:tc>
          <w:tcPr>
            <w:tcW w:w="108" w:type="pct"/>
            <w:tcBorders>
              <w:top w:val="nil"/>
              <w:left w:val="nil"/>
              <w:bottom w:val="single" w:sz="12" w:space="0" w:color="auto"/>
              <w:right w:val="nil"/>
            </w:tcBorders>
            <w:shd w:val="clear" w:color="000000" w:fill="FFFFFF"/>
            <w:noWrap/>
            <w:vAlign w:val="center"/>
          </w:tcPr>
          <w:p w14:paraId="42B2CFF6" w14:textId="77777777" w:rsidR="00F77FE5" w:rsidRPr="00F77FE5" w:rsidRDefault="00F77FE5" w:rsidP="00F77FE5">
            <w:pPr>
              <w:spacing w:after="0"/>
              <w:jc w:val="center"/>
              <w:rPr>
                <w:rFonts w:eastAsia="Times New Roman" w:cs="Calibri"/>
                <w:b/>
                <w:bCs/>
                <w:color w:val="000000"/>
                <w:sz w:val="12"/>
                <w:szCs w:val="12"/>
                <w:lang w:val="es-MX" w:eastAsia="es-MX"/>
              </w:rPr>
            </w:pPr>
          </w:p>
        </w:tc>
        <w:tc>
          <w:tcPr>
            <w:tcW w:w="285" w:type="pct"/>
            <w:tcBorders>
              <w:top w:val="nil"/>
              <w:left w:val="nil"/>
              <w:bottom w:val="single" w:sz="12" w:space="0" w:color="auto"/>
              <w:right w:val="nil"/>
            </w:tcBorders>
            <w:shd w:val="clear" w:color="000000" w:fill="FFFFFF"/>
            <w:noWrap/>
            <w:vAlign w:val="center"/>
            <w:hideMark/>
          </w:tcPr>
          <w:p w14:paraId="60E0F080"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100</w:t>
            </w:r>
          </w:p>
        </w:tc>
        <w:tc>
          <w:tcPr>
            <w:tcW w:w="615" w:type="pct"/>
            <w:tcBorders>
              <w:top w:val="nil"/>
              <w:left w:val="nil"/>
              <w:bottom w:val="single" w:sz="12" w:space="0" w:color="auto"/>
              <w:right w:val="nil"/>
            </w:tcBorders>
            <w:shd w:val="clear" w:color="000000" w:fill="FFFFFF"/>
            <w:noWrap/>
            <w:vAlign w:val="center"/>
            <w:hideMark/>
          </w:tcPr>
          <w:p w14:paraId="30773A10"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 </w:t>
            </w:r>
          </w:p>
        </w:tc>
      </w:tr>
      <w:tr w:rsidR="00F77FE5" w:rsidRPr="00F77FE5" w14:paraId="3C1581F7" w14:textId="77777777" w:rsidTr="005A7CAD">
        <w:trPr>
          <w:trHeight w:val="450"/>
          <w:jc w:val="center"/>
        </w:trPr>
        <w:tc>
          <w:tcPr>
            <w:tcW w:w="5000" w:type="pct"/>
            <w:gridSpan w:val="7"/>
            <w:tcBorders>
              <w:top w:val="single" w:sz="12" w:space="0" w:color="auto"/>
              <w:left w:val="nil"/>
              <w:bottom w:val="nil"/>
              <w:right w:val="nil"/>
            </w:tcBorders>
            <w:shd w:val="clear" w:color="000000" w:fill="FFFFFF"/>
            <w:vAlign w:val="center"/>
            <w:hideMark/>
          </w:tcPr>
          <w:p w14:paraId="0C4487AC"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Fuente: Unidad de Evaluación del Desempeño, con información proporcionada por las dependencias y entidades de la APF a la SHCP.</w:t>
            </w:r>
          </w:p>
        </w:tc>
      </w:tr>
    </w:tbl>
    <w:p w14:paraId="2027A837" w14:textId="77777777" w:rsidR="00F77FE5" w:rsidRPr="00F77FE5" w:rsidRDefault="00F77FE5" w:rsidP="00F77FE5">
      <w:pPr>
        <w:jc w:val="both"/>
        <w:rPr>
          <w:rFonts w:eastAsia="Times New Roman" w:cs="Arial"/>
          <w:szCs w:val="20"/>
          <w:lang w:val="es-ES"/>
        </w:rPr>
      </w:pPr>
    </w:p>
    <w:p w14:paraId="2C6D0466"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ES"/>
        </w:rPr>
        <w:t xml:space="preserve">De los 61 ASM reportados como concluidos al primer trimestre de 2018, las dependencias y entidades que destacan son las siguientes: SE con 12 (19.7%); SAE, ASEA, SECTUR Y PGR con cuatro (6.6%), respectivamente. </w:t>
      </w:r>
    </w:p>
    <w:p w14:paraId="6D4E7C4B" w14:textId="77777777" w:rsidR="00F77FE5" w:rsidRPr="00F77FE5" w:rsidRDefault="00F77FE5" w:rsidP="00F77FE5">
      <w:pPr>
        <w:spacing w:before="20" w:after="0"/>
        <w:jc w:val="center"/>
        <w:rPr>
          <w:rFonts w:eastAsia="Calibri" w:cstheme="minorBidi"/>
          <w:b/>
          <w:sz w:val="12"/>
          <w:szCs w:val="22"/>
          <w:lang w:val="es-MX" w:eastAsia="en-US"/>
        </w:rPr>
      </w:pPr>
    </w:p>
    <w:p w14:paraId="77032EC5" w14:textId="387F909C" w:rsidR="00F77FE5" w:rsidRPr="00F77FE5" w:rsidRDefault="005854F3" w:rsidP="00F77FE5">
      <w:pPr>
        <w:jc w:val="center"/>
        <w:rPr>
          <w:rFonts w:eastAsia="Times New Roman" w:cs="Arial"/>
          <w:szCs w:val="20"/>
          <w:lang w:val="es-ES"/>
        </w:rPr>
      </w:pPr>
      <w:r>
        <w:rPr>
          <w:noProof/>
          <w:lang w:val="es-MX" w:eastAsia="es-MX"/>
        </w:rPr>
        <w:drawing>
          <wp:inline distT="0" distB="0" distL="0" distR="0" wp14:anchorId="10DB6FC4" wp14:editId="4D5B636E">
            <wp:extent cx="4572000" cy="70294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264090" w14:textId="77777777" w:rsidR="00F77FE5" w:rsidRPr="00F77FE5" w:rsidRDefault="00F77FE5" w:rsidP="00F77FE5">
      <w:pPr>
        <w:jc w:val="both"/>
        <w:rPr>
          <w:rFonts w:eastAsia="Times New Roman" w:cs="Arial"/>
          <w:szCs w:val="20"/>
          <w:lang w:val="es-ES"/>
        </w:rPr>
      </w:pPr>
    </w:p>
    <w:p w14:paraId="6687BE09"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MX"/>
        </w:rPr>
        <w:t>Los</w:t>
      </w:r>
      <w:r w:rsidRPr="00F77FE5">
        <w:rPr>
          <w:rFonts w:eastAsia="Times New Roman" w:cs="Arial"/>
          <w:szCs w:val="20"/>
          <w:lang w:val="es-ES"/>
        </w:rPr>
        <w:t xml:space="preserve"> cuatro principales temas sobre los cuales se han instrumentado los ASM concluidos fueron: Diseño con 15 (24.6%); Planeación con cinco ASM (8.2%); Evaluación y Operación con cuatro ASM (6.6%). Cabe mencionar que algunos ASM abordan distintas temáticas, en este caso son 30 (49.2%) que tienen relación con más de un tema. De igual forma, respecto del nivel de prioridad, de los 61 ASM concluidos, 27 (44.3%) son de prioridad Alta; seis (9.8%) son de Media; y 28 (45.9%) son de prioridad Baja. </w:t>
      </w:r>
    </w:p>
    <w:p w14:paraId="70398559" w14:textId="77777777" w:rsidR="00F77FE5" w:rsidRPr="00F77FE5" w:rsidRDefault="00F77FE5" w:rsidP="00F77FE5">
      <w:pPr>
        <w:jc w:val="both"/>
        <w:rPr>
          <w:rFonts w:eastAsia="Times New Roman" w:cs="Arial"/>
          <w:szCs w:val="20"/>
          <w:lang w:val="es-ES"/>
        </w:rPr>
      </w:pPr>
    </w:p>
    <w:tbl>
      <w:tblPr>
        <w:tblW w:w="4336" w:type="pct"/>
        <w:jc w:val="center"/>
        <w:tblCellMar>
          <w:left w:w="70" w:type="dxa"/>
          <w:right w:w="70" w:type="dxa"/>
        </w:tblCellMar>
        <w:tblLook w:val="04A0" w:firstRow="1" w:lastRow="0" w:firstColumn="1" w:lastColumn="0" w:noHBand="0" w:noVBand="1"/>
      </w:tblPr>
      <w:tblGrid>
        <w:gridCol w:w="2468"/>
        <w:gridCol w:w="984"/>
        <w:gridCol w:w="1358"/>
        <w:gridCol w:w="958"/>
        <w:gridCol w:w="1204"/>
        <w:gridCol w:w="1676"/>
      </w:tblGrid>
      <w:tr w:rsidR="00F77FE5" w:rsidRPr="00F77FE5" w14:paraId="28C74988" w14:textId="77777777" w:rsidTr="005A7CAD">
        <w:trPr>
          <w:trHeight w:val="300"/>
          <w:jc w:val="center"/>
        </w:trPr>
        <w:tc>
          <w:tcPr>
            <w:tcW w:w="5000" w:type="pct"/>
            <w:gridSpan w:val="6"/>
            <w:tcBorders>
              <w:top w:val="nil"/>
              <w:left w:val="nil"/>
              <w:bottom w:val="nil"/>
              <w:right w:val="nil"/>
            </w:tcBorders>
            <w:shd w:val="clear" w:color="000000" w:fill="EAF1DD"/>
            <w:noWrap/>
            <w:vAlign w:val="center"/>
            <w:hideMark/>
          </w:tcPr>
          <w:p w14:paraId="69BD9342" w14:textId="77777777" w:rsidR="00F77FE5" w:rsidRPr="00F77FE5" w:rsidRDefault="00F77FE5" w:rsidP="00F77FE5">
            <w:pPr>
              <w:spacing w:after="0"/>
              <w:jc w:val="center"/>
              <w:rPr>
                <w:rFonts w:eastAsia="Times New Roman" w:cs="Calibri"/>
                <w:color w:val="000000"/>
                <w:sz w:val="18"/>
                <w:szCs w:val="18"/>
                <w:lang w:val="es-MX" w:eastAsia="es-MX"/>
              </w:rPr>
            </w:pPr>
            <w:r w:rsidRPr="00F77FE5">
              <w:rPr>
                <w:rFonts w:eastAsia="Times New Roman" w:cs="Calibri"/>
                <w:color w:val="000000"/>
                <w:sz w:val="18"/>
                <w:szCs w:val="18"/>
                <w:lang w:val="es-MX" w:eastAsia="es-MX"/>
              </w:rPr>
              <w:t>Tabla 8.</w:t>
            </w:r>
            <w:r w:rsidR="006F4A52">
              <w:rPr>
                <w:rFonts w:eastAsia="Times New Roman" w:cs="Calibri"/>
                <w:color w:val="000000"/>
                <w:sz w:val="18"/>
                <w:szCs w:val="18"/>
                <w:lang w:val="es-MX" w:eastAsia="es-MX"/>
              </w:rPr>
              <w:t xml:space="preserve"> </w:t>
            </w:r>
            <w:r w:rsidRPr="00F77FE5">
              <w:rPr>
                <w:rFonts w:eastAsia="Times New Roman" w:cs="Calibri"/>
                <w:color w:val="000000"/>
                <w:sz w:val="18"/>
                <w:szCs w:val="18"/>
                <w:lang w:val="es-MX" w:eastAsia="es-MX"/>
              </w:rPr>
              <w:t>Temas a los que van dirigidos los ASM concluidos al primer trimestre de 2018</w:t>
            </w:r>
          </w:p>
        </w:tc>
      </w:tr>
      <w:tr w:rsidR="00F77FE5" w:rsidRPr="00F77FE5" w14:paraId="69835409" w14:textId="77777777" w:rsidTr="005A7CAD">
        <w:trPr>
          <w:trHeight w:val="315"/>
          <w:jc w:val="center"/>
        </w:trPr>
        <w:tc>
          <w:tcPr>
            <w:tcW w:w="1427" w:type="pct"/>
            <w:tcBorders>
              <w:top w:val="nil"/>
              <w:left w:val="nil"/>
              <w:bottom w:val="single" w:sz="12" w:space="0" w:color="auto"/>
              <w:right w:val="nil"/>
            </w:tcBorders>
            <w:shd w:val="clear" w:color="000000" w:fill="FFFFFF"/>
            <w:noWrap/>
            <w:vAlign w:val="center"/>
            <w:hideMark/>
          </w:tcPr>
          <w:p w14:paraId="005CB83B"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Tema</w:t>
            </w:r>
          </w:p>
        </w:tc>
        <w:tc>
          <w:tcPr>
            <w:tcW w:w="569" w:type="pct"/>
            <w:tcBorders>
              <w:top w:val="nil"/>
              <w:left w:val="nil"/>
              <w:bottom w:val="single" w:sz="12" w:space="0" w:color="auto"/>
              <w:right w:val="nil"/>
            </w:tcBorders>
            <w:shd w:val="clear" w:color="000000" w:fill="FFFFFF"/>
            <w:noWrap/>
            <w:vAlign w:val="center"/>
            <w:hideMark/>
          </w:tcPr>
          <w:p w14:paraId="00147067"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Baja</w:t>
            </w:r>
          </w:p>
        </w:tc>
        <w:tc>
          <w:tcPr>
            <w:tcW w:w="785" w:type="pct"/>
            <w:tcBorders>
              <w:top w:val="nil"/>
              <w:left w:val="nil"/>
              <w:bottom w:val="single" w:sz="12" w:space="0" w:color="auto"/>
              <w:right w:val="nil"/>
            </w:tcBorders>
            <w:shd w:val="clear" w:color="000000" w:fill="FFFFFF"/>
            <w:noWrap/>
            <w:vAlign w:val="center"/>
            <w:hideMark/>
          </w:tcPr>
          <w:p w14:paraId="2B28BF0A"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Media</w:t>
            </w:r>
          </w:p>
        </w:tc>
        <w:tc>
          <w:tcPr>
            <w:tcW w:w="554" w:type="pct"/>
            <w:tcBorders>
              <w:top w:val="nil"/>
              <w:left w:val="nil"/>
              <w:bottom w:val="single" w:sz="12" w:space="0" w:color="auto"/>
              <w:right w:val="nil"/>
            </w:tcBorders>
            <w:shd w:val="clear" w:color="000000" w:fill="FFFFFF"/>
            <w:noWrap/>
            <w:vAlign w:val="center"/>
            <w:hideMark/>
          </w:tcPr>
          <w:p w14:paraId="5535BD82"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Alta</w:t>
            </w:r>
          </w:p>
        </w:tc>
        <w:tc>
          <w:tcPr>
            <w:tcW w:w="696" w:type="pct"/>
            <w:tcBorders>
              <w:top w:val="nil"/>
              <w:left w:val="nil"/>
              <w:bottom w:val="single" w:sz="12" w:space="0" w:color="auto"/>
              <w:right w:val="nil"/>
            </w:tcBorders>
            <w:shd w:val="clear" w:color="000000" w:fill="FFFFFF"/>
            <w:noWrap/>
            <w:vAlign w:val="center"/>
            <w:hideMark/>
          </w:tcPr>
          <w:p w14:paraId="09B4045D"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Total</w:t>
            </w:r>
          </w:p>
        </w:tc>
        <w:tc>
          <w:tcPr>
            <w:tcW w:w="969" w:type="pct"/>
            <w:tcBorders>
              <w:top w:val="nil"/>
              <w:left w:val="nil"/>
              <w:bottom w:val="single" w:sz="12" w:space="0" w:color="auto"/>
              <w:right w:val="nil"/>
            </w:tcBorders>
            <w:shd w:val="clear" w:color="000000" w:fill="FFFFFF"/>
            <w:noWrap/>
            <w:vAlign w:val="center"/>
            <w:hideMark/>
          </w:tcPr>
          <w:p w14:paraId="5A1818FC"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 del Total</w:t>
            </w:r>
          </w:p>
        </w:tc>
      </w:tr>
      <w:tr w:rsidR="00F77FE5" w:rsidRPr="00F77FE5" w14:paraId="55166A48" w14:textId="77777777" w:rsidTr="005A7CAD">
        <w:trPr>
          <w:trHeight w:val="315"/>
          <w:jc w:val="center"/>
        </w:trPr>
        <w:tc>
          <w:tcPr>
            <w:tcW w:w="1427" w:type="pct"/>
            <w:tcBorders>
              <w:top w:val="nil"/>
              <w:left w:val="nil"/>
              <w:bottom w:val="nil"/>
              <w:right w:val="nil"/>
            </w:tcBorders>
            <w:shd w:val="clear" w:color="000000" w:fill="FFFFFF"/>
            <w:noWrap/>
            <w:vAlign w:val="center"/>
            <w:hideMark/>
          </w:tcPr>
          <w:p w14:paraId="6E3BCAF6"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Coberturas</w:t>
            </w:r>
          </w:p>
        </w:tc>
        <w:tc>
          <w:tcPr>
            <w:tcW w:w="569" w:type="pct"/>
            <w:tcBorders>
              <w:top w:val="nil"/>
              <w:left w:val="nil"/>
              <w:bottom w:val="nil"/>
              <w:right w:val="nil"/>
            </w:tcBorders>
            <w:shd w:val="clear" w:color="000000" w:fill="FFFFFF"/>
            <w:noWrap/>
            <w:vAlign w:val="center"/>
          </w:tcPr>
          <w:p w14:paraId="06E63C94"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5" w:type="pct"/>
            <w:tcBorders>
              <w:top w:val="nil"/>
              <w:left w:val="nil"/>
              <w:bottom w:val="nil"/>
              <w:right w:val="nil"/>
            </w:tcBorders>
            <w:shd w:val="clear" w:color="000000" w:fill="FFFFFF"/>
            <w:noWrap/>
            <w:vAlign w:val="center"/>
          </w:tcPr>
          <w:p w14:paraId="49AE9AF5" w14:textId="77777777" w:rsidR="00F77FE5" w:rsidRPr="00F77FE5" w:rsidRDefault="00F77FE5" w:rsidP="00F77FE5">
            <w:pPr>
              <w:spacing w:after="0"/>
              <w:jc w:val="center"/>
              <w:rPr>
                <w:rFonts w:eastAsia="Times New Roman" w:cs="Calibri"/>
                <w:color w:val="000000"/>
                <w:sz w:val="12"/>
                <w:szCs w:val="12"/>
                <w:lang w:val="es-MX" w:eastAsia="es-MX"/>
              </w:rPr>
            </w:pPr>
          </w:p>
        </w:tc>
        <w:tc>
          <w:tcPr>
            <w:tcW w:w="554" w:type="pct"/>
            <w:tcBorders>
              <w:top w:val="nil"/>
              <w:left w:val="nil"/>
              <w:bottom w:val="nil"/>
              <w:right w:val="nil"/>
            </w:tcBorders>
            <w:shd w:val="clear" w:color="000000" w:fill="FFFFFF"/>
            <w:noWrap/>
            <w:vAlign w:val="center"/>
            <w:hideMark/>
          </w:tcPr>
          <w:p w14:paraId="4A7B94C0"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696" w:type="pct"/>
            <w:tcBorders>
              <w:top w:val="nil"/>
              <w:left w:val="nil"/>
              <w:bottom w:val="nil"/>
              <w:right w:val="nil"/>
            </w:tcBorders>
            <w:shd w:val="clear" w:color="000000" w:fill="FFFFFF"/>
            <w:noWrap/>
            <w:vAlign w:val="center"/>
            <w:hideMark/>
          </w:tcPr>
          <w:p w14:paraId="02066B3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969" w:type="pct"/>
            <w:tcBorders>
              <w:top w:val="nil"/>
              <w:left w:val="nil"/>
              <w:bottom w:val="nil"/>
              <w:right w:val="nil"/>
            </w:tcBorders>
            <w:shd w:val="clear" w:color="000000" w:fill="FFFFFF"/>
            <w:noWrap/>
            <w:vAlign w:val="center"/>
            <w:hideMark/>
          </w:tcPr>
          <w:p w14:paraId="4B4C9C5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1.6</w:t>
            </w:r>
          </w:p>
        </w:tc>
      </w:tr>
      <w:tr w:rsidR="00F77FE5" w:rsidRPr="00F77FE5" w14:paraId="71918550" w14:textId="77777777" w:rsidTr="005A7CAD">
        <w:trPr>
          <w:trHeight w:val="300"/>
          <w:jc w:val="center"/>
        </w:trPr>
        <w:tc>
          <w:tcPr>
            <w:tcW w:w="1427" w:type="pct"/>
            <w:tcBorders>
              <w:top w:val="nil"/>
              <w:left w:val="nil"/>
              <w:bottom w:val="nil"/>
              <w:right w:val="nil"/>
            </w:tcBorders>
            <w:shd w:val="clear" w:color="000000" w:fill="FFFFFF"/>
            <w:noWrap/>
            <w:vAlign w:val="center"/>
            <w:hideMark/>
          </w:tcPr>
          <w:p w14:paraId="57F8313C"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Diseño</w:t>
            </w:r>
          </w:p>
        </w:tc>
        <w:tc>
          <w:tcPr>
            <w:tcW w:w="569" w:type="pct"/>
            <w:tcBorders>
              <w:top w:val="nil"/>
              <w:left w:val="nil"/>
              <w:bottom w:val="nil"/>
              <w:right w:val="nil"/>
            </w:tcBorders>
            <w:shd w:val="clear" w:color="000000" w:fill="FFFFFF"/>
            <w:noWrap/>
            <w:vAlign w:val="center"/>
            <w:hideMark/>
          </w:tcPr>
          <w:p w14:paraId="6785A5E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w:t>
            </w:r>
          </w:p>
        </w:tc>
        <w:tc>
          <w:tcPr>
            <w:tcW w:w="785" w:type="pct"/>
            <w:tcBorders>
              <w:top w:val="nil"/>
              <w:left w:val="nil"/>
              <w:bottom w:val="nil"/>
              <w:right w:val="nil"/>
            </w:tcBorders>
            <w:shd w:val="clear" w:color="000000" w:fill="FFFFFF"/>
            <w:noWrap/>
            <w:vAlign w:val="center"/>
            <w:hideMark/>
          </w:tcPr>
          <w:p w14:paraId="0D3AB0B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554" w:type="pct"/>
            <w:tcBorders>
              <w:top w:val="nil"/>
              <w:left w:val="nil"/>
              <w:bottom w:val="nil"/>
              <w:right w:val="nil"/>
            </w:tcBorders>
            <w:shd w:val="clear" w:color="000000" w:fill="FFFFFF"/>
            <w:noWrap/>
            <w:vAlign w:val="center"/>
            <w:hideMark/>
          </w:tcPr>
          <w:p w14:paraId="1F992FFF"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696" w:type="pct"/>
            <w:tcBorders>
              <w:top w:val="nil"/>
              <w:left w:val="nil"/>
              <w:bottom w:val="nil"/>
              <w:right w:val="nil"/>
            </w:tcBorders>
            <w:shd w:val="clear" w:color="000000" w:fill="FFFFFF"/>
            <w:noWrap/>
            <w:vAlign w:val="center"/>
            <w:hideMark/>
          </w:tcPr>
          <w:p w14:paraId="52D31E3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15</w:t>
            </w:r>
          </w:p>
        </w:tc>
        <w:tc>
          <w:tcPr>
            <w:tcW w:w="969" w:type="pct"/>
            <w:tcBorders>
              <w:top w:val="nil"/>
              <w:left w:val="nil"/>
              <w:bottom w:val="nil"/>
              <w:right w:val="nil"/>
            </w:tcBorders>
            <w:shd w:val="clear" w:color="000000" w:fill="FFFFFF"/>
            <w:noWrap/>
            <w:vAlign w:val="center"/>
            <w:hideMark/>
          </w:tcPr>
          <w:p w14:paraId="083B9A0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24.6</w:t>
            </w:r>
          </w:p>
        </w:tc>
      </w:tr>
      <w:tr w:rsidR="00F77FE5" w:rsidRPr="00F77FE5" w14:paraId="14A4DB5B" w14:textId="77777777" w:rsidTr="005A7CAD">
        <w:trPr>
          <w:trHeight w:val="300"/>
          <w:jc w:val="center"/>
        </w:trPr>
        <w:tc>
          <w:tcPr>
            <w:tcW w:w="1427" w:type="pct"/>
            <w:tcBorders>
              <w:top w:val="nil"/>
              <w:left w:val="nil"/>
              <w:bottom w:val="nil"/>
              <w:right w:val="nil"/>
            </w:tcBorders>
            <w:shd w:val="clear" w:color="000000" w:fill="FFFFFF"/>
            <w:noWrap/>
            <w:vAlign w:val="center"/>
            <w:hideMark/>
          </w:tcPr>
          <w:p w14:paraId="76B44EC9"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Evaluación</w:t>
            </w:r>
          </w:p>
        </w:tc>
        <w:tc>
          <w:tcPr>
            <w:tcW w:w="569" w:type="pct"/>
            <w:tcBorders>
              <w:top w:val="nil"/>
              <w:left w:val="nil"/>
              <w:bottom w:val="nil"/>
              <w:right w:val="nil"/>
            </w:tcBorders>
            <w:shd w:val="clear" w:color="000000" w:fill="FFFFFF"/>
            <w:noWrap/>
            <w:vAlign w:val="center"/>
            <w:hideMark/>
          </w:tcPr>
          <w:p w14:paraId="7E3F779E"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785" w:type="pct"/>
            <w:tcBorders>
              <w:top w:val="nil"/>
              <w:left w:val="nil"/>
              <w:bottom w:val="nil"/>
              <w:right w:val="nil"/>
            </w:tcBorders>
            <w:shd w:val="clear" w:color="000000" w:fill="FFFFFF"/>
            <w:noWrap/>
            <w:vAlign w:val="center"/>
          </w:tcPr>
          <w:p w14:paraId="63DCD950" w14:textId="77777777" w:rsidR="00F77FE5" w:rsidRPr="00F77FE5" w:rsidRDefault="00F77FE5" w:rsidP="00F77FE5">
            <w:pPr>
              <w:spacing w:after="0"/>
              <w:jc w:val="center"/>
              <w:rPr>
                <w:rFonts w:eastAsia="Times New Roman" w:cs="Calibri"/>
                <w:color w:val="000000"/>
                <w:sz w:val="12"/>
                <w:szCs w:val="12"/>
                <w:lang w:val="es-MX" w:eastAsia="es-MX"/>
              </w:rPr>
            </w:pPr>
          </w:p>
        </w:tc>
        <w:tc>
          <w:tcPr>
            <w:tcW w:w="554" w:type="pct"/>
            <w:tcBorders>
              <w:top w:val="nil"/>
              <w:left w:val="nil"/>
              <w:bottom w:val="nil"/>
              <w:right w:val="nil"/>
            </w:tcBorders>
            <w:shd w:val="clear" w:color="000000" w:fill="FFFFFF"/>
            <w:noWrap/>
            <w:vAlign w:val="center"/>
            <w:hideMark/>
          </w:tcPr>
          <w:p w14:paraId="2A89C81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696" w:type="pct"/>
            <w:tcBorders>
              <w:top w:val="nil"/>
              <w:left w:val="nil"/>
              <w:bottom w:val="nil"/>
              <w:right w:val="nil"/>
            </w:tcBorders>
            <w:shd w:val="clear" w:color="000000" w:fill="FFFFFF"/>
            <w:noWrap/>
            <w:vAlign w:val="center"/>
            <w:hideMark/>
          </w:tcPr>
          <w:p w14:paraId="02CD5DF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969" w:type="pct"/>
            <w:tcBorders>
              <w:top w:val="nil"/>
              <w:left w:val="nil"/>
              <w:bottom w:val="nil"/>
              <w:right w:val="nil"/>
            </w:tcBorders>
            <w:shd w:val="clear" w:color="000000" w:fill="FFFFFF"/>
            <w:noWrap/>
            <w:vAlign w:val="center"/>
            <w:hideMark/>
          </w:tcPr>
          <w:p w14:paraId="1B9A9723"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6.6</w:t>
            </w:r>
          </w:p>
        </w:tc>
      </w:tr>
      <w:tr w:rsidR="00F77FE5" w:rsidRPr="00F77FE5" w14:paraId="5CC1FB0D" w14:textId="77777777" w:rsidTr="005A7CAD">
        <w:trPr>
          <w:trHeight w:val="300"/>
          <w:jc w:val="center"/>
        </w:trPr>
        <w:tc>
          <w:tcPr>
            <w:tcW w:w="1427" w:type="pct"/>
            <w:tcBorders>
              <w:top w:val="nil"/>
              <w:left w:val="nil"/>
              <w:bottom w:val="nil"/>
              <w:right w:val="nil"/>
            </w:tcBorders>
            <w:shd w:val="clear" w:color="000000" w:fill="FFFFFF"/>
            <w:noWrap/>
            <w:vAlign w:val="center"/>
            <w:hideMark/>
          </w:tcPr>
          <w:p w14:paraId="13800109"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Indicadores</w:t>
            </w:r>
          </w:p>
        </w:tc>
        <w:tc>
          <w:tcPr>
            <w:tcW w:w="569" w:type="pct"/>
            <w:tcBorders>
              <w:top w:val="nil"/>
              <w:left w:val="nil"/>
              <w:bottom w:val="nil"/>
              <w:right w:val="nil"/>
            </w:tcBorders>
            <w:shd w:val="clear" w:color="000000" w:fill="FFFFFF"/>
            <w:noWrap/>
            <w:vAlign w:val="center"/>
            <w:hideMark/>
          </w:tcPr>
          <w:p w14:paraId="30B47AFB" w14:textId="77777777" w:rsidR="00F77FE5" w:rsidRPr="00F77FE5" w:rsidRDefault="00F77FE5" w:rsidP="00F77FE5">
            <w:pPr>
              <w:spacing w:after="0"/>
              <w:jc w:val="center"/>
              <w:rPr>
                <w:rFonts w:eastAsia="Times New Roman" w:cs="Calibri"/>
                <w:color w:val="000000"/>
                <w:sz w:val="12"/>
                <w:szCs w:val="12"/>
                <w:lang w:val="es-MX" w:eastAsia="es-MX"/>
              </w:rPr>
            </w:pPr>
          </w:p>
        </w:tc>
        <w:tc>
          <w:tcPr>
            <w:tcW w:w="785" w:type="pct"/>
            <w:tcBorders>
              <w:top w:val="nil"/>
              <w:left w:val="nil"/>
              <w:bottom w:val="nil"/>
              <w:right w:val="nil"/>
            </w:tcBorders>
            <w:shd w:val="clear" w:color="000000" w:fill="FFFFFF"/>
            <w:noWrap/>
            <w:vAlign w:val="center"/>
          </w:tcPr>
          <w:p w14:paraId="16DEB851" w14:textId="77777777" w:rsidR="00F77FE5" w:rsidRPr="00F77FE5" w:rsidRDefault="00F77FE5" w:rsidP="00F77FE5">
            <w:pPr>
              <w:spacing w:after="0"/>
              <w:jc w:val="center"/>
              <w:rPr>
                <w:rFonts w:eastAsia="Times New Roman" w:cs="Calibri"/>
                <w:color w:val="000000"/>
                <w:sz w:val="12"/>
                <w:szCs w:val="12"/>
                <w:lang w:val="es-MX" w:eastAsia="es-MX"/>
              </w:rPr>
            </w:pPr>
          </w:p>
        </w:tc>
        <w:tc>
          <w:tcPr>
            <w:tcW w:w="554" w:type="pct"/>
            <w:tcBorders>
              <w:top w:val="nil"/>
              <w:left w:val="nil"/>
              <w:bottom w:val="nil"/>
              <w:right w:val="nil"/>
            </w:tcBorders>
            <w:shd w:val="clear" w:color="000000" w:fill="FFFFFF"/>
            <w:noWrap/>
            <w:vAlign w:val="center"/>
            <w:hideMark/>
          </w:tcPr>
          <w:p w14:paraId="7951B9B0"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696" w:type="pct"/>
            <w:tcBorders>
              <w:top w:val="nil"/>
              <w:left w:val="nil"/>
              <w:bottom w:val="nil"/>
              <w:right w:val="nil"/>
            </w:tcBorders>
            <w:shd w:val="clear" w:color="000000" w:fill="FFFFFF"/>
            <w:noWrap/>
            <w:vAlign w:val="center"/>
            <w:hideMark/>
          </w:tcPr>
          <w:p w14:paraId="4F4D92F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969" w:type="pct"/>
            <w:tcBorders>
              <w:top w:val="nil"/>
              <w:left w:val="nil"/>
              <w:bottom w:val="nil"/>
              <w:right w:val="nil"/>
            </w:tcBorders>
            <w:shd w:val="clear" w:color="000000" w:fill="FFFFFF"/>
            <w:noWrap/>
            <w:vAlign w:val="center"/>
            <w:hideMark/>
          </w:tcPr>
          <w:p w14:paraId="6E0BFBA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3.3</w:t>
            </w:r>
          </w:p>
        </w:tc>
      </w:tr>
      <w:tr w:rsidR="00F77FE5" w:rsidRPr="00F77FE5" w14:paraId="47A96377" w14:textId="77777777" w:rsidTr="005A7CAD">
        <w:trPr>
          <w:trHeight w:val="300"/>
          <w:jc w:val="center"/>
        </w:trPr>
        <w:tc>
          <w:tcPr>
            <w:tcW w:w="1427" w:type="pct"/>
            <w:tcBorders>
              <w:top w:val="nil"/>
              <w:left w:val="nil"/>
              <w:bottom w:val="nil"/>
              <w:right w:val="nil"/>
            </w:tcBorders>
            <w:shd w:val="clear" w:color="000000" w:fill="FFFFFF"/>
            <w:noWrap/>
            <w:vAlign w:val="center"/>
            <w:hideMark/>
          </w:tcPr>
          <w:p w14:paraId="18C9035B"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Operación</w:t>
            </w:r>
          </w:p>
        </w:tc>
        <w:tc>
          <w:tcPr>
            <w:tcW w:w="569" w:type="pct"/>
            <w:tcBorders>
              <w:top w:val="nil"/>
              <w:left w:val="nil"/>
              <w:bottom w:val="nil"/>
              <w:right w:val="nil"/>
            </w:tcBorders>
            <w:shd w:val="clear" w:color="000000" w:fill="FFFFFF"/>
            <w:noWrap/>
            <w:vAlign w:val="center"/>
            <w:hideMark/>
          </w:tcPr>
          <w:p w14:paraId="7292878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785" w:type="pct"/>
            <w:tcBorders>
              <w:top w:val="nil"/>
              <w:left w:val="nil"/>
              <w:bottom w:val="nil"/>
              <w:right w:val="nil"/>
            </w:tcBorders>
            <w:shd w:val="clear" w:color="000000" w:fill="FFFFFF"/>
            <w:noWrap/>
            <w:vAlign w:val="center"/>
          </w:tcPr>
          <w:p w14:paraId="7A666590" w14:textId="77777777" w:rsidR="00F77FE5" w:rsidRPr="00F77FE5" w:rsidRDefault="00F77FE5" w:rsidP="00F77FE5">
            <w:pPr>
              <w:spacing w:after="0"/>
              <w:jc w:val="center"/>
              <w:rPr>
                <w:rFonts w:eastAsia="Times New Roman" w:cs="Calibri"/>
                <w:color w:val="000000"/>
                <w:sz w:val="12"/>
                <w:szCs w:val="12"/>
                <w:lang w:val="es-MX" w:eastAsia="es-MX"/>
              </w:rPr>
            </w:pPr>
          </w:p>
        </w:tc>
        <w:tc>
          <w:tcPr>
            <w:tcW w:w="554" w:type="pct"/>
            <w:tcBorders>
              <w:top w:val="nil"/>
              <w:left w:val="nil"/>
              <w:bottom w:val="nil"/>
              <w:right w:val="nil"/>
            </w:tcBorders>
            <w:shd w:val="clear" w:color="000000" w:fill="FFFFFF"/>
            <w:noWrap/>
            <w:vAlign w:val="center"/>
            <w:hideMark/>
          </w:tcPr>
          <w:p w14:paraId="45533A93"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696" w:type="pct"/>
            <w:tcBorders>
              <w:top w:val="nil"/>
              <w:left w:val="nil"/>
              <w:bottom w:val="nil"/>
              <w:right w:val="nil"/>
            </w:tcBorders>
            <w:shd w:val="clear" w:color="000000" w:fill="FFFFFF"/>
            <w:noWrap/>
            <w:vAlign w:val="center"/>
            <w:hideMark/>
          </w:tcPr>
          <w:p w14:paraId="24FAFD95"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969" w:type="pct"/>
            <w:tcBorders>
              <w:top w:val="nil"/>
              <w:left w:val="nil"/>
              <w:bottom w:val="nil"/>
              <w:right w:val="nil"/>
            </w:tcBorders>
            <w:shd w:val="clear" w:color="000000" w:fill="FFFFFF"/>
            <w:noWrap/>
            <w:vAlign w:val="center"/>
            <w:hideMark/>
          </w:tcPr>
          <w:p w14:paraId="4BDF115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6.6</w:t>
            </w:r>
          </w:p>
        </w:tc>
      </w:tr>
      <w:tr w:rsidR="00F77FE5" w:rsidRPr="00F77FE5" w14:paraId="30008D73" w14:textId="77777777" w:rsidTr="005A7CAD">
        <w:trPr>
          <w:trHeight w:val="300"/>
          <w:jc w:val="center"/>
        </w:trPr>
        <w:tc>
          <w:tcPr>
            <w:tcW w:w="1427" w:type="pct"/>
            <w:tcBorders>
              <w:top w:val="nil"/>
              <w:left w:val="nil"/>
              <w:bottom w:val="nil"/>
              <w:right w:val="nil"/>
            </w:tcBorders>
            <w:shd w:val="clear" w:color="000000" w:fill="FFFFFF"/>
            <w:noWrap/>
            <w:vAlign w:val="center"/>
            <w:hideMark/>
          </w:tcPr>
          <w:p w14:paraId="4859A7CB"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Planeación</w:t>
            </w:r>
          </w:p>
        </w:tc>
        <w:tc>
          <w:tcPr>
            <w:tcW w:w="569" w:type="pct"/>
            <w:tcBorders>
              <w:top w:val="nil"/>
              <w:left w:val="nil"/>
              <w:bottom w:val="nil"/>
              <w:right w:val="nil"/>
            </w:tcBorders>
            <w:shd w:val="clear" w:color="000000" w:fill="FFFFFF"/>
            <w:noWrap/>
            <w:vAlign w:val="center"/>
            <w:hideMark/>
          </w:tcPr>
          <w:p w14:paraId="3286EF3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785" w:type="pct"/>
            <w:tcBorders>
              <w:top w:val="nil"/>
              <w:left w:val="nil"/>
              <w:bottom w:val="nil"/>
              <w:right w:val="nil"/>
            </w:tcBorders>
            <w:shd w:val="clear" w:color="000000" w:fill="FFFFFF"/>
            <w:noWrap/>
            <w:vAlign w:val="center"/>
          </w:tcPr>
          <w:p w14:paraId="7D94BE7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554" w:type="pct"/>
            <w:tcBorders>
              <w:top w:val="nil"/>
              <w:left w:val="nil"/>
              <w:bottom w:val="nil"/>
              <w:right w:val="nil"/>
            </w:tcBorders>
            <w:shd w:val="clear" w:color="000000" w:fill="FFFFFF"/>
            <w:noWrap/>
            <w:vAlign w:val="center"/>
            <w:hideMark/>
          </w:tcPr>
          <w:p w14:paraId="4E5CBE9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696" w:type="pct"/>
            <w:tcBorders>
              <w:top w:val="nil"/>
              <w:left w:val="nil"/>
              <w:bottom w:val="nil"/>
              <w:right w:val="nil"/>
            </w:tcBorders>
            <w:shd w:val="clear" w:color="000000" w:fill="FFFFFF"/>
            <w:noWrap/>
            <w:vAlign w:val="center"/>
            <w:hideMark/>
          </w:tcPr>
          <w:p w14:paraId="57097AF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5</w:t>
            </w:r>
          </w:p>
        </w:tc>
        <w:tc>
          <w:tcPr>
            <w:tcW w:w="969" w:type="pct"/>
            <w:tcBorders>
              <w:top w:val="nil"/>
              <w:left w:val="nil"/>
              <w:bottom w:val="nil"/>
              <w:right w:val="nil"/>
            </w:tcBorders>
            <w:shd w:val="clear" w:color="000000" w:fill="FFFFFF"/>
            <w:noWrap/>
            <w:vAlign w:val="center"/>
            <w:hideMark/>
          </w:tcPr>
          <w:p w14:paraId="21BECE6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8.2</w:t>
            </w:r>
          </w:p>
        </w:tc>
      </w:tr>
      <w:tr w:rsidR="00F77FE5" w:rsidRPr="00F77FE5" w14:paraId="2ECB095A" w14:textId="77777777" w:rsidTr="005A7CAD">
        <w:trPr>
          <w:trHeight w:val="300"/>
          <w:jc w:val="center"/>
        </w:trPr>
        <w:tc>
          <w:tcPr>
            <w:tcW w:w="1427" w:type="pct"/>
            <w:tcBorders>
              <w:top w:val="nil"/>
              <w:left w:val="nil"/>
              <w:bottom w:val="nil"/>
              <w:right w:val="nil"/>
            </w:tcBorders>
            <w:shd w:val="clear" w:color="000000" w:fill="FFFFFF"/>
            <w:noWrap/>
            <w:vAlign w:val="center"/>
            <w:hideMark/>
          </w:tcPr>
          <w:p w14:paraId="203F3452"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Más de un Tema</w:t>
            </w:r>
          </w:p>
        </w:tc>
        <w:tc>
          <w:tcPr>
            <w:tcW w:w="569" w:type="pct"/>
            <w:tcBorders>
              <w:top w:val="nil"/>
              <w:left w:val="nil"/>
              <w:bottom w:val="nil"/>
              <w:right w:val="nil"/>
            </w:tcBorders>
            <w:shd w:val="clear" w:color="000000" w:fill="FFFFFF"/>
            <w:noWrap/>
            <w:vAlign w:val="center"/>
            <w:hideMark/>
          </w:tcPr>
          <w:p w14:paraId="33C6E27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16</w:t>
            </w:r>
          </w:p>
        </w:tc>
        <w:tc>
          <w:tcPr>
            <w:tcW w:w="785" w:type="pct"/>
            <w:tcBorders>
              <w:top w:val="nil"/>
              <w:left w:val="nil"/>
              <w:bottom w:val="nil"/>
              <w:right w:val="nil"/>
            </w:tcBorders>
            <w:shd w:val="clear" w:color="000000" w:fill="FFFFFF"/>
            <w:noWrap/>
            <w:vAlign w:val="center"/>
            <w:hideMark/>
          </w:tcPr>
          <w:p w14:paraId="6FEABD4E"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554" w:type="pct"/>
            <w:tcBorders>
              <w:top w:val="nil"/>
              <w:left w:val="nil"/>
              <w:bottom w:val="nil"/>
              <w:right w:val="nil"/>
            </w:tcBorders>
            <w:shd w:val="clear" w:color="000000" w:fill="FFFFFF"/>
            <w:noWrap/>
            <w:vAlign w:val="center"/>
            <w:hideMark/>
          </w:tcPr>
          <w:p w14:paraId="1B6D3D85"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11</w:t>
            </w:r>
          </w:p>
        </w:tc>
        <w:tc>
          <w:tcPr>
            <w:tcW w:w="696" w:type="pct"/>
            <w:tcBorders>
              <w:top w:val="nil"/>
              <w:left w:val="nil"/>
              <w:bottom w:val="nil"/>
              <w:right w:val="nil"/>
            </w:tcBorders>
            <w:shd w:val="clear" w:color="000000" w:fill="FFFFFF"/>
            <w:noWrap/>
            <w:vAlign w:val="center"/>
            <w:hideMark/>
          </w:tcPr>
          <w:p w14:paraId="48DDC53F"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30</w:t>
            </w:r>
          </w:p>
        </w:tc>
        <w:tc>
          <w:tcPr>
            <w:tcW w:w="969" w:type="pct"/>
            <w:tcBorders>
              <w:top w:val="nil"/>
              <w:left w:val="nil"/>
              <w:bottom w:val="nil"/>
              <w:right w:val="nil"/>
            </w:tcBorders>
            <w:shd w:val="clear" w:color="000000" w:fill="FFFFFF"/>
            <w:noWrap/>
            <w:vAlign w:val="center"/>
            <w:hideMark/>
          </w:tcPr>
          <w:p w14:paraId="7EE4E8F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49.2</w:t>
            </w:r>
          </w:p>
        </w:tc>
      </w:tr>
      <w:tr w:rsidR="00F77FE5" w:rsidRPr="00F77FE5" w14:paraId="125786C7" w14:textId="77777777" w:rsidTr="005A7CAD">
        <w:trPr>
          <w:trHeight w:val="300"/>
          <w:jc w:val="center"/>
        </w:trPr>
        <w:tc>
          <w:tcPr>
            <w:tcW w:w="1427" w:type="pct"/>
            <w:tcBorders>
              <w:top w:val="nil"/>
              <w:left w:val="nil"/>
              <w:bottom w:val="nil"/>
              <w:right w:val="nil"/>
            </w:tcBorders>
            <w:shd w:val="clear" w:color="000000" w:fill="FFFFFF"/>
            <w:noWrap/>
            <w:vAlign w:val="center"/>
            <w:hideMark/>
          </w:tcPr>
          <w:p w14:paraId="3E329AA3" w14:textId="77777777" w:rsidR="00F77FE5" w:rsidRPr="00F77FE5" w:rsidRDefault="00F77FE5" w:rsidP="00F77FE5">
            <w:pPr>
              <w:spacing w:after="0"/>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Total</w:t>
            </w:r>
          </w:p>
        </w:tc>
        <w:tc>
          <w:tcPr>
            <w:tcW w:w="569" w:type="pct"/>
            <w:tcBorders>
              <w:top w:val="nil"/>
              <w:left w:val="nil"/>
              <w:bottom w:val="nil"/>
              <w:right w:val="nil"/>
            </w:tcBorders>
            <w:shd w:val="clear" w:color="000000" w:fill="FFFFFF"/>
            <w:noWrap/>
            <w:vAlign w:val="center"/>
            <w:hideMark/>
          </w:tcPr>
          <w:p w14:paraId="366329FF" w14:textId="77777777" w:rsidR="00F77FE5" w:rsidRPr="00F77FE5" w:rsidRDefault="00F77FE5" w:rsidP="00F77FE5">
            <w:pPr>
              <w:spacing w:after="0"/>
              <w:jc w:val="center"/>
              <w:rPr>
                <w:rFonts w:eastAsia="Times New Roman" w:cs="Calibri"/>
                <w:b/>
                <w:color w:val="000000"/>
                <w:sz w:val="12"/>
                <w:szCs w:val="12"/>
                <w:lang w:val="es-MX" w:eastAsia="es-MX"/>
              </w:rPr>
            </w:pPr>
            <w:r w:rsidRPr="00F77FE5">
              <w:rPr>
                <w:rFonts w:eastAsia="Times New Roman" w:cs="Calibri"/>
                <w:b/>
                <w:color w:val="000000"/>
                <w:sz w:val="12"/>
                <w:szCs w:val="12"/>
                <w:lang w:val="es-MX" w:eastAsia="es-MX"/>
              </w:rPr>
              <w:t>28</w:t>
            </w:r>
          </w:p>
        </w:tc>
        <w:tc>
          <w:tcPr>
            <w:tcW w:w="785" w:type="pct"/>
            <w:tcBorders>
              <w:top w:val="nil"/>
              <w:left w:val="nil"/>
              <w:bottom w:val="nil"/>
              <w:right w:val="nil"/>
            </w:tcBorders>
            <w:shd w:val="clear" w:color="000000" w:fill="FFFFFF"/>
            <w:noWrap/>
            <w:vAlign w:val="center"/>
            <w:hideMark/>
          </w:tcPr>
          <w:p w14:paraId="154ED9C1" w14:textId="77777777" w:rsidR="00F77FE5" w:rsidRPr="00F77FE5" w:rsidRDefault="00F77FE5" w:rsidP="00F77FE5">
            <w:pPr>
              <w:spacing w:after="0"/>
              <w:jc w:val="center"/>
              <w:rPr>
                <w:rFonts w:eastAsia="Times New Roman" w:cs="Calibri"/>
                <w:b/>
                <w:color w:val="000000"/>
                <w:sz w:val="12"/>
                <w:szCs w:val="12"/>
                <w:lang w:val="es-MX" w:eastAsia="es-MX"/>
              </w:rPr>
            </w:pPr>
            <w:r w:rsidRPr="00F77FE5">
              <w:rPr>
                <w:rFonts w:eastAsia="Times New Roman" w:cs="Calibri"/>
                <w:b/>
                <w:color w:val="000000"/>
                <w:sz w:val="12"/>
                <w:szCs w:val="12"/>
                <w:lang w:val="es-MX" w:eastAsia="es-MX"/>
              </w:rPr>
              <w:t>6</w:t>
            </w:r>
          </w:p>
        </w:tc>
        <w:tc>
          <w:tcPr>
            <w:tcW w:w="554" w:type="pct"/>
            <w:tcBorders>
              <w:top w:val="nil"/>
              <w:left w:val="nil"/>
              <w:bottom w:val="nil"/>
              <w:right w:val="nil"/>
            </w:tcBorders>
            <w:shd w:val="clear" w:color="000000" w:fill="FFFFFF"/>
            <w:noWrap/>
            <w:vAlign w:val="center"/>
            <w:hideMark/>
          </w:tcPr>
          <w:p w14:paraId="0D048AD9" w14:textId="77777777" w:rsidR="00F77FE5" w:rsidRPr="00F77FE5" w:rsidRDefault="00F77FE5" w:rsidP="00F77FE5">
            <w:pPr>
              <w:spacing w:after="0"/>
              <w:jc w:val="center"/>
              <w:rPr>
                <w:rFonts w:eastAsia="Times New Roman" w:cs="Calibri"/>
                <w:b/>
                <w:color w:val="000000"/>
                <w:sz w:val="12"/>
                <w:szCs w:val="12"/>
                <w:lang w:val="es-MX" w:eastAsia="es-MX"/>
              </w:rPr>
            </w:pPr>
            <w:r w:rsidRPr="00F77FE5">
              <w:rPr>
                <w:rFonts w:eastAsia="Times New Roman" w:cs="Calibri"/>
                <w:b/>
                <w:color w:val="000000"/>
                <w:sz w:val="12"/>
                <w:szCs w:val="12"/>
                <w:lang w:val="es-MX" w:eastAsia="es-MX"/>
              </w:rPr>
              <w:t>27</w:t>
            </w:r>
          </w:p>
        </w:tc>
        <w:tc>
          <w:tcPr>
            <w:tcW w:w="696" w:type="pct"/>
            <w:tcBorders>
              <w:top w:val="nil"/>
              <w:left w:val="nil"/>
              <w:bottom w:val="nil"/>
              <w:right w:val="nil"/>
            </w:tcBorders>
            <w:shd w:val="clear" w:color="000000" w:fill="FFFFFF"/>
            <w:noWrap/>
            <w:vAlign w:val="center"/>
            <w:hideMark/>
          </w:tcPr>
          <w:p w14:paraId="024F501F"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61</w:t>
            </w:r>
          </w:p>
        </w:tc>
        <w:tc>
          <w:tcPr>
            <w:tcW w:w="969" w:type="pct"/>
            <w:tcBorders>
              <w:top w:val="nil"/>
              <w:left w:val="nil"/>
              <w:bottom w:val="nil"/>
              <w:right w:val="nil"/>
            </w:tcBorders>
            <w:shd w:val="clear" w:color="000000" w:fill="FFFFFF"/>
            <w:noWrap/>
            <w:vAlign w:val="center"/>
            <w:hideMark/>
          </w:tcPr>
          <w:p w14:paraId="37C16BF6" w14:textId="77777777" w:rsidR="00F77FE5" w:rsidRPr="00F77FE5" w:rsidRDefault="00F77FE5" w:rsidP="00F77FE5">
            <w:pPr>
              <w:spacing w:after="0"/>
              <w:jc w:val="center"/>
              <w:rPr>
                <w:rFonts w:eastAsia="Times New Roman" w:cs="Calibri"/>
                <w:b/>
                <w:color w:val="000000"/>
                <w:sz w:val="12"/>
                <w:szCs w:val="12"/>
                <w:lang w:val="es-MX" w:eastAsia="es-MX"/>
              </w:rPr>
            </w:pPr>
            <w:r w:rsidRPr="00F77FE5">
              <w:rPr>
                <w:rFonts w:eastAsia="Times New Roman" w:cs="Calibri"/>
                <w:b/>
                <w:color w:val="000000"/>
                <w:sz w:val="12"/>
                <w:szCs w:val="12"/>
                <w:lang w:val="es-MX" w:eastAsia="es-MX"/>
              </w:rPr>
              <w:t>100</w:t>
            </w:r>
          </w:p>
        </w:tc>
      </w:tr>
      <w:tr w:rsidR="00F77FE5" w:rsidRPr="00F77FE5" w14:paraId="2D3F2404" w14:textId="77777777" w:rsidTr="005A7CAD">
        <w:trPr>
          <w:trHeight w:val="315"/>
          <w:jc w:val="center"/>
        </w:trPr>
        <w:tc>
          <w:tcPr>
            <w:tcW w:w="1427" w:type="pct"/>
            <w:tcBorders>
              <w:top w:val="nil"/>
              <w:left w:val="nil"/>
              <w:bottom w:val="single" w:sz="12" w:space="0" w:color="auto"/>
              <w:right w:val="nil"/>
            </w:tcBorders>
            <w:shd w:val="clear" w:color="000000" w:fill="FFFFFF"/>
            <w:noWrap/>
            <w:vAlign w:val="center"/>
            <w:hideMark/>
          </w:tcPr>
          <w:p w14:paraId="42DA3292" w14:textId="77777777" w:rsidR="00F77FE5" w:rsidRPr="00F77FE5" w:rsidRDefault="00F77FE5" w:rsidP="00F77FE5">
            <w:pPr>
              <w:spacing w:after="0"/>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 del Total</w:t>
            </w:r>
          </w:p>
        </w:tc>
        <w:tc>
          <w:tcPr>
            <w:tcW w:w="569" w:type="pct"/>
            <w:tcBorders>
              <w:top w:val="nil"/>
              <w:left w:val="nil"/>
              <w:bottom w:val="single" w:sz="12" w:space="0" w:color="auto"/>
              <w:right w:val="nil"/>
            </w:tcBorders>
            <w:shd w:val="clear" w:color="000000" w:fill="FFFFFF"/>
            <w:noWrap/>
            <w:vAlign w:val="center"/>
            <w:hideMark/>
          </w:tcPr>
          <w:p w14:paraId="47D2E04F"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45.9</w:t>
            </w:r>
          </w:p>
        </w:tc>
        <w:tc>
          <w:tcPr>
            <w:tcW w:w="785" w:type="pct"/>
            <w:tcBorders>
              <w:top w:val="nil"/>
              <w:left w:val="nil"/>
              <w:bottom w:val="single" w:sz="12" w:space="0" w:color="auto"/>
              <w:right w:val="nil"/>
            </w:tcBorders>
            <w:shd w:val="clear" w:color="000000" w:fill="FFFFFF"/>
            <w:noWrap/>
            <w:vAlign w:val="center"/>
            <w:hideMark/>
          </w:tcPr>
          <w:p w14:paraId="7FF4054C"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9.8</w:t>
            </w:r>
          </w:p>
        </w:tc>
        <w:tc>
          <w:tcPr>
            <w:tcW w:w="554" w:type="pct"/>
            <w:tcBorders>
              <w:top w:val="nil"/>
              <w:left w:val="nil"/>
              <w:bottom w:val="single" w:sz="12" w:space="0" w:color="auto"/>
              <w:right w:val="nil"/>
            </w:tcBorders>
            <w:shd w:val="clear" w:color="000000" w:fill="FFFFFF"/>
            <w:noWrap/>
            <w:vAlign w:val="center"/>
            <w:hideMark/>
          </w:tcPr>
          <w:p w14:paraId="4F7C2334"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44.3</w:t>
            </w:r>
          </w:p>
        </w:tc>
        <w:tc>
          <w:tcPr>
            <w:tcW w:w="696" w:type="pct"/>
            <w:tcBorders>
              <w:top w:val="nil"/>
              <w:left w:val="nil"/>
              <w:bottom w:val="single" w:sz="12" w:space="0" w:color="auto"/>
              <w:right w:val="nil"/>
            </w:tcBorders>
            <w:shd w:val="clear" w:color="000000" w:fill="FFFFFF"/>
            <w:noWrap/>
            <w:vAlign w:val="center"/>
            <w:hideMark/>
          </w:tcPr>
          <w:p w14:paraId="685F5FA0"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100</w:t>
            </w:r>
          </w:p>
        </w:tc>
        <w:tc>
          <w:tcPr>
            <w:tcW w:w="969" w:type="pct"/>
            <w:tcBorders>
              <w:top w:val="nil"/>
              <w:left w:val="nil"/>
              <w:bottom w:val="single" w:sz="12" w:space="0" w:color="auto"/>
              <w:right w:val="nil"/>
            </w:tcBorders>
            <w:shd w:val="clear" w:color="000000" w:fill="FFFFFF"/>
            <w:noWrap/>
            <w:vAlign w:val="center"/>
            <w:hideMark/>
          </w:tcPr>
          <w:p w14:paraId="2DE45FE2"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 </w:t>
            </w:r>
          </w:p>
        </w:tc>
      </w:tr>
      <w:tr w:rsidR="00F77FE5" w:rsidRPr="00F77FE5" w14:paraId="69A22E8D" w14:textId="77777777" w:rsidTr="005A7CAD">
        <w:trPr>
          <w:trHeight w:val="315"/>
          <w:jc w:val="center"/>
        </w:trPr>
        <w:tc>
          <w:tcPr>
            <w:tcW w:w="5000" w:type="pct"/>
            <w:gridSpan w:val="6"/>
            <w:tcBorders>
              <w:top w:val="single" w:sz="12" w:space="0" w:color="auto"/>
              <w:left w:val="nil"/>
              <w:bottom w:val="nil"/>
              <w:right w:val="nil"/>
            </w:tcBorders>
            <w:shd w:val="clear" w:color="000000" w:fill="FFFFFF"/>
            <w:vAlign w:val="center"/>
            <w:hideMark/>
          </w:tcPr>
          <w:p w14:paraId="6A5568CB"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 xml:space="preserve">Fuente: Unidad de Evaluación del Desempeño, con información proporcionada por las dependencias y entidades de la APF a la SHCP. </w:t>
            </w:r>
          </w:p>
        </w:tc>
      </w:tr>
    </w:tbl>
    <w:p w14:paraId="0DE0CC44" w14:textId="77777777" w:rsidR="00F77FE5" w:rsidRPr="00F77FE5" w:rsidRDefault="00F77FE5" w:rsidP="00F77FE5">
      <w:pPr>
        <w:jc w:val="both"/>
        <w:rPr>
          <w:rFonts w:eastAsia="Times New Roman" w:cs="Arial"/>
          <w:b/>
          <w:szCs w:val="20"/>
          <w:lang w:val="es-MX"/>
        </w:rPr>
      </w:pPr>
    </w:p>
    <w:p w14:paraId="0408F58B" w14:textId="77777777" w:rsidR="00F77FE5" w:rsidRPr="00F77FE5" w:rsidRDefault="00F77FE5" w:rsidP="00F77FE5">
      <w:pPr>
        <w:jc w:val="both"/>
        <w:rPr>
          <w:rFonts w:eastAsia="Times New Roman" w:cs="Arial"/>
          <w:b/>
          <w:szCs w:val="20"/>
          <w:lang w:val="es-ES"/>
        </w:rPr>
      </w:pPr>
      <w:r w:rsidRPr="00F77FE5">
        <w:rPr>
          <w:rFonts w:eastAsia="Times New Roman" w:cs="Arial"/>
          <w:b/>
          <w:szCs w:val="20"/>
          <w:lang w:val="es-ES"/>
        </w:rPr>
        <w:t>ASM derivados de las evaluaciones externas coordinadas por el CONEVAL</w:t>
      </w:r>
    </w:p>
    <w:p w14:paraId="66C088BF" w14:textId="77777777" w:rsidR="00F77FE5" w:rsidRPr="00F77FE5" w:rsidRDefault="00F77FE5" w:rsidP="00F77FE5">
      <w:pPr>
        <w:tabs>
          <w:tab w:val="left" w:pos="8647"/>
        </w:tabs>
        <w:jc w:val="both"/>
        <w:rPr>
          <w:rFonts w:eastAsia="Times New Roman" w:cs="Arial"/>
          <w:bCs/>
          <w:iCs/>
          <w:szCs w:val="20"/>
          <w:lang w:val="es-ES" w:eastAsia="en-US"/>
        </w:rPr>
      </w:pPr>
      <w:r w:rsidRPr="00F77FE5">
        <w:rPr>
          <w:rFonts w:eastAsia="Times New Roman" w:cs="Soberana Sans"/>
          <w:color w:val="000000"/>
          <w:szCs w:val="20"/>
          <w:lang w:val="es-ES" w:eastAsia="es-MX"/>
        </w:rPr>
        <w:t xml:space="preserve">Al primer trimestre de 2018, </w:t>
      </w:r>
      <w:r w:rsidRPr="00F77FE5">
        <w:rPr>
          <w:rFonts w:eastAsia="Times New Roman" w:cs="Arial"/>
          <w:szCs w:val="20"/>
          <w:lang w:val="es-ES"/>
        </w:rPr>
        <w:t xml:space="preserve">las dependencias y entidades con evaluaciones externas concluidas y coordinadas por el CONEVAL que corresponden al PAE 2017 y anteriores, </w:t>
      </w:r>
      <w:r w:rsidRPr="00F77FE5">
        <w:rPr>
          <w:rFonts w:eastAsia="Times New Roman" w:cs="Arial"/>
          <w:bCs/>
          <w:iCs/>
          <w:szCs w:val="20"/>
          <w:lang w:val="es-ES" w:eastAsia="en-US"/>
        </w:rPr>
        <w:t>instrumentaron acciones en un total de 476 ASM.</w:t>
      </w:r>
    </w:p>
    <w:p w14:paraId="034AEA85" w14:textId="77777777" w:rsidR="00F77FE5" w:rsidRPr="00F77FE5" w:rsidRDefault="00F77FE5" w:rsidP="00F77FE5">
      <w:pPr>
        <w:jc w:val="both"/>
        <w:rPr>
          <w:rFonts w:eastAsia="Times New Roman" w:cs="Arial"/>
          <w:szCs w:val="20"/>
          <w:lang w:val="es-ES"/>
        </w:rPr>
      </w:pPr>
      <w:r w:rsidRPr="00F77FE5">
        <w:rPr>
          <w:rFonts w:eastAsia="Times New Roman" w:cs="Arial"/>
          <w:bCs/>
          <w:iCs/>
          <w:szCs w:val="20"/>
          <w:lang w:val="es-ES" w:eastAsia="en-US"/>
        </w:rPr>
        <w:t xml:space="preserve">Los 476 ASM corresponden a 119 </w:t>
      </w:r>
      <w:proofErr w:type="spellStart"/>
      <w:r w:rsidRPr="00F77FE5">
        <w:rPr>
          <w:rFonts w:eastAsia="Times New Roman" w:cs="Arial"/>
          <w:bCs/>
          <w:iCs/>
          <w:szCs w:val="20"/>
          <w:lang w:val="es-ES" w:eastAsia="en-US"/>
        </w:rPr>
        <w:t>Pp</w:t>
      </w:r>
      <w:proofErr w:type="spellEnd"/>
      <w:r w:rsidRPr="00F77FE5">
        <w:rPr>
          <w:rFonts w:eastAsia="Times New Roman" w:cs="Arial"/>
          <w:bCs/>
          <w:iCs/>
          <w:szCs w:val="20"/>
          <w:lang w:val="es-ES" w:eastAsia="en-US"/>
        </w:rPr>
        <w:t xml:space="preserve"> de 37 dependencias y entidades, y de conformidad con el actor involucrado en su solución, se distribuyen de la siguiente manera</w:t>
      </w:r>
      <w:r w:rsidRPr="00F77FE5">
        <w:rPr>
          <w:rFonts w:eastAsia="Times New Roman" w:cs="Arial"/>
          <w:szCs w:val="20"/>
          <w:lang w:val="es-ES"/>
        </w:rPr>
        <w:t>: 309</w:t>
      </w:r>
      <w:r w:rsidRPr="00F77FE5">
        <w:rPr>
          <w:rFonts w:eastAsia="Times New Roman" w:cs="Calibri"/>
          <w:szCs w:val="20"/>
          <w:lang w:val="es-ES"/>
        </w:rPr>
        <w:t xml:space="preserve"> (64.9%) son del tipo específico, 165 (34.7%) corresponden al tipo institucional,</w:t>
      </w:r>
      <w:r w:rsidRPr="00F77FE5">
        <w:rPr>
          <w:rFonts w:eastAsia="Times New Roman" w:cs="Arial"/>
          <w:szCs w:val="20"/>
          <w:lang w:val="es-ES"/>
        </w:rPr>
        <w:t xml:space="preserve"> </w:t>
      </w:r>
      <w:r w:rsidRPr="00F77FE5">
        <w:rPr>
          <w:rFonts w:eastAsia="Times New Roman" w:cs="Calibri"/>
          <w:szCs w:val="20"/>
          <w:lang w:val="es-ES"/>
        </w:rPr>
        <w:t>uno (0.2%) es</w:t>
      </w:r>
      <w:r w:rsidR="006F4A52">
        <w:rPr>
          <w:rFonts w:eastAsia="Times New Roman" w:cs="Calibri"/>
          <w:szCs w:val="20"/>
          <w:lang w:val="es-ES"/>
        </w:rPr>
        <w:t xml:space="preserve"> </w:t>
      </w:r>
      <w:r w:rsidRPr="00F77FE5">
        <w:rPr>
          <w:rFonts w:eastAsia="Times New Roman" w:cs="Calibri"/>
          <w:szCs w:val="20"/>
          <w:lang w:val="es-ES"/>
        </w:rPr>
        <w:t>de carácter interinstitucional y uno (0.2%) corresponde al tipo intergubernamental.</w:t>
      </w:r>
    </w:p>
    <w:p w14:paraId="6C13AFB4" w14:textId="77777777" w:rsidR="00F77FE5" w:rsidRDefault="00F77FE5" w:rsidP="00F77FE5">
      <w:pPr>
        <w:jc w:val="both"/>
        <w:rPr>
          <w:rFonts w:eastAsia="Times New Roman" w:cs="Arial"/>
          <w:szCs w:val="20"/>
          <w:lang w:val="es-ES"/>
        </w:rPr>
      </w:pPr>
      <w:r w:rsidRPr="00F77FE5">
        <w:rPr>
          <w:rFonts w:eastAsia="Times New Roman" w:cs="Arial"/>
          <w:szCs w:val="20"/>
          <w:lang w:val="es-ES"/>
        </w:rPr>
        <w:t xml:space="preserve">Asimismo, de estos 476 ASM, los Ramos que destacan son los siguientes: Desarrollo Social con 183 (38.4%); Educación Pública con 89 (18.7%) y Medio Ambiente y Recursos Naturales con 45 (9.5%). </w:t>
      </w:r>
    </w:p>
    <w:p w14:paraId="33207669" w14:textId="77777777" w:rsidR="005854F3" w:rsidRPr="00F77FE5" w:rsidRDefault="005854F3" w:rsidP="00F77FE5">
      <w:pPr>
        <w:jc w:val="both"/>
        <w:rPr>
          <w:rFonts w:eastAsia="Times New Roman" w:cs="Arial"/>
          <w:szCs w:val="20"/>
          <w:lang w:val="es-ES"/>
        </w:rPr>
      </w:pPr>
    </w:p>
    <w:tbl>
      <w:tblPr>
        <w:tblW w:w="5000" w:type="pct"/>
        <w:tblLayout w:type="fixed"/>
        <w:tblCellMar>
          <w:left w:w="70" w:type="dxa"/>
          <w:right w:w="70" w:type="dxa"/>
        </w:tblCellMar>
        <w:tblLook w:val="04A0" w:firstRow="1" w:lastRow="0" w:firstColumn="1" w:lastColumn="0" w:noHBand="0" w:noVBand="1"/>
      </w:tblPr>
      <w:tblGrid>
        <w:gridCol w:w="591"/>
        <w:gridCol w:w="2411"/>
        <w:gridCol w:w="1276"/>
        <w:gridCol w:w="993"/>
        <w:gridCol w:w="1274"/>
        <w:gridCol w:w="1560"/>
        <w:gridCol w:w="850"/>
        <w:gridCol w:w="1017"/>
      </w:tblGrid>
      <w:tr w:rsidR="00F77FE5" w:rsidRPr="00F77FE5" w14:paraId="5A5DE1E1" w14:textId="77777777" w:rsidTr="005A7CAD">
        <w:trPr>
          <w:trHeight w:val="300"/>
          <w:tblHeader/>
        </w:trPr>
        <w:tc>
          <w:tcPr>
            <w:tcW w:w="5000" w:type="pct"/>
            <w:gridSpan w:val="8"/>
            <w:tcBorders>
              <w:top w:val="nil"/>
              <w:left w:val="nil"/>
              <w:bottom w:val="nil"/>
              <w:right w:val="nil"/>
            </w:tcBorders>
            <w:shd w:val="clear" w:color="000000" w:fill="EAF1DD"/>
            <w:vAlign w:val="center"/>
            <w:hideMark/>
          </w:tcPr>
          <w:p w14:paraId="4A487FDB" w14:textId="77777777" w:rsidR="00F77FE5" w:rsidRPr="00F77FE5" w:rsidRDefault="00F77FE5" w:rsidP="00F77FE5">
            <w:pPr>
              <w:spacing w:after="0"/>
              <w:jc w:val="center"/>
              <w:rPr>
                <w:rFonts w:eastAsia="Times New Roman" w:cs="Calibri"/>
                <w:color w:val="000000"/>
                <w:sz w:val="18"/>
                <w:szCs w:val="18"/>
                <w:lang w:val="es-MX" w:eastAsia="es-MX"/>
              </w:rPr>
            </w:pPr>
            <w:r w:rsidRPr="00F77FE5">
              <w:rPr>
                <w:rFonts w:eastAsia="Times New Roman" w:cs="Calibri"/>
                <w:color w:val="000000"/>
                <w:sz w:val="18"/>
                <w:szCs w:val="18"/>
                <w:lang w:val="es-MX" w:eastAsia="es-MX"/>
              </w:rPr>
              <w:t>Tabla 9. Tipo de ASM por Ramo y por dependencia o entidad al 31 marzo de 2018</w:t>
            </w:r>
          </w:p>
        </w:tc>
      </w:tr>
      <w:tr w:rsidR="00F77FE5" w:rsidRPr="00F77FE5" w14:paraId="532EF891" w14:textId="77777777" w:rsidTr="005A7CAD">
        <w:trPr>
          <w:trHeight w:val="315"/>
          <w:tblHeader/>
        </w:trPr>
        <w:tc>
          <w:tcPr>
            <w:tcW w:w="296" w:type="pct"/>
            <w:tcBorders>
              <w:top w:val="nil"/>
              <w:left w:val="nil"/>
              <w:bottom w:val="single" w:sz="12" w:space="0" w:color="auto"/>
              <w:right w:val="nil"/>
            </w:tcBorders>
            <w:shd w:val="clear" w:color="000000" w:fill="FFFFFF"/>
            <w:noWrap/>
            <w:vAlign w:val="center"/>
            <w:hideMark/>
          </w:tcPr>
          <w:p w14:paraId="5EAF4F1A"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Ramo</w:t>
            </w:r>
          </w:p>
        </w:tc>
        <w:tc>
          <w:tcPr>
            <w:tcW w:w="1209" w:type="pct"/>
            <w:tcBorders>
              <w:top w:val="nil"/>
              <w:left w:val="nil"/>
              <w:bottom w:val="single" w:sz="12" w:space="0" w:color="auto"/>
              <w:right w:val="nil"/>
            </w:tcBorders>
            <w:shd w:val="clear" w:color="000000" w:fill="FFFFFF"/>
            <w:noWrap/>
            <w:vAlign w:val="center"/>
            <w:hideMark/>
          </w:tcPr>
          <w:p w14:paraId="067A7489"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Dependencia o Entidad</w:t>
            </w:r>
          </w:p>
        </w:tc>
        <w:tc>
          <w:tcPr>
            <w:tcW w:w="640" w:type="pct"/>
            <w:tcBorders>
              <w:top w:val="nil"/>
              <w:left w:val="nil"/>
              <w:bottom w:val="single" w:sz="12" w:space="0" w:color="auto"/>
              <w:right w:val="nil"/>
            </w:tcBorders>
            <w:shd w:val="clear" w:color="000000" w:fill="FFFFFF"/>
            <w:noWrap/>
            <w:vAlign w:val="center"/>
            <w:hideMark/>
          </w:tcPr>
          <w:p w14:paraId="22D56850"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Específico</w:t>
            </w:r>
          </w:p>
        </w:tc>
        <w:tc>
          <w:tcPr>
            <w:tcW w:w="498" w:type="pct"/>
            <w:tcBorders>
              <w:top w:val="nil"/>
              <w:left w:val="nil"/>
              <w:bottom w:val="single" w:sz="12" w:space="0" w:color="auto"/>
              <w:right w:val="nil"/>
            </w:tcBorders>
            <w:shd w:val="clear" w:color="000000" w:fill="FFFFFF"/>
            <w:noWrap/>
            <w:vAlign w:val="center"/>
            <w:hideMark/>
          </w:tcPr>
          <w:p w14:paraId="700F95E8"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Institucional</w:t>
            </w:r>
          </w:p>
        </w:tc>
        <w:tc>
          <w:tcPr>
            <w:tcW w:w="639" w:type="pct"/>
            <w:tcBorders>
              <w:top w:val="nil"/>
              <w:left w:val="nil"/>
              <w:bottom w:val="single" w:sz="12" w:space="0" w:color="auto"/>
              <w:right w:val="nil"/>
            </w:tcBorders>
            <w:shd w:val="clear" w:color="000000" w:fill="FFFFFF"/>
            <w:noWrap/>
            <w:vAlign w:val="center"/>
            <w:hideMark/>
          </w:tcPr>
          <w:p w14:paraId="20F6E51C"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Interinstitucional</w:t>
            </w:r>
          </w:p>
        </w:tc>
        <w:tc>
          <w:tcPr>
            <w:tcW w:w="782" w:type="pct"/>
            <w:tcBorders>
              <w:top w:val="nil"/>
              <w:left w:val="nil"/>
              <w:bottom w:val="single" w:sz="12" w:space="0" w:color="auto"/>
              <w:right w:val="nil"/>
            </w:tcBorders>
            <w:shd w:val="clear" w:color="000000" w:fill="FFFFFF"/>
            <w:noWrap/>
            <w:vAlign w:val="center"/>
            <w:hideMark/>
          </w:tcPr>
          <w:p w14:paraId="3AC03884"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Intergubernamental</w:t>
            </w:r>
          </w:p>
        </w:tc>
        <w:tc>
          <w:tcPr>
            <w:tcW w:w="426" w:type="pct"/>
            <w:tcBorders>
              <w:top w:val="nil"/>
              <w:left w:val="nil"/>
              <w:bottom w:val="single" w:sz="12" w:space="0" w:color="auto"/>
              <w:right w:val="nil"/>
            </w:tcBorders>
            <w:shd w:val="clear" w:color="000000" w:fill="FFFFFF"/>
            <w:noWrap/>
            <w:vAlign w:val="center"/>
            <w:hideMark/>
          </w:tcPr>
          <w:p w14:paraId="7B44F585"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Total</w:t>
            </w:r>
          </w:p>
        </w:tc>
        <w:tc>
          <w:tcPr>
            <w:tcW w:w="510" w:type="pct"/>
            <w:tcBorders>
              <w:top w:val="nil"/>
              <w:left w:val="nil"/>
              <w:bottom w:val="single" w:sz="12" w:space="0" w:color="auto"/>
              <w:right w:val="nil"/>
            </w:tcBorders>
            <w:shd w:val="clear" w:color="000000" w:fill="FFFFFF"/>
            <w:noWrap/>
            <w:vAlign w:val="center"/>
            <w:hideMark/>
          </w:tcPr>
          <w:p w14:paraId="1F8BD9CB"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 del Total</w:t>
            </w:r>
          </w:p>
        </w:tc>
      </w:tr>
      <w:tr w:rsidR="00F77FE5" w:rsidRPr="00F77FE5" w14:paraId="307F848C" w14:textId="77777777" w:rsidTr="005A7CAD">
        <w:trPr>
          <w:trHeight w:val="315"/>
        </w:trPr>
        <w:tc>
          <w:tcPr>
            <w:tcW w:w="1505" w:type="pct"/>
            <w:gridSpan w:val="2"/>
            <w:tcBorders>
              <w:top w:val="single" w:sz="12" w:space="0" w:color="auto"/>
              <w:left w:val="nil"/>
              <w:bottom w:val="nil"/>
              <w:right w:val="nil"/>
            </w:tcBorders>
            <w:shd w:val="clear" w:color="auto" w:fill="F2F2F2" w:themeFill="background1" w:themeFillShade="F2"/>
            <w:noWrap/>
            <w:vAlign w:val="center"/>
            <w:hideMark/>
          </w:tcPr>
          <w:p w14:paraId="4C02B8E1"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06 Hacienda y Crédito Público</w:t>
            </w:r>
          </w:p>
        </w:tc>
        <w:tc>
          <w:tcPr>
            <w:tcW w:w="640" w:type="pct"/>
            <w:tcBorders>
              <w:top w:val="nil"/>
              <w:left w:val="nil"/>
              <w:bottom w:val="nil"/>
              <w:right w:val="nil"/>
            </w:tcBorders>
            <w:shd w:val="clear" w:color="auto" w:fill="F2F2F2" w:themeFill="background1" w:themeFillShade="F2"/>
            <w:noWrap/>
            <w:vAlign w:val="center"/>
            <w:hideMark/>
          </w:tcPr>
          <w:p w14:paraId="1F7B604A"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498" w:type="pct"/>
            <w:tcBorders>
              <w:top w:val="nil"/>
              <w:left w:val="nil"/>
              <w:bottom w:val="nil"/>
              <w:right w:val="nil"/>
            </w:tcBorders>
            <w:shd w:val="clear" w:color="auto" w:fill="F2F2F2" w:themeFill="background1" w:themeFillShade="F2"/>
            <w:noWrap/>
            <w:vAlign w:val="center"/>
          </w:tcPr>
          <w:p w14:paraId="5B29B479"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auto" w:fill="F2F2F2" w:themeFill="background1" w:themeFillShade="F2"/>
            <w:noWrap/>
            <w:vAlign w:val="center"/>
          </w:tcPr>
          <w:p w14:paraId="69FD6BA2"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3A171259"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auto" w:fill="F2F2F2" w:themeFill="background1" w:themeFillShade="F2"/>
            <w:noWrap/>
            <w:vAlign w:val="center"/>
            <w:hideMark/>
          </w:tcPr>
          <w:p w14:paraId="2227BAC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510" w:type="pct"/>
            <w:tcBorders>
              <w:top w:val="nil"/>
              <w:left w:val="nil"/>
              <w:bottom w:val="nil"/>
              <w:right w:val="nil"/>
            </w:tcBorders>
            <w:shd w:val="clear" w:color="auto" w:fill="F2F2F2" w:themeFill="background1" w:themeFillShade="F2"/>
            <w:noWrap/>
            <w:vAlign w:val="center"/>
            <w:hideMark/>
          </w:tcPr>
          <w:p w14:paraId="6934FA9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0.4</w:t>
            </w:r>
          </w:p>
        </w:tc>
      </w:tr>
      <w:tr w:rsidR="00F77FE5" w:rsidRPr="00F77FE5" w14:paraId="47EBCA53" w14:textId="77777777" w:rsidTr="005A7CAD">
        <w:trPr>
          <w:trHeight w:val="300"/>
        </w:trPr>
        <w:tc>
          <w:tcPr>
            <w:tcW w:w="296" w:type="pct"/>
            <w:tcBorders>
              <w:top w:val="nil"/>
              <w:left w:val="nil"/>
              <w:bottom w:val="nil"/>
              <w:right w:val="nil"/>
            </w:tcBorders>
            <w:shd w:val="clear" w:color="000000" w:fill="FFFFFF"/>
            <w:noWrap/>
            <w:vAlign w:val="center"/>
            <w:hideMark/>
          </w:tcPr>
          <w:p w14:paraId="270CC015"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2F31BB93"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AGROASEMEX</w:t>
            </w:r>
          </w:p>
        </w:tc>
        <w:tc>
          <w:tcPr>
            <w:tcW w:w="640" w:type="pct"/>
            <w:tcBorders>
              <w:top w:val="nil"/>
              <w:left w:val="nil"/>
              <w:bottom w:val="nil"/>
              <w:right w:val="nil"/>
            </w:tcBorders>
            <w:shd w:val="clear" w:color="000000" w:fill="FFFFFF"/>
            <w:noWrap/>
            <w:vAlign w:val="center"/>
            <w:hideMark/>
          </w:tcPr>
          <w:p w14:paraId="21F5B6FE"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498" w:type="pct"/>
            <w:tcBorders>
              <w:top w:val="nil"/>
              <w:left w:val="nil"/>
              <w:bottom w:val="nil"/>
              <w:right w:val="nil"/>
            </w:tcBorders>
            <w:shd w:val="clear" w:color="000000" w:fill="FFFFFF"/>
            <w:noWrap/>
            <w:vAlign w:val="center"/>
          </w:tcPr>
          <w:p w14:paraId="6A79F7C7"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000000" w:fill="FFFFFF"/>
            <w:noWrap/>
            <w:vAlign w:val="center"/>
          </w:tcPr>
          <w:p w14:paraId="64236E6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3E4F287B"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7DD0BFF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4C6132E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1BD18A7A"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3BBDA147"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08 Agricultura, Ganadería, Desarrollo Rural, Pesca y Alimentación</w:t>
            </w:r>
          </w:p>
        </w:tc>
        <w:tc>
          <w:tcPr>
            <w:tcW w:w="640" w:type="pct"/>
            <w:tcBorders>
              <w:top w:val="nil"/>
              <w:left w:val="nil"/>
              <w:bottom w:val="nil"/>
              <w:right w:val="nil"/>
            </w:tcBorders>
            <w:shd w:val="clear" w:color="auto" w:fill="F2F2F2" w:themeFill="background1" w:themeFillShade="F2"/>
            <w:noWrap/>
            <w:vAlign w:val="center"/>
            <w:hideMark/>
          </w:tcPr>
          <w:p w14:paraId="74E0F37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11</w:t>
            </w:r>
          </w:p>
        </w:tc>
        <w:tc>
          <w:tcPr>
            <w:tcW w:w="498" w:type="pct"/>
            <w:tcBorders>
              <w:top w:val="nil"/>
              <w:left w:val="nil"/>
              <w:bottom w:val="nil"/>
              <w:right w:val="nil"/>
            </w:tcBorders>
            <w:shd w:val="clear" w:color="auto" w:fill="F2F2F2" w:themeFill="background1" w:themeFillShade="F2"/>
            <w:noWrap/>
            <w:vAlign w:val="center"/>
            <w:hideMark/>
          </w:tcPr>
          <w:p w14:paraId="74E7F6F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11</w:t>
            </w:r>
          </w:p>
        </w:tc>
        <w:tc>
          <w:tcPr>
            <w:tcW w:w="639" w:type="pct"/>
            <w:tcBorders>
              <w:top w:val="nil"/>
              <w:left w:val="nil"/>
              <w:bottom w:val="nil"/>
              <w:right w:val="nil"/>
            </w:tcBorders>
            <w:shd w:val="clear" w:color="auto" w:fill="F2F2F2" w:themeFill="background1" w:themeFillShade="F2"/>
            <w:noWrap/>
            <w:vAlign w:val="center"/>
          </w:tcPr>
          <w:p w14:paraId="01F93AB8"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514E5D1D"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auto" w:fill="F2F2F2" w:themeFill="background1" w:themeFillShade="F2"/>
            <w:noWrap/>
            <w:vAlign w:val="center"/>
            <w:hideMark/>
          </w:tcPr>
          <w:p w14:paraId="46570B3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22</w:t>
            </w:r>
          </w:p>
        </w:tc>
        <w:tc>
          <w:tcPr>
            <w:tcW w:w="510" w:type="pct"/>
            <w:tcBorders>
              <w:top w:val="nil"/>
              <w:left w:val="nil"/>
              <w:bottom w:val="nil"/>
              <w:right w:val="nil"/>
            </w:tcBorders>
            <w:shd w:val="clear" w:color="auto" w:fill="F2F2F2" w:themeFill="background1" w:themeFillShade="F2"/>
            <w:noWrap/>
            <w:vAlign w:val="center"/>
            <w:hideMark/>
          </w:tcPr>
          <w:p w14:paraId="1454FF4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4.6</w:t>
            </w:r>
          </w:p>
        </w:tc>
      </w:tr>
      <w:tr w:rsidR="00F77FE5" w:rsidRPr="00F77FE5" w14:paraId="333834F2" w14:textId="77777777" w:rsidTr="005A7CAD">
        <w:trPr>
          <w:trHeight w:val="300"/>
        </w:trPr>
        <w:tc>
          <w:tcPr>
            <w:tcW w:w="296" w:type="pct"/>
            <w:tcBorders>
              <w:top w:val="nil"/>
              <w:left w:val="nil"/>
              <w:bottom w:val="nil"/>
              <w:right w:val="nil"/>
            </w:tcBorders>
            <w:shd w:val="clear" w:color="000000" w:fill="FFFFFF"/>
            <w:noWrap/>
            <w:vAlign w:val="center"/>
            <w:hideMark/>
          </w:tcPr>
          <w:p w14:paraId="50BA3BB1"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1390D92F"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SAGARPA</w:t>
            </w:r>
          </w:p>
        </w:tc>
        <w:tc>
          <w:tcPr>
            <w:tcW w:w="640" w:type="pct"/>
            <w:tcBorders>
              <w:top w:val="nil"/>
              <w:left w:val="nil"/>
              <w:bottom w:val="nil"/>
              <w:right w:val="nil"/>
            </w:tcBorders>
            <w:shd w:val="clear" w:color="000000" w:fill="FFFFFF"/>
            <w:noWrap/>
            <w:vAlign w:val="center"/>
            <w:hideMark/>
          </w:tcPr>
          <w:p w14:paraId="36E8986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11</w:t>
            </w:r>
          </w:p>
        </w:tc>
        <w:tc>
          <w:tcPr>
            <w:tcW w:w="498" w:type="pct"/>
            <w:tcBorders>
              <w:top w:val="nil"/>
              <w:left w:val="nil"/>
              <w:bottom w:val="nil"/>
              <w:right w:val="nil"/>
            </w:tcBorders>
            <w:shd w:val="clear" w:color="000000" w:fill="FFFFFF"/>
            <w:noWrap/>
            <w:vAlign w:val="center"/>
            <w:hideMark/>
          </w:tcPr>
          <w:p w14:paraId="142C317E"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11</w:t>
            </w:r>
          </w:p>
        </w:tc>
        <w:tc>
          <w:tcPr>
            <w:tcW w:w="639" w:type="pct"/>
            <w:tcBorders>
              <w:top w:val="nil"/>
              <w:left w:val="nil"/>
              <w:bottom w:val="nil"/>
              <w:right w:val="nil"/>
            </w:tcBorders>
            <w:shd w:val="clear" w:color="000000" w:fill="FFFFFF"/>
            <w:noWrap/>
            <w:vAlign w:val="center"/>
          </w:tcPr>
          <w:p w14:paraId="7E736278"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2B95A289"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26892ED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77D7F75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085ECD98"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0E540341"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09 Comunicaciones y Transportes</w:t>
            </w:r>
          </w:p>
        </w:tc>
        <w:tc>
          <w:tcPr>
            <w:tcW w:w="640" w:type="pct"/>
            <w:tcBorders>
              <w:top w:val="nil"/>
              <w:left w:val="nil"/>
              <w:bottom w:val="nil"/>
              <w:right w:val="nil"/>
            </w:tcBorders>
            <w:shd w:val="clear" w:color="auto" w:fill="F2F2F2" w:themeFill="background1" w:themeFillShade="F2"/>
            <w:noWrap/>
            <w:vAlign w:val="center"/>
            <w:hideMark/>
          </w:tcPr>
          <w:p w14:paraId="480D983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98" w:type="pct"/>
            <w:tcBorders>
              <w:top w:val="nil"/>
              <w:left w:val="nil"/>
              <w:bottom w:val="nil"/>
              <w:right w:val="nil"/>
            </w:tcBorders>
            <w:shd w:val="clear" w:color="auto" w:fill="F2F2F2" w:themeFill="background1" w:themeFillShade="F2"/>
            <w:noWrap/>
            <w:vAlign w:val="center"/>
          </w:tcPr>
          <w:p w14:paraId="4C94B039"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auto" w:fill="F2F2F2" w:themeFill="background1" w:themeFillShade="F2"/>
            <w:noWrap/>
            <w:vAlign w:val="center"/>
          </w:tcPr>
          <w:p w14:paraId="7F39506C"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54CF37A5"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auto" w:fill="F2F2F2" w:themeFill="background1" w:themeFillShade="F2"/>
            <w:noWrap/>
            <w:vAlign w:val="center"/>
            <w:hideMark/>
          </w:tcPr>
          <w:p w14:paraId="2C968AE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510" w:type="pct"/>
            <w:tcBorders>
              <w:top w:val="nil"/>
              <w:left w:val="nil"/>
              <w:bottom w:val="nil"/>
              <w:right w:val="nil"/>
            </w:tcBorders>
            <w:shd w:val="clear" w:color="auto" w:fill="F2F2F2" w:themeFill="background1" w:themeFillShade="F2"/>
            <w:noWrap/>
            <w:vAlign w:val="center"/>
            <w:hideMark/>
          </w:tcPr>
          <w:p w14:paraId="265AE70E"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0.2</w:t>
            </w:r>
          </w:p>
        </w:tc>
      </w:tr>
      <w:tr w:rsidR="00F77FE5" w:rsidRPr="00F77FE5" w14:paraId="4EF849C2" w14:textId="77777777" w:rsidTr="005A7CAD">
        <w:trPr>
          <w:trHeight w:val="300"/>
        </w:trPr>
        <w:tc>
          <w:tcPr>
            <w:tcW w:w="296" w:type="pct"/>
            <w:tcBorders>
              <w:top w:val="nil"/>
              <w:left w:val="nil"/>
              <w:bottom w:val="nil"/>
              <w:right w:val="nil"/>
            </w:tcBorders>
            <w:shd w:val="clear" w:color="000000" w:fill="FFFFFF"/>
            <w:noWrap/>
            <w:vAlign w:val="center"/>
            <w:hideMark/>
          </w:tcPr>
          <w:p w14:paraId="3801FAF7"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3F0598CB"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SCT</w:t>
            </w:r>
          </w:p>
        </w:tc>
        <w:tc>
          <w:tcPr>
            <w:tcW w:w="640" w:type="pct"/>
            <w:tcBorders>
              <w:top w:val="nil"/>
              <w:left w:val="nil"/>
              <w:bottom w:val="nil"/>
              <w:right w:val="nil"/>
            </w:tcBorders>
            <w:shd w:val="clear" w:color="000000" w:fill="FFFFFF"/>
            <w:noWrap/>
            <w:vAlign w:val="center"/>
            <w:hideMark/>
          </w:tcPr>
          <w:p w14:paraId="54C36D0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98" w:type="pct"/>
            <w:tcBorders>
              <w:top w:val="nil"/>
              <w:left w:val="nil"/>
              <w:bottom w:val="nil"/>
              <w:right w:val="nil"/>
            </w:tcBorders>
            <w:shd w:val="clear" w:color="000000" w:fill="FFFFFF"/>
            <w:noWrap/>
            <w:vAlign w:val="center"/>
          </w:tcPr>
          <w:p w14:paraId="683A71B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000000" w:fill="FFFFFF"/>
            <w:noWrap/>
            <w:vAlign w:val="center"/>
          </w:tcPr>
          <w:p w14:paraId="252A7BD0"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69DCA2B7"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505B439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583D9E8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467DDB9A"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26327CB5"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10 Economía</w:t>
            </w:r>
          </w:p>
        </w:tc>
        <w:tc>
          <w:tcPr>
            <w:tcW w:w="640" w:type="pct"/>
            <w:tcBorders>
              <w:top w:val="nil"/>
              <w:left w:val="nil"/>
              <w:bottom w:val="nil"/>
              <w:right w:val="nil"/>
            </w:tcBorders>
            <w:shd w:val="clear" w:color="auto" w:fill="F2F2F2" w:themeFill="background1" w:themeFillShade="F2"/>
            <w:noWrap/>
            <w:vAlign w:val="center"/>
            <w:hideMark/>
          </w:tcPr>
          <w:p w14:paraId="79E6EE7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16</w:t>
            </w:r>
          </w:p>
        </w:tc>
        <w:tc>
          <w:tcPr>
            <w:tcW w:w="498" w:type="pct"/>
            <w:tcBorders>
              <w:top w:val="nil"/>
              <w:left w:val="nil"/>
              <w:bottom w:val="nil"/>
              <w:right w:val="nil"/>
            </w:tcBorders>
            <w:shd w:val="clear" w:color="auto" w:fill="F2F2F2" w:themeFill="background1" w:themeFillShade="F2"/>
            <w:noWrap/>
            <w:vAlign w:val="center"/>
          </w:tcPr>
          <w:p w14:paraId="2B5631DB"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auto" w:fill="F2F2F2" w:themeFill="background1" w:themeFillShade="F2"/>
            <w:noWrap/>
            <w:vAlign w:val="center"/>
          </w:tcPr>
          <w:p w14:paraId="24C35914"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753D28C8"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auto" w:fill="F2F2F2" w:themeFill="background1" w:themeFillShade="F2"/>
            <w:noWrap/>
            <w:vAlign w:val="center"/>
            <w:hideMark/>
          </w:tcPr>
          <w:p w14:paraId="46527CAA"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16</w:t>
            </w:r>
          </w:p>
        </w:tc>
        <w:tc>
          <w:tcPr>
            <w:tcW w:w="510" w:type="pct"/>
            <w:tcBorders>
              <w:top w:val="nil"/>
              <w:left w:val="nil"/>
              <w:bottom w:val="nil"/>
              <w:right w:val="nil"/>
            </w:tcBorders>
            <w:shd w:val="clear" w:color="auto" w:fill="F2F2F2" w:themeFill="background1" w:themeFillShade="F2"/>
            <w:noWrap/>
            <w:vAlign w:val="center"/>
            <w:hideMark/>
          </w:tcPr>
          <w:p w14:paraId="658550E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3.4</w:t>
            </w:r>
          </w:p>
        </w:tc>
      </w:tr>
      <w:tr w:rsidR="00F77FE5" w:rsidRPr="00F77FE5" w14:paraId="0103D95F" w14:textId="77777777" w:rsidTr="005A7CAD">
        <w:trPr>
          <w:trHeight w:val="300"/>
        </w:trPr>
        <w:tc>
          <w:tcPr>
            <w:tcW w:w="296" w:type="pct"/>
            <w:tcBorders>
              <w:top w:val="nil"/>
              <w:left w:val="nil"/>
              <w:bottom w:val="nil"/>
              <w:right w:val="nil"/>
            </w:tcBorders>
            <w:shd w:val="clear" w:color="000000" w:fill="FFFFFF"/>
            <w:noWrap/>
            <w:vAlign w:val="center"/>
            <w:hideMark/>
          </w:tcPr>
          <w:p w14:paraId="655E7E6E"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752539D8"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PRONAFIM</w:t>
            </w:r>
          </w:p>
        </w:tc>
        <w:tc>
          <w:tcPr>
            <w:tcW w:w="640" w:type="pct"/>
            <w:tcBorders>
              <w:top w:val="nil"/>
              <w:left w:val="nil"/>
              <w:bottom w:val="nil"/>
              <w:right w:val="nil"/>
            </w:tcBorders>
            <w:shd w:val="clear" w:color="000000" w:fill="FFFFFF"/>
            <w:noWrap/>
            <w:vAlign w:val="center"/>
            <w:hideMark/>
          </w:tcPr>
          <w:p w14:paraId="3029054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w:t>
            </w:r>
          </w:p>
        </w:tc>
        <w:tc>
          <w:tcPr>
            <w:tcW w:w="498" w:type="pct"/>
            <w:tcBorders>
              <w:top w:val="nil"/>
              <w:left w:val="nil"/>
              <w:bottom w:val="nil"/>
              <w:right w:val="nil"/>
            </w:tcBorders>
            <w:shd w:val="clear" w:color="000000" w:fill="FFFFFF"/>
            <w:noWrap/>
            <w:vAlign w:val="center"/>
          </w:tcPr>
          <w:p w14:paraId="30BC9810"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000000" w:fill="FFFFFF"/>
            <w:noWrap/>
            <w:vAlign w:val="center"/>
          </w:tcPr>
          <w:p w14:paraId="4E226FC9"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1A2740EC"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6EF25B7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62AC249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610418B1" w14:textId="77777777" w:rsidTr="005A7CAD">
        <w:trPr>
          <w:trHeight w:val="300"/>
        </w:trPr>
        <w:tc>
          <w:tcPr>
            <w:tcW w:w="296" w:type="pct"/>
            <w:tcBorders>
              <w:top w:val="nil"/>
              <w:left w:val="nil"/>
              <w:bottom w:val="nil"/>
              <w:right w:val="nil"/>
            </w:tcBorders>
            <w:shd w:val="clear" w:color="000000" w:fill="FFFFFF"/>
            <w:noWrap/>
            <w:vAlign w:val="center"/>
            <w:hideMark/>
          </w:tcPr>
          <w:p w14:paraId="0BB6CD4F"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7EEF0139"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INADEM</w:t>
            </w:r>
          </w:p>
        </w:tc>
        <w:tc>
          <w:tcPr>
            <w:tcW w:w="640" w:type="pct"/>
            <w:tcBorders>
              <w:top w:val="nil"/>
              <w:left w:val="nil"/>
              <w:bottom w:val="nil"/>
              <w:right w:val="nil"/>
            </w:tcBorders>
            <w:shd w:val="clear" w:color="000000" w:fill="FFFFFF"/>
            <w:noWrap/>
            <w:vAlign w:val="center"/>
            <w:hideMark/>
          </w:tcPr>
          <w:p w14:paraId="320EF5E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498" w:type="pct"/>
            <w:tcBorders>
              <w:top w:val="nil"/>
              <w:left w:val="nil"/>
              <w:bottom w:val="nil"/>
              <w:right w:val="nil"/>
            </w:tcBorders>
            <w:shd w:val="clear" w:color="000000" w:fill="FFFFFF"/>
            <w:noWrap/>
            <w:vAlign w:val="center"/>
          </w:tcPr>
          <w:p w14:paraId="02FBBF3D"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000000" w:fill="FFFFFF"/>
            <w:noWrap/>
            <w:vAlign w:val="center"/>
          </w:tcPr>
          <w:p w14:paraId="0EE43C5D"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64EC6DEA"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5D418857"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361865B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4BF729F6" w14:textId="77777777" w:rsidTr="005A7CAD">
        <w:trPr>
          <w:trHeight w:val="300"/>
        </w:trPr>
        <w:tc>
          <w:tcPr>
            <w:tcW w:w="296" w:type="pct"/>
            <w:tcBorders>
              <w:top w:val="nil"/>
              <w:left w:val="nil"/>
              <w:bottom w:val="nil"/>
              <w:right w:val="nil"/>
            </w:tcBorders>
            <w:shd w:val="clear" w:color="000000" w:fill="FFFFFF"/>
            <w:noWrap/>
            <w:vAlign w:val="center"/>
            <w:hideMark/>
          </w:tcPr>
          <w:p w14:paraId="75342300"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6C2FBBFF"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PROFECO</w:t>
            </w:r>
          </w:p>
        </w:tc>
        <w:tc>
          <w:tcPr>
            <w:tcW w:w="640" w:type="pct"/>
            <w:tcBorders>
              <w:top w:val="nil"/>
              <w:left w:val="nil"/>
              <w:bottom w:val="nil"/>
              <w:right w:val="nil"/>
            </w:tcBorders>
            <w:shd w:val="clear" w:color="000000" w:fill="FFFFFF"/>
            <w:noWrap/>
            <w:vAlign w:val="center"/>
            <w:hideMark/>
          </w:tcPr>
          <w:p w14:paraId="7E4C0F5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3</w:t>
            </w:r>
          </w:p>
        </w:tc>
        <w:tc>
          <w:tcPr>
            <w:tcW w:w="498" w:type="pct"/>
            <w:tcBorders>
              <w:top w:val="nil"/>
              <w:left w:val="nil"/>
              <w:bottom w:val="nil"/>
              <w:right w:val="nil"/>
            </w:tcBorders>
            <w:shd w:val="clear" w:color="000000" w:fill="FFFFFF"/>
            <w:noWrap/>
            <w:vAlign w:val="center"/>
          </w:tcPr>
          <w:p w14:paraId="46F621A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000000" w:fill="FFFFFF"/>
            <w:noWrap/>
            <w:vAlign w:val="center"/>
          </w:tcPr>
          <w:p w14:paraId="6B75C66D"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204A3DBC"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5B2F0BC5"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36E3606E"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3AAC1EA9" w14:textId="77777777" w:rsidTr="005A7CAD">
        <w:trPr>
          <w:trHeight w:val="300"/>
        </w:trPr>
        <w:tc>
          <w:tcPr>
            <w:tcW w:w="296" w:type="pct"/>
            <w:tcBorders>
              <w:top w:val="nil"/>
              <w:left w:val="nil"/>
              <w:bottom w:val="nil"/>
              <w:right w:val="nil"/>
            </w:tcBorders>
            <w:shd w:val="clear" w:color="000000" w:fill="FFFFFF"/>
            <w:noWrap/>
            <w:vAlign w:val="center"/>
            <w:hideMark/>
          </w:tcPr>
          <w:p w14:paraId="64119F93"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1323C91C"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SE</w:t>
            </w:r>
          </w:p>
        </w:tc>
        <w:tc>
          <w:tcPr>
            <w:tcW w:w="640" w:type="pct"/>
            <w:tcBorders>
              <w:top w:val="nil"/>
              <w:left w:val="nil"/>
              <w:bottom w:val="nil"/>
              <w:right w:val="nil"/>
            </w:tcBorders>
            <w:shd w:val="clear" w:color="000000" w:fill="FFFFFF"/>
            <w:noWrap/>
            <w:vAlign w:val="center"/>
            <w:hideMark/>
          </w:tcPr>
          <w:p w14:paraId="5EE6F091"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7</w:t>
            </w:r>
          </w:p>
        </w:tc>
        <w:tc>
          <w:tcPr>
            <w:tcW w:w="498" w:type="pct"/>
            <w:tcBorders>
              <w:top w:val="nil"/>
              <w:left w:val="nil"/>
              <w:bottom w:val="nil"/>
              <w:right w:val="nil"/>
            </w:tcBorders>
            <w:shd w:val="clear" w:color="000000" w:fill="FFFFFF"/>
            <w:noWrap/>
            <w:vAlign w:val="center"/>
          </w:tcPr>
          <w:p w14:paraId="5CA7C9C2"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000000" w:fill="FFFFFF"/>
            <w:noWrap/>
            <w:vAlign w:val="center"/>
          </w:tcPr>
          <w:p w14:paraId="2BF40493"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4B6040DC"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46A5205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47D7BE4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63E4FED4"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782103F2"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11 Educación Pública</w:t>
            </w:r>
          </w:p>
        </w:tc>
        <w:tc>
          <w:tcPr>
            <w:tcW w:w="640" w:type="pct"/>
            <w:tcBorders>
              <w:top w:val="nil"/>
              <w:left w:val="nil"/>
              <w:bottom w:val="nil"/>
              <w:right w:val="nil"/>
            </w:tcBorders>
            <w:shd w:val="clear" w:color="auto" w:fill="F2F2F2" w:themeFill="background1" w:themeFillShade="F2"/>
            <w:noWrap/>
            <w:vAlign w:val="center"/>
            <w:hideMark/>
          </w:tcPr>
          <w:p w14:paraId="25A150DA"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79</w:t>
            </w:r>
          </w:p>
        </w:tc>
        <w:tc>
          <w:tcPr>
            <w:tcW w:w="498" w:type="pct"/>
            <w:tcBorders>
              <w:top w:val="nil"/>
              <w:left w:val="nil"/>
              <w:bottom w:val="nil"/>
              <w:right w:val="nil"/>
            </w:tcBorders>
            <w:shd w:val="clear" w:color="auto" w:fill="F2F2F2" w:themeFill="background1" w:themeFillShade="F2"/>
            <w:noWrap/>
            <w:vAlign w:val="center"/>
            <w:hideMark/>
          </w:tcPr>
          <w:p w14:paraId="38A7917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10</w:t>
            </w:r>
          </w:p>
        </w:tc>
        <w:tc>
          <w:tcPr>
            <w:tcW w:w="639" w:type="pct"/>
            <w:tcBorders>
              <w:top w:val="nil"/>
              <w:left w:val="nil"/>
              <w:bottom w:val="nil"/>
              <w:right w:val="nil"/>
            </w:tcBorders>
            <w:shd w:val="clear" w:color="auto" w:fill="F2F2F2" w:themeFill="background1" w:themeFillShade="F2"/>
            <w:noWrap/>
            <w:vAlign w:val="center"/>
          </w:tcPr>
          <w:p w14:paraId="0F835227"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3BF35B30"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auto" w:fill="F2F2F2" w:themeFill="background1" w:themeFillShade="F2"/>
            <w:noWrap/>
            <w:vAlign w:val="center"/>
            <w:hideMark/>
          </w:tcPr>
          <w:p w14:paraId="01FE230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89</w:t>
            </w:r>
          </w:p>
        </w:tc>
        <w:tc>
          <w:tcPr>
            <w:tcW w:w="510" w:type="pct"/>
            <w:tcBorders>
              <w:top w:val="nil"/>
              <w:left w:val="nil"/>
              <w:bottom w:val="nil"/>
              <w:right w:val="nil"/>
            </w:tcBorders>
            <w:shd w:val="clear" w:color="auto" w:fill="F2F2F2" w:themeFill="background1" w:themeFillShade="F2"/>
            <w:noWrap/>
            <w:vAlign w:val="center"/>
            <w:hideMark/>
          </w:tcPr>
          <w:p w14:paraId="0D93385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18.7</w:t>
            </w:r>
          </w:p>
        </w:tc>
      </w:tr>
      <w:tr w:rsidR="00F77FE5" w:rsidRPr="00F77FE5" w14:paraId="7B8C72AA" w14:textId="77777777" w:rsidTr="005A7CAD">
        <w:trPr>
          <w:trHeight w:val="300"/>
        </w:trPr>
        <w:tc>
          <w:tcPr>
            <w:tcW w:w="296" w:type="pct"/>
            <w:tcBorders>
              <w:top w:val="nil"/>
              <w:left w:val="nil"/>
              <w:bottom w:val="nil"/>
              <w:right w:val="nil"/>
            </w:tcBorders>
            <w:shd w:val="clear" w:color="000000" w:fill="FFFFFF"/>
            <w:noWrap/>
            <w:vAlign w:val="center"/>
            <w:hideMark/>
          </w:tcPr>
          <w:p w14:paraId="6310F5B6"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1CAF3A22"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CONADE</w:t>
            </w:r>
          </w:p>
        </w:tc>
        <w:tc>
          <w:tcPr>
            <w:tcW w:w="640" w:type="pct"/>
            <w:tcBorders>
              <w:top w:val="nil"/>
              <w:left w:val="nil"/>
              <w:bottom w:val="nil"/>
              <w:right w:val="nil"/>
            </w:tcBorders>
            <w:shd w:val="clear" w:color="000000" w:fill="FFFFFF"/>
            <w:noWrap/>
            <w:vAlign w:val="center"/>
            <w:hideMark/>
          </w:tcPr>
          <w:p w14:paraId="0955FD3A"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3</w:t>
            </w:r>
          </w:p>
        </w:tc>
        <w:tc>
          <w:tcPr>
            <w:tcW w:w="498" w:type="pct"/>
            <w:tcBorders>
              <w:top w:val="nil"/>
              <w:left w:val="nil"/>
              <w:bottom w:val="nil"/>
              <w:right w:val="nil"/>
            </w:tcBorders>
            <w:shd w:val="clear" w:color="000000" w:fill="FFFFFF"/>
            <w:noWrap/>
            <w:vAlign w:val="center"/>
          </w:tcPr>
          <w:p w14:paraId="42E04980"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000000" w:fill="FFFFFF"/>
            <w:noWrap/>
            <w:vAlign w:val="center"/>
          </w:tcPr>
          <w:p w14:paraId="31708C84"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45CB75B3"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296F346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2A39841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0D9AA3C7" w14:textId="77777777" w:rsidTr="005A7CAD">
        <w:trPr>
          <w:trHeight w:val="300"/>
        </w:trPr>
        <w:tc>
          <w:tcPr>
            <w:tcW w:w="296" w:type="pct"/>
            <w:tcBorders>
              <w:top w:val="nil"/>
              <w:left w:val="nil"/>
              <w:bottom w:val="nil"/>
              <w:right w:val="nil"/>
            </w:tcBorders>
            <w:shd w:val="clear" w:color="000000" w:fill="FFFFFF"/>
            <w:noWrap/>
            <w:vAlign w:val="center"/>
            <w:hideMark/>
          </w:tcPr>
          <w:p w14:paraId="5617D293"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6AF6441E"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CONAFE</w:t>
            </w:r>
          </w:p>
        </w:tc>
        <w:tc>
          <w:tcPr>
            <w:tcW w:w="640" w:type="pct"/>
            <w:tcBorders>
              <w:top w:val="nil"/>
              <w:left w:val="nil"/>
              <w:bottom w:val="nil"/>
              <w:right w:val="nil"/>
            </w:tcBorders>
            <w:shd w:val="clear" w:color="000000" w:fill="FFFFFF"/>
            <w:noWrap/>
            <w:vAlign w:val="center"/>
            <w:hideMark/>
          </w:tcPr>
          <w:p w14:paraId="04A0104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98" w:type="pct"/>
            <w:tcBorders>
              <w:top w:val="nil"/>
              <w:left w:val="nil"/>
              <w:bottom w:val="nil"/>
              <w:right w:val="nil"/>
            </w:tcBorders>
            <w:shd w:val="clear" w:color="000000" w:fill="FFFFFF"/>
            <w:noWrap/>
            <w:vAlign w:val="center"/>
          </w:tcPr>
          <w:p w14:paraId="0B9C9A68"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000000" w:fill="FFFFFF"/>
            <w:noWrap/>
            <w:vAlign w:val="center"/>
          </w:tcPr>
          <w:p w14:paraId="11DC46E0"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4A97B09A"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385EEAB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2C60835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1B064459" w14:textId="77777777" w:rsidTr="005A7CAD">
        <w:trPr>
          <w:trHeight w:val="300"/>
        </w:trPr>
        <w:tc>
          <w:tcPr>
            <w:tcW w:w="296" w:type="pct"/>
            <w:tcBorders>
              <w:top w:val="nil"/>
              <w:left w:val="nil"/>
              <w:bottom w:val="nil"/>
              <w:right w:val="nil"/>
            </w:tcBorders>
            <w:shd w:val="clear" w:color="000000" w:fill="FFFFFF"/>
            <w:noWrap/>
            <w:vAlign w:val="center"/>
            <w:hideMark/>
          </w:tcPr>
          <w:p w14:paraId="0089CB9C"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4154C9A2"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INEA</w:t>
            </w:r>
          </w:p>
        </w:tc>
        <w:tc>
          <w:tcPr>
            <w:tcW w:w="640" w:type="pct"/>
            <w:tcBorders>
              <w:top w:val="nil"/>
              <w:left w:val="nil"/>
              <w:bottom w:val="nil"/>
              <w:right w:val="nil"/>
            </w:tcBorders>
            <w:shd w:val="clear" w:color="000000" w:fill="FFFFFF"/>
            <w:noWrap/>
            <w:vAlign w:val="center"/>
            <w:hideMark/>
          </w:tcPr>
          <w:p w14:paraId="6CC81AE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98" w:type="pct"/>
            <w:tcBorders>
              <w:top w:val="nil"/>
              <w:left w:val="nil"/>
              <w:bottom w:val="nil"/>
              <w:right w:val="nil"/>
            </w:tcBorders>
            <w:shd w:val="clear" w:color="000000" w:fill="FFFFFF"/>
            <w:noWrap/>
            <w:vAlign w:val="center"/>
            <w:hideMark/>
          </w:tcPr>
          <w:p w14:paraId="53BCE70F"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000000" w:fill="FFFFFF"/>
            <w:noWrap/>
            <w:vAlign w:val="center"/>
          </w:tcPr>
          <w:p w14:paraId="10F90DE2"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3D964C00"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49EE7EF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5D8A3B0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5568A121" w14:textId="77777777" w:rsidTr="005A7CAD">
        <w:trPr>
          <w:trHeight w:val="300"/>
        </w:trPr>
        <w:tc>
          <w:tcPr>
            <w:tcW w:w="296" w:type="pct"/>
            <w:tcBorders>
              <w:top w:val="nil"/>
              <w:left w:val="nil"/>
              <w:bottom w:val="nil"/>
              <w:right w:val="nil"/>
            </w:tcBorders>
            <w:shd w:val="clear" w:color="000000" w:fill="FFFFFF"/>
            <w:noWrap/>
            <w:vAlign w:val="center"/>
            <w:hideMark/>
          </w:tcPr>
          <w:p w14:paraId="5A78B989"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6472A73E"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SEP</w:t>
            </w:r>
          </w:p>
        </w:tc>
        <w:tc>
          <w:tcPr>
            <w:tcW w:w="640" w:type="pct"/>
            <w:tcBorders>
              <w:top w:val="nil"/>
              <w:left w:val="nil"/>
              <w:bottom w:val="nil"/>
              <w:right w:val="nil"/>
            </w:tcBorders>
            <w:shd w:val="clear" w:color="000000" w:fill="FFFFFF"/>
            <w:noWrap/>
            <w:vAlign w:val="center"/>
            <w:hideMark/>
          </w:tcPr>
          <w:p w14:paraId="1D86D3A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74</w:t>
            </w:r>
          </w:p>
        </w:tc>
        <w:tc>
          <w:tcPr>
            <w:tcW w:w="498" w:type="pct"/>
            <w:tcBorders>
              <w:top w:val="nil"/>
              <w:left w:val="nil"/>
              <w:bottom w:val="nil"/>
              <w:right w:val="nil"/>
            </w:tcBorders>
            <w:shd w:val="clear" w:color="000000" w:fill="FFFFFF"/>
            <w:noWrap/>
            <w:vAlign w:val="center"/>
            <w:hideMark/>
          </w:tcPr>
          <w:p w14:paraId="5871CD1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10</w:t>
            </w:r>
          </w:p>
        </w:tc>
        <w:tc>
          <w:tcPr>
            <w:tcW w:w="639" w:type="pct"/>
            <w:tcBorders>
              <w:top w:val="nil"/>
              <w:left w:val="nil"/>
              <w:bottom w:val="nil"/>
              <w:right w:val="nil"/>
            </w:tcBorders>
            <w:shd w:val="clear" w:color="000000" w:fill="FFFFFF"/>
            <w:noWrap/>
            <w:vAlign w:val="center"/>
          </w:tcPr>
          <w:p w14:paraId="20D599AA"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3D74CBFA"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44C1F8A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606D1FC5"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5DDD6544"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29FA63A7"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12 Salud</w:t>
            </w:r>
          </w:p>
        </w:tc>
        <w:tc>
          <w:tcPr>
            <w:tcW w:w="640" w:type="pct"/>
            <w:tcBorders>
              <w:top w:val="nil"/>
              <w:left w:val="nil"/>
              <w:bottom w:val="nil"/>
              <w:right w:val="nil"/>
            </w:tcBorders>
            <w:shd w:val="clear" w:color="auto" w:fill="F2F2F2" w:themeFill="background1" w:themeFillShade="F2"/>
            <w:noWrap/>
            <w:vAlign w:val="center"/>
            <w:hideMark/>
          </w:tcPr>
          <w:p w14:paraId="05CDD065"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31</w:t>
            </w:r>
          </w:p>
        </w:tc>
        <w:tc>
          <w:tcPr>
            <w:tcW w:w="498" w:type="pct"/>
            <w:tcBorders>
              <w:top w:val="nil"/>
              <w:left w:val="nil"/>
              <w:bottom w:val="nil"/>
              <w:right w:val="nil"/>
            </w:tcBorders>
            <w:shd w:val="clear" w:color="auto" w:fill="F2F2F2" w:themeFill="background1" w:themeFillShade="F2"/>
            <w:noWrap/>
            <w:vAlign w:val="center"/>
            <w:hideMark/>
          </w:tcPr>
          <w:p w14:paraId="43C0542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3</w:t>
            </w:r>
          </w:p>
        </w:tc>
        <w:tc>
          <w:tcPr>
            <w:tcW w:w="639" w:type="pct"/>
            <w:tcBorders>
              <w:top w:val="nil"/>
              <w:left w:val="nil"/>
              <w:bottom w:val="nil"/>
              <w:right w:val="nil"/>
            </w:tcBorders>
            <w:shd w:val="clear" w:color="auto" w:fill="F2F2F2" w:themeFill="background1" w:themeFillShade="F2"/>
            <w:noWrap/>
            <w:vAlign w:val="center"/>
          </w:tcPr>
          <w:p w14:paraId="446A7055"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42643DE0"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auto" w:fill="F2F2F2" w:themeFill="background1" w:themeFillShade="F2"/>
            <w:noWrap/>
            <w:vAlign w:val="center"/>
            <w:hideMark/>
          </w:tcPr>
          <w:p w14:paraId="1AA6A1C7"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34</w:t>
            </w:r>
          </w:p>
        </w:tc>
        <w:tc>
          <w:tcPr>
            <w:tcW w:w="510" w:type="pct"/>
            <w:tcBorders>
              <w:top w:val="nil"/>
              <w:left w:val="nil"/>
              <w:bottom w:val="nil"/>
              <w:right w:val="nil"/>
            </w:tcBorders>
            <w:shd w:val="clear" w:color="auto" w:fill="F2F2F2" w:themeFill="background1" w:themeFillShade="F2"/>
            <w:noWrap/>
            <w:vAlign w:val="center"/>
            <w:hideMark/>
          </w:tcPr>
          <w:p w14:paraId="05991C4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7.1</w:t>
            </w:r>
          </w:p>
        </w:tc>
      </w:tr>
      <w:tr w:rsidR="00F77FE5" w:rsidRPr="00F77FE5" w14:paraId="5FC35CD1" w14:textId="77777777" w:rsidTr="005A7CAD">
        <w:trPr>
          <w:trHeight w:val="300"/>
        </w:trPr>
        <w:tc>
          <w:tcPr>
            <w:tcW w:w="296" w:type="pct"/>
            <w:tcBorders>
              <w:top w:val="nil"/>
              <w:left w:val="nil"/>
              <w:bottom w:val="nil"/>
              <w:right w:val="nil"/>
            </w:tcBorders>
            <w:shd w:val="clear" w:color="000000" w:fill="FFFFFF"/>
            <w:noWrap/>
            <w:vAlign w:val="center"/>
            <w:hideMark/>
          </w:tcPr>
          <w:p w14:paraId="1182CD61"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620DB663"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CNPSS</w:t>
            </w:r>
          </w:p>
        </w:tc>
        <w:tc>
          <w:tcPr>
            <w:tcW w:w="640" w:type="pct"/>
            <w:tcBorders>
              <w:top w:val="nil"/>
              <w:left w:val="nil"/>
              <w:bottom w:val="nil"/>
              <w:right w:val="nil"/>
            </w:tcBorders>
            <w:shd w:val="clear" w:color="000000" w:fill="FFFFFF"/>
            <w:noWrap/>
            <w:vAlign w:val="center"/>
            <w:hideMark/>
          </w:tcPr>
          <w:p w14:paraId="431ADDFD"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w:t>
            </w:r>
          </w:p>
        </w:tc>
        <w:tc>
          <w:tcPr>
            <w:tcW w:w="498" w:type="pct"/>
            <w:tcBorders>
              <w:top w:val="nil"/>
              <w:left w:val="nil"/>
              <w:bottom w:val="nil"/>
              <w:right w:val="nil"/>
            </w:tcBorders>
            <w:shd w:val="clear" w:color="000000" w:fill="FFFFFF"/>
            <w:noWrap/>
            <w:vAlign w:val="center"/>
            <w:hideMark/>
          </w:tcPr>
          <w:p w14:paraId="78C30D92"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000000" w:fill="FFFFFF"/>
            <w:noWrap/>
            <w:vAlign w:val="center"/>
          </w:tcPr>
          <w:p w14:paraId="6DEC91FF"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27A9DC7F"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3A7CCD87"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60E5824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73BEC9E1" w14:textId="77777777" w:rsidTr="005A7CAD">
        <w:trPr>
          <w:trHeight w:val="300"/>
        </w:trPr>
        <w:tc>
          <w:tcPr>
            <w:tcW w:w="296" w:type="pct"/>
            <w:tcBorders>
              <w:top w:val="nil"/>
              <w:left w:val="nil"/>
              <w:bottom w:val="nil"/>
              <w:right w:val="nil"/>
            </w:tcBorders>
            <w:shd w:val="clear" w:color="000000" w:fill="FFFFFF"/>
            <w:noWrap/>
            <w:vAlign w:val="center"/>
            <w:hideMark/>
          </w:tcPr>
          <w:p w14:paraId="64CCB044"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1B930197"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SALUD</w:t>
            </w:r>
          </w:p>
        </w:tc>
        <w:tc>
          <w:tcPr>
            <w:tcW w:w="640" w:type="pct"/>
            <w:tcBorders>
              <w:top w:val="nil"/>
              <w:left w:val="nil"/>
              <w:bottom w:val="nil"/>
              <w:right w:val="nil"/>
            </w:tcBorders>
            <w:shd w:val="clear" w:color="000000" w:fill="FFFFFF"/>
            <w:noWrap/>
            <w:vAlign w:val="center"/>
            <w:hideMark/>
          </w:tcPr>
          <w:p w14:paraId="71B0AC0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16</w:t>
            </w:r>
          </w:p>
        </w:tc>
        <w:tc>
          <w:tcPr>
            <w:tcW w:w="498" w:type="pct"/>
            <w:tcBorders>
              <w:top w:val="nil"/>
              <w:left w:val="nil"/>
              <w:bottom w:val="nil"/>
              <w:right w:val="nil"/>
            </w:tcBorders>
            <w:shd w:val="clear" w:color="000000" w:fill="FFFFFF"/>
            <w:noWrap/>
            <w:vAlign w:val="center"/>
            <w:hideMark/>
          </w:tcPr>
          <w:p w14:paraId="21C3C4B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639" w:type="pct"/>
            <w:tcBorders>
              <w:top w:val="nil"/>
              <w:left w:val="nil"/>
              <w:bottom w:val="nil"/>
              <w:right w:val="nil"/>
            </w:tcBorders>
            <w:shd w:val="clear" w:color="000000" w:fill="FFFFFF"/>
            <w:noWrap/>
            <w:vAlign w:val="center"/>
          </w:tcPr>
          <w:p w14:paraId="6E5F2B73"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5412BBBC"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6DB8F6E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6BE60E4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48B68621" w14:textId="77777777" w:rsidTr="005A7CAD">
        <w:trPr>
          <w:trHeight w:val="300"/>
        </w:trPr>
        <w:tc>
          <w:tcPr>
            <w:tcW w:w="296" w:type="pct"/>
            <w:tcBorders>
              <w:top w:val="nil"/>
              <w:left w:val="nil"/>
              <w:bottom w:val="nil"/>
              <w:right w:val="nil"/>
            </w:tcBorders>
            <w:shd w:val="clear" w:color="000000" w:fill="FFFFFF"/>
            <w:noWrap/>
            <w:vAlign w:val="center"/>
            <w:hideMark/>
          </w:tcPr>
          <w:p w14:paraId="7953A1F7"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187969DC"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DIF</w:t>
            </w:r>
          </w:p>
        </w:tc>
        <w:tc>
          <w:tcPr>
            <w:tcW w:w="640" w:type="pct"/>
            <w:tcBorders>
              <w:top w:val="nil"/>
              <w:left w:val="nil"/>
              <w:bottom w:val="nil"/>
              <w:right w:val="nil"/>
            </w:tcBorders>
            <w:shd w:val="clear" w:color="000000" w:fill="FFFFFF"/>
            <w:noWrap/>
            <w:vAlign w:val="center"/>
            <w:hideMark/>
          </w:tcPr>
          <w:p w14:paraId="04DECA6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11</w:t>
            </w:r>
          </w:p>
        </w:tc>
        <w:tc>
          <w:tcPr>
            <w:tcW w:w="498" w:type="pct"/>
            <w:tcBorders>
              <w:top w:val="nil"/>
              <w:left w:val="nil"/>
              <w:bottom w:val="nil"/>
              <w:right w:val="nil"/>
            </w:tcBorders>
            <w:shd w:val="clear" w:color="000000" w:fill="FFFFFF"/>
            <w:noWrap/>
            <w:vAlign w:val="center"/>
            <w:hideMark/>
          </w:tcPr>
          <w:p w14:paraId="7207B51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639" w:type="pct"/>
            <w:tcBorders>
              <w:top w:val="nil"/>
              <w:left w:val="nil"/>
              <w:bottom w:val="nil"/>
              <w:right w:val="nil"/>
            </w:tcBorders>
            <w:shd w:val="clear" w:color="000000" w:fill="FFFFFF"/>
            <w:noWrap/>
            <w:vAlign w:val="center"/>
          </w:tcPr>
          <w:p w14:paraId="2CBA63B5"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058FED73"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7D950E5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5A534CC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32CD6FCB"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1D446D2B"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14 Trabajo y Previsión Social</w:t>
            </w:r>
          </w:p>
        </w:tc>
        <w:tc>
          <w:tcPr>
            <w:tcW w:w="640" w:type="pct"/>
            <w:tcBorders>
              <w:top w:val="nil"/>
              <w:left w:val="nil"/>
              <w:bottom w:val="nil"/>
              <w:right w:val="nil"/>
            </w:tcBorders>
            <w:shd w:val="clear" w:color="auto" w:fill="F2F2F2" w:themeFill="background1" w:themeFillShade="F2"/>
            <w:noWrap/>
            <w:vAlign w:val="center"/>
            <w:hideMark/>
          </w:tcPr>
          <w:p w14:paraId="651CC18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8</w:t>
            </w:r>
          </w:p>
        </w:tc>
        <w:tc>
          <w:tcPr>
            <w:tcW w:w="498" w:type="pct"/>
            <w:tcBorders>
              <w:top w:val="nil"/>
              <w:left w:val="nil"/>
              <w:bottom w:val="nil"/>
              <w:right w:val="nil"/>
            </w:tcBorders>
            <w:shd w:val="clear" w:color="auto" w:fill="F2F2F2" w:themeFill="background1" w:themeFillShade="F2"/>
            <w:noWrap/>
            <w:vAlign w:val="center"/>
            <w:hideMark/>
          </w:tcPr>
          <w:p w14:paraId="1B39D0CF"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auto" w:fill="F2F2F2" w:themeFill="background1" w:themeFillShade="F2"/>
            <w:noWrap/>
            <w:vAlign w:val="center"/>
          </w:tcPr>
          <w:p w14:paraId="140C4A7A"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3691E36B"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auto" w:fill="F2F2F2" w:themeFill="background1" w:themeFillShade="F2"/>
            <w:noWrap/>
            <w:vAlign w:val="center"/>
            <w:hideMark/>
          </w:tcPr>
          <w:p w14:paraId="15CE431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8</w:t>
            </w:r>
          </w:p>
        </w:tc>
        <w:tc>
          <w:tcPr>
            <w:tcW w:w="510" w:type="pct"/>
            <w:tcBorders>
              <w:top w:val="nil"/>
              <w:left w:val="nil"/>
              <w:bottom w:val="nil"/>
              <w:right w:val="nil"/>
            </w:tcBorders>
            <w:shd w:val="clear" w:color="auto" w:fill="F2F2F2" w:themeFill="background1" w:themeFillShade="F2"/>
            <w:noWrap/>
            <w:vAlign w:val="center"/>
            <w:hideMark/>
          </w:tcPr>
          <w:p w14:paraId="24F053D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1.7</w:t>
            </w:r>
          </w:p>
        </w:tc>
      </w:tr>
      <w:tr w:rsidR="00F77FE5" w:rsidRPr="00F77FE5" w14:paraId="68857ED7" w14:textId="77777777" w:rsidTr="005A7CAD">
        <w:trPr>
          <w:trHeight w:val="300"/>
        </w:trPr>
        <w:tc>
          <w:tcPr>
            <w:tcW w:w="296" w:type="pct"/>
            <w:tcBorders>
              <w:top w:val="nil"/>
              <w:left w:val="nil"/>
              <w:bottom w:val="nil"/>
              <w:right w:val="nil"/>
            </w:tcBorders>
            <w:shd w:val="clear" w:color="000000" w:fill="FFFFFF"/>
            <w:noWrap/>
            <w:vAlign w:val="center"/>
            <w:hideMark/>
          </w:tcPr>
          <w:p w14:paraId="0E468EEC"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43E5B4D9"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STPS</w:t>
            </w:r>
          </w:p>
        </w:tc>
        <w:tc>
          <w:tcPr>
            <w:tcW w:w="640" w:type="pct"/>
            <w:tcBorders>
              <w:top w:val="nil"/>
              <w:left w:val="nil"/>
              <w:bottom w:val="nil"/>
              <w:right w:val="nil"/>
            </w:tcBorders>
            <w:shd w:val="clear" w:color="000000" w:fill="FFFFFF"/>
            <w:noWrap/>
            <w:vAlign w:val="center"/>
            <w:hideMark/>
          </w:tcPr>
          <w:p w14:paraId="5E57BCC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8</w:t>
            </w:r>
          </w:p>
        </w:tc>
        <w:tc>
          <w:tcPr>
            <w:tcW w:w="498" w:type="pct"/>
            <w:tcBorders>
              <w:top w:val="nil"/>
              <w:left w:val="nil"/>
              <w:bottom w:val="nil"/>
              <w:right w:val="nil"/>
            </w:tcBorders>
            <w:shd w:val="clear" w:color="000000" w:fill="FFFFFF"/>
            <w:noWrap/>
            <w:vAlign w:val="center"/>
            <w:hideMark/>
          </w:tcPr>
          <w:p w14:paraId="66F0FC5F"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000000" w:fill="FFFFFF"/>
            <w:noWrap/>
            <w:vAlign w:val="center"/>
          </w:tcPr>
          <w:p w14:paraId="460EB48F"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3D31A8F1"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352AFAF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4CEAD8A1"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18D513F9"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645FDC97"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15 Desarrollo Agrario, Territorial y Urbano</w:t>
            </w:r>
          </w:p>
        </w:tc>
        <w:tc>
          <w:tcPr>
            <w:tcW w:w="640" w:type="pct"/>
            <w:tcBorders>
              <w:top w:val="nil"/>
              <w:left w:val="nil"/>
              <w:bottom w:val="nil"/>
              <w:right w:val="nil"/>
            </w:tcBorders>
            <w:shd w:val="clear" w:color="auto" w:fill="F2F2F2" w:themeFill="background1" w:themeFillShade="F2"/>
            <w:noWrap/>
            <w:vAlign w:val="center"/>
            <w:hideMark/>
          </w:tcPr>
          <w:p w14:paraId="4C9E6891"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10</w:t>
            </w:r>
          </w:p>
        </w:tc>
        <w:tc>
          <w:tcPr>
            <w:tcW w:w="498" w:type="pct"/>
            <w:tcBorders>
              <w:top w:val="nil"/>
              <w:left w:val="nil"/>
              <w:bottom w:val="nil"/>
              <w:right w:val="nil"/>
            </w:tcBorders>
            <w:shd w:val="clear" w:color="auto" w:fill="F2F2F2" w:themeFill="background1" w:themeFillShade="F2"/>
            <w:noWrap/>
            <w:vAlign w:val="center"/>
            <w:hideMark/>
          </w:tcPr>
          <w:p w14:paraId="741E691A"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9</w:t>
            </w:r>
          </w:p>
        </w:tc>
        <w:tc>
          <w:tcPr>
            <w:tcW w:w="639" w:type="pct"/>
            <w:tcBorders>
              <w:top w:val="nil"/>
              <w:left w:val="nil"/>
              <w:bottom w:val="nil"/>
              <w:right w:val="nil"/>
            </w:tcBorders>
            <w:shd w:val="clear" w:color="auto" w:fill="F2F2F2" w:themeFill="background1" w:themeFillShade="F2"/>
            <w:noWrap/>
            <w:vAlign w:val="center"/>
          </w:tcPr>
          <w:p w14:paraId="4DB2EFE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64AA224B"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auto" w:fill="F2F2F2" w:themeFill="background1" w:themeFillShade="F2"/>
            <w:noWrap/>
            <w:vAlign w:val="center"/>
            <w:hideMark/>
          </w:tcPr>
          <w:p w14:paraId="6DF28BF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19</w:t>
            </w:r>
          </w:p>
        </w:tc>
        <w:tc>
          <w:tcPr>
            <w:tcW w:w="510" w:type="pct"/>
            <w:tcBorders>
              <w:top w:val="nil"/>
              <w:left w:val="nil"/>
              <w:bottom w:val="nil"/>
              <w:right w:val="nil"/>
            </w:tcBorders>
            <w:shd w:val="clear" w:color="auto" w:fill="F2F2F2" w:themeFill="background1" w:themeFillShade="F2"/>
            <w:noWrap/>
            <w:vAlign w:val="center"/>
            <w:hideMark/>
          </w:tcPr>
          <w:p w14:paraId="0CF11C3D"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4.0</w:t>
            </w:r>
          </w:p>
        </w:tc>
      </w:tr>
      <w:tr w:rsidR="00F77FE5" w:rsidRPr="00F77FE5" w14:paraId="7EB702FA" w14:textId="77777777" w:rsidTr="005A7CAD">
        <w:trPr>
          <w:trHeight w:val="300"/>
        </w:trPr>
        <w:tc>
          <w:tcPr>
            <w:tcW w:w="296" w:type="pct"/>
            <w:tcBorders>
              <w:top w:val="nil"/>
              <w:left w:val="nil"/>
              <w:bottom w:val="nil"/>
              <w:right w:val="nil"/>
            </w:tcBorders>
            <w:shd w:val="clear" w:color="000000" w:fill="FFFFFF"/>
            <w:noWrap/>
            <w:vAlign w:val="center"/>
            <w:hideMark/>
          </w:tcPr>
          <w:p w14:paraId="416BF9B2"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6656EB04"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CONAVI</w:t>
            </w:r>
          </w:p>
        </w:tc>
        <w:tc>
          <w:tcPr>
            <w:tcW w:w="640" w:type="pct"/>
            <w:tcBorders>
              <w:top w:val="nil"/>
              <w:left w:val="nil"/>
              <w:bottom w:val="nil"/>
              <w:right w:val="nil"/>
            </w:tcBorders>
            <w:shd w:val="clear" w:color="000000" w:fill="FFFFFF"/>
            <w:noWrap/>
            <w:vAlign w:val="center"/>
            <w:hideMark/>
          </w:tcPr>
          <w:p w14:paraId="2F82F1FD"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98" w:type="pct"/>
            <w:tcBorders>
              <w:top w:val="nil"/>
              <w:left w:val="nil"/>
              <w:bottom w:val="nil"/>
              <w:right w:val="nil"/>
            </w:tcBorders>
            <w:shd w:val="clear" w:color="000000" w:fill="FFFFFF"/>
            <w:noWrap/>
            <w:vAlign w:val="center"/>
            <w:hideMark/>
          </w:tcPr>
          <w:p w14:paraId="4D8A423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000000" w:fill="FFFFFF"/>
            <w:noWrap/>
            <w:vAlign w:val="center"/>
          </w:tcPr>
          <w:p w14:paraId="4C1B0083"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42EF74D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7762080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06DA45DE"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1AE14A52" w14:textId="77777777" w:rsidTr="005A7CAD">
        <w:trPr>
          <w:trHeight w:val="300"/>
        </w:trPr>
        <w:tc>
          <w:tcPr>
            <w:tcW w:w="296" w:type="pct"/>
            <w:tcBorders>
              <w:top w:val="nil"/>
              <w:left w:val="nil"/>
              <w:bottom w:val="nil"/>
              <w:right w:val="nil"/>
            </w:tcBorders>
            <w:shd w:val="clear" w:color="000000" w:fill="FFFFFF"/>
            <w:noWrap/>
            <w:vAlign w:val="center"/>
            <w:hideMark/>
          </w:tcPr>
          <w:p w14:paraId="4DFA2CE7"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11996BF8"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SEDATU</w:t>
            </w:r>
          </w:p>
        </w:tc>
        <w:tc>
          <w:tcPr>
            <w:tcW w:w="640" w:type="pct"/>
            <w:tcBorders>
              <w:top w:val="nil"/>
              <w:left w:val="nil"/>
              <w:bottom w:val="nil"/>
              <w:right w:val="nil"/>
            </w:tcBorders>
            <w:shd w:val="clear" w:color="000000" w:fill="FFFFFF"/>
            <w:noWrap/>
            <w:vAlign w:val="center"/>
            <w:hideMark/>
          </w:tcPr>
          <w:p w14:paraId="45CFB89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9</w:t>
            </w:r>
          </w:p>
        </w:tc>
        <w:tc>
          <w:tcPr>
            <w:tcW w:w="498" w:type="pct"/>
            <w:tcBorders>
              <w:top w:val="nil"/>
              <w:left w:val="nil"/>
              <w:bottom w:val="nil"/>
              <w:right w:val="nil"/>
            </w:tcBorders>
            <w:shd w:val="clear" w:color="000000" w:fill="FFFFFF"/>
            <w:noWrap/>
            <w:vAlign w:val="center"/>
            <w:hideMark/>
          </w:tcPr>
          <w:p w14:paraId="4CE9A591"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9</w:t>
            </w:r>
          </w:p>
        </w:tc>
        <w:tc>
          <w:tcPr>
            <w:tcW w:w="639" w:type="pct"/>
            <w:tcBorders>
              <w:top w:val="nil"/>
              <w:left w:val="nil"/>
              <w:bottom w:val="nil"/>
              <w:right w:val="nil"/>
            </w:tcBorders>
            <w:shd w:val="clear" w:color="000000" w:fill="FFFFFF"/>
            <w:noWrap/>
            <w:vAlign w:val="center"/>
          </w:tcPr>
          <w:p w14:paraId="3A81794D"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14175FB5"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5FBF695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4D38E62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2D2552AE"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4FECE675"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16 Medio Ambiente y Recursos Naturales</w:t>
            </w:r>
          </w:p>
        </w:tc>
        <w:tc>
          <w:tcPr>
            <w:tcW w:w="640" w:type="pct"/>
            <w:tcBorders>
              <w:top w:val="nil"/>
              <w:left w:val="nil"/>
              <w:bottom w:val="nil"/>
              <w:right w:val="nil"/>
            </w:tcBorders>
            <w:shd w:val="clear" w:color="auto" w:fill="F2F2F2" w:themeFill="background1" w:themeFillShade="F2"/>
            <w:noWrap/>
            <w:vAlign w:val="center"/>
            <w:hideMark/>
          </w:tcPr>
          <w:p w14:paraId="4E51F8F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29</w:t>
            </w:r>
          </w:p>
        </w:tc>
        <w:tc>
          <w:tcPr>
            <w:tcW w:w="498" w:type="pct"/>
            <w:tcBorders>
              <w:top w:val="nil"/>
              <w:left w:val="nil"/>
              <w:bottom w:val="nil"/>
              <w:right w:val="nil"/>
            </w:tcBorders>
            <w:shd w:val="clear" w:color="auto" w:fill="F2F2F2" w:themeFill="background1" w:themeFillShade="F2"/>
            <w:noWrap/>
            <w:vAlign w:val="center"/>
            <w:hideMark/>
          </w:tcPr>
          <w:p w14:paraId="39C8C2C5"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15</w:t>
            </w:r>
          </w:p>
        </w:tc>
        <w:tc>
          <w:tcPr>
            <w:tcW w:w="639" w:type="pct"/>
            <w:tcBorders>
              <w:top w:val="nil"/>
              <w:left w:val="nil"/>
              <w:bottom w:val="nil"/>
              <w:right w:val="nil"/>
            </w:tcBorders>
            <w:shd w:val="clear" w:color="auto" w:fill="F2F2F2" w:themeFill="background1" w:themeFillShade="F2"/>
            <w:noWrap/>
            <w:vAlign w:val="center"/>
          </w:tcPr>
          <w:p w14:paraId="65E4CB64"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hideMark/>
          </w:tcPr>
          <w:p w14:paraId="155BB4A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26" w:type="pct"/>
            <w:tcBorders>
              <w:top w:val="nil"/>
              <w:left w:val="nil"/>
              <w:bottom w:val="nil"/>
              <w:right w:val="nil"/>
            </w:tcBorders>
            <w:shd w:val="clear" w:color="auto" w:fill="F2F2F2" w:themeFill="background1" w:themeFillShade="F2"/>
            <w:noWrap/>
            <w:vAlign w:val="center"/>
            <w:hideMark/>
          </w:tcPr>
          <w:p w14:paraId="7A2DADF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45</w:t>
            </w:r>
          </w:p>
        </w:tc>
        <w:tc>
          <w:tcPr>
            <w:tcW w:w="510" w:type="pct"/>
            <w:tcBorders>
              <w:top w:val="nil"/>
              <w:left w:val="nil"/>
              <w:bottom w:val="nil"/>
              <w:right w:val="nil"/>
            </w:tcBorders>
            <w:shd w:val="clear" w:color="auto" w:fill="F2F2F2" w:themeFill="background1" w:themeFillShade="F2"/>
            <w:noWrap/>
            <w:vAlign w:val="center"/>
            <w:hideMark/>
          </w:tcPr>
          <w:p w14:paraId="457824B7"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9.5</w:t>
            </w:r>
          </w:p>
        </w:tc>
      </w:tr>
      <w:tr w:rsidR="00F77FE5" w:rsidRPr="00F77FE5" w14:paraId="3CDFA2A8" w14:textId="77777777" w:rsidTr="005A7CAD">
        <w:trPr>
          <w:trHeight w:val="300"/>
        </w:trPr>
        <w:tc>
          <w:tcPr>
            <w:tcW w:w="296" w:type="pct"/>
            <w:tcBorders>
              <w:top w:val="nil"/>
              <w:left w:val="nil"/>
              <w:bottom w:val="nil"/>
              <w:right w:val="nil"/>
            </w:tcBorders>
            <w:shd w:val="clear" w:color="000000" w:fill="FFFFFF"/>
            <w:noWrap/>
            <w:vAlign w:val="center"/>
            <w:hideMark/>
          </w:tcPr>
          <w:p w14:paraId="0BE19AA8"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68F6D068"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CONANP</w:t>
            </w:r>
          </w:p>
        </w:tc>
        <w:tc>
          <w:tcPr>
            <w:tcW w:w="640" w:type="pct"/>
            <w:tcBorders>
              <w:top w:val="nil"/>
              <w:left w:val="nil"/>
              <w:bottom w:val="nil"/>
              <w:right w:val="nil"/>
            </w:tcBorders>
            <w:shd w:val="clear" w:color="000000" w:fill="FFFFFF"/>
            <w:noWrap/>
            <w:vAlign w:val="center"/>
            <w:hideMark/>
          </w:tcPr>
          <w:p w14:paraId="5FA61A85"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98" w:type="pct"/>
            <w:tcBorders>
              <w:top w:val="nil"/>
              <w:left w:val="nil"/>
              <w:bottom w:val="nil"/>
              <w:right w:val="nil"/>
            </w:tcBorders>
            <w:shd w:val="clear" w:color="000000" w:fill="FFFFFF"/>
            <w:noWrap/>
            <w:vAlign w:val="center"/>
            <w:hideMark/>
          </w:tcPr>
          <w:p w14:paraId="02543A0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639" w:type="pct"/>
            <w:tcBorders>
              <w:top w:val="nil"/>
              <w:left w:val="nil"/>
              <w:bottom w:val="nil"/>
              <w:right w:val="nil"/>
            </w:tcBorders>
            <w:shd w:val="clear" w:color="000000" w:fill="FFFFFF"/>
            <w:noWrap/>
            <w:vAlign w:val="center"/>
          </w:tcPr>
          <w:p w14:paraId="74422275"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2830EA81"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77A114FA"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79AEAAE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22A4B7A6" w14:textId="77777777" w:rsidTr="005A7CAD">
        <w:trPr>
          <w:trHeight w:val="300"/>
        </w:trPr>
        <w:tc>
          <w:tcPr>
            <w:tcW w:w="296" w:type="pct"/>
            <w:tcBorders>
              <w:top w:val="nil"/>
              <w:left w:val="nil"/>
              <w:bottom w:val="nil"/>
              <w:right w:val="nil"/>
            </w:tcBorders>
            <w:shd w:val="clear" w:color="000000" w:fill="FFFFFF"/>
            <w:noWrap/>
            <w:vAlign w:val="center"/>
            <w:hideMark/>
          </w:tcPr>
          <w:p w14:paraId="6A6FE42A"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619116FE"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CONAGUA</w:t>
            </w:r>
          </w:p>
        </w:tc>
        <w:tc>
          <w:tcPr>
            <w:tcW w:w="640" w:type="pct"/>
            <w:tcBorders>
              <w:top w:val="nil"/>
              <w:left w:val="nil"/>
              <w:bottom w:val="nil"/>
              <w:right w:val="nil"/>
            </w:tcBorders>
            <w:shd w:val="clear" w:color="000000" w:fill="FFFFFF"/>
            <w:noWrap/>
            <w:vAlign w:val="center"/>
            <w:hideMark/>
          </w:tcPr>
          <w:p w14:paraId="162BF22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6</w:t>
            </w:r>
          </w:p>
        </w:tc>
        <w:tc>
          <w:tcPr>
            <w:tcW w:w="498" w:type="pct"/>
            <w:tcBorders>
              <w:top w:val="nil"/>
              <w:left w:val="nil"/>
              <w:bottom w:val="nil"/>
              <w:right w:val="nil"/>
            </w:tcBorders>
            <w:shd w:val="clear" w:color="000000" w:fill="FFFFFF"/>
            <w:noWrap/>
            <w:vAlign w:val="center"/>
            <w:hideMark/>
          </w:tcPr>
          <w:p w14:paraId="2EF5A0E1"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w:t>
            </w:r>
          </w:p>
        </w:tc>
        <w:tc>
          <w:tcPr>
            <w:tcW w:w="639" w:type="pct"/>
            <w:tcBorders>
              <w:top w:val="nil"/>
              <w:left w:val="nil"/>
              <w:bottom w:val="nil"/>
              <w:right w:val="nil"/>
            </w:tcBorders>
            <w:shd w:val="clear" w:color="000000" w:fill="FFFFFF"/>
            <w:noWrap/>
            <w:vAlign w:val="center"/>
          </w:tcPr>
          <w:p w14:paraId="2029A1FF"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7838675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26E134D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28B4296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53BA0688" w14:textId="77777777" w:rsidTr="005A7CAD">
        <w:trPr>
          <w:trHeight w:val="300"/>
        </w:trPr>
        <w:tc>
          <w:tcPr>
            <w:tcW w:w="296" w:type="pct"/>
            <w:tcBorders>
              <w:top w:val="nil"/>
              <w:left w:val="nil"/>
              <w:bottom w:val="nil"/>
              <w:right w:val="nil"/>
            </w:tcBorders>
            <w:shd w:val="clear" w:color="000000" w:fill="FFFFFF"/>
            <w:noWrap/>
            <w:vAlign w:val="center"/>
            <w:hideMark/>
          </w:tcPr>
          <w:p w14:paraId="24261860"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6481CFC6"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CONAFOR</w:t>
            </w:r>
          </w:p>
        </w:tc>
        <w:tc>
          <w:tcPr>
            <w:tcW w:w="640" w:type="pct"/>
            <w:tcBorders>
              <w:top w:val="nil"/>
              <w:left w:val="nil"/>
              <w:bottom w:val="nil"/>
              <w:right w:val="nil"/>
            </w:tcBorders>
            <w:shd w:val="clear" w:color="000000" w:fill="FFFFFF"/>
            <w:noWrap/>
            <w:vAlign w:val="center"/>
            <w:hideMark/>
          </w:tcPr>
          <w:p w14:paraId="630CC1E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10</w:t>
            </w:r>
          </w:p>
        </w:tc>
        <w:tc>
          <w:tcPr>
            <w:tcW w:w="498" w:type="pct"/>
            <w:tcBorders>
              <w:top w:val="nil"/>
              <w:left w:val="nil"/>
              <w:bottom w:val="nil"/>
              <w:right w:val="nil"/>
            </w:tcBorders>
            <w:shd w:val="clear" w:color="000000" w:fill="FFFFFF"/>
            <w:noWrap/>
            <w:vAlign w:val="center"/>
            <w:hideMark/>
          </w:tcPr>
          <w:p w14:paraId="7B77DF75"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w:t>
            </w:r>
          </w:p>
        </w:tc>
        <w:tc>
          <w:tcPr>
            <w:tcW w:w="639" w:type="pct"/>
            <w:tcBorders>
              <w:top w:val="nil"/>
              <w:left w:val="nil"/>
              <w:bottom w:val="nil"/>
              <w:right w:val="nil"/>
            </w:tcBorders>
            <w:shd w:val="clear" w:color="000000" w:fill="FFFFFF"/>
            <w:noWrap/>
            <w:vAlign w:val="center"/>
          </w:tcPr>
          <w:p w14:paraId="40C4873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4E83F842"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37D7ED6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71BBFBD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17883F68" w14:textId="77777777" w:rsidTr="005A7CAD">
        <w:trPr>
          <w:trHeight w:val="300"/>
        </w:trPr>
        <w:tc>
          <w:tcPr>
            <w:tcW w:w="296" w:type="pct"/>
            <w:tcBorders>
              <w:top w:val="nil"/>
              <w:left w:val="nil"/>
              <w:bottom w:val="nil"/>
              <w:right w:val="nil"/>
            </w:tcBorders>
            <w:shd w:val="clear" w:color="000000" w:fill="FFFFFF"/>
            <w:noWrap/>
            <w:vAlign w:val="center"/>
            <w:hideMark/>
          </w:tcPr>
          <w:p w14:paraId="2299608E"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7119F68F"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IMTA</w:t>
            </w:r>
          </w:p>
        </w:tc>
        <w:tc>
          <w:tcPr>
            <w:tcW w:w="640" w:type="pct"/>
            <w:tcBorders>
              <w:top w:val="nil"/>
              <w:left w:val="nil"/>
              <w:bottom w:val="nil"/>
              <w:right w:val="nil"/>
            </w:tcBorders>
            <w:shd w:val="clear" w:color="000000" w:fill="FFFFFF"/>
            <w:noWrap/>
            <w:vAlign w:val="center"/>
            <w:hideMark/>
          </w:tcPr>
          <w:p w14:paraId="0C14B70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98" w:type="pct"/>
            <w:tcBorders>
              <w:top w:val="nil"/>
              <w:left w:val="nil"/>
              <w:bottom w:val="nil"/>
              <w:right w:val="nil"/>
            </w:tcBorders>
            <w:shd w:val="clear" w:color="000000" w:fill="FFFFFF"/>
            <w:noWrap/>
            <w:vAlign w:val="center"/>
            <w:hideMark/>
          </w:tcPr>
          <w:p w14:paraId="11BE2A6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639" w:type="pct"/>
            <w:tcBorders>
              <w:top w:val="nil"/>
              <w:left w:val="nil"/>
              <w:bottom w:val="nil"/>
              <w:right w:val="nil"/>
            </w:tcBorders>
            <w:shd w:val="clear" w:color="000000" w:fill="FFFFFF"/>
            <w:noWrap/>
            <w:vAlign w:val="center"/>
          </w:tcPr>
          <w:p w14:paraId="476CDD33"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366EC113"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51F1BDA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4206BCDD"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66634659" w14:textId="77777777" w:rsidTr="005A7CAD">
        <w:trPr>
          <w:trHeight w:val="300"/>
        </w:trPr>
        <w:tc>
          <w:tcPr>
            <w:tcW w:w="296" w:type="pct"/>
            <w:tcBorders>
              <w:top w:val="nil"/>
              <w:left w:val="nil"/>
              <w:bottom w:val="nil"/>
              <w:right w:val="nil"/>
            </w:tcBorders>
            <w:shd w:val="clear" w:color="000000" w:fill="FFFFFF"/>
            <w:noWrap/>
            <w:vAlign w:val="center"/>
            <w:hideMark/>
          </w:tcPr>
          <w:p w14:paraId="60F53971"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3AA99AE3"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SEMARNAT</w:t>
            </w:r>
          </w:p>
        </w:tc>
        <w:tc>
          <w:tcPr>
            <w:tcW w:w="640" w:type="pct"/>
            <w:tcBorders>
              <w:top w:val="nil"/>
              <w:left w:val="nil"/>
              <w:bottom w:val="nil"/>
              <w:right w:val="nil"/>
            </w:tcBorders>
            <w:shd w:val="clear" w:color="000000" w:fill="FFFFFF"/>
            <w:noWrap/>
            <w:vAlign w:val="center"/>
            <w:hideMark/>
          </w:tcPr>
          <w:p w14:paraId="17A7D37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13</w:t>
            </w:r>
          </w:p>
        </w:tc>
        <w:tc>
          <w:tcPr>
            <w:tcW w:w="498" w:type="pct"/>
            <w:tcBorders>
              <w:top w:val="nil"/>
              <w:left w:val="nil"/>
              <w:bottom w:val="nil"/>
              <w:right w:val="nil"/>
            </w:tcBorders>
            <w:shd w:val="clear" w:color="000000" w:fill="FFFFFF"/>
            <w:noWrap/>
            <w:vAlign w:val="center"/>
            <w:hideMark/>
          </w:tcPr>
          <w:p w14:paraId="1C67CC9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3</w:t>
            </w:r>
          </w:p>
        </w:tc>
        <w:tc>
          <w:tcPr>
            <w:tcW w:w="639" w:type="pct"/>
            <w:tcBorders>
              <w:top w:val="nil"/>
              <w:left w:val="nil"/>
              <w:bottom w:val="nil"/>
              <w:right w:val="nil"/>
            </w:tcBorders>
            <w:shd w:val="clear" w:color="000000" w:fill="FFFFFF"/>
            <w:noWrap/>
            <w:vAlign w:val="center"/>
            <w:hideMark/>
          </w:tcPr>
          <w:p w14:paraId="55200F8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hideMark/>
          </w:tcPr>
          <w:p w14:paraId="4A0065A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26" w:type="pct"/>
            <w:tcBorders>
              <w:top w:val="nil"/>
              <w:left w:val="nil"/>
              <w:bottom w:val="nil"/>
              <w:right w:val="nil"/>
            </w:tcBorders>
            <w:shd w:val="clear" w:color="000000" w:fill="FFFFFF"/>
            <w:noWrap/>
            <w:vAlign w:val="center"/>
            <w:hideMark/>
          </w:tcPr>
          <w:p w14:paraId="0C4815E1"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447C0F4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72C1B305"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098EB494"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19 Aportaciones a Seguridad Social</w:t>
            </w:r>
          </w:p>
        </w:tc>
        <w:tc>
          <w:tcPr>
            <w:tcW w:w="640" w:type="pct"/>
            <w:tcBorders>
              <w:top w:val="nil"/>
              <w:left w:val="nil"/>
              <w:bottom w:val="nil"/>
              <w:right w:val="nil"/>
            </w:tcBorders>
            <w:shd w:val="clear" w:color="auto" w:fill="F2F2F2" w:themeFill="background1" w:themeFillShade="F2"/>
            <w:noWrap/>
            <w:vAlign w:val="center"/>
            <w:hideMark/>
          </w:tcPr>
          <w:p w14:paraId="42B248FD"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498" w:type="pct"/>
            <w:tcBorders>
              <w:top w:val="nil"/>
              <w:left w:val="nil"/>
              <w:bottom w:val="nil"/>
              <w:right w:val="nil"/>
            </w:tcBorders>
            <w:shd w:val="clear" w:color="auto" w:fill="F2F2F2" w:themeFill="background1" w:themeFillShade="F2"/>
            <w:noWrap/>
            <w:vAlign w:val="center"/>
          </w:tcPr>
          <w:p w14:paraId="4CA6E6BB"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auto" w:fill="F2F2F2" w:themeFill="background1" w:themeFillShade="F2"/>
            <w:noWrap/>
            <w:vAlign w:val="center"/>
          </w:tcPr>
          <w:p w14:paraId="39EE5F1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08C2AFF4"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auto" w:fill="F2F2F2" w:themeFill="background1" w:themeFillShade="F2"/>
            <w:noWrap/>
            <w:vAlign w:val="center"/>
            <w:hideMark/>
          </w:tcPr>
          <w:p w14:paraId="2FE4D8C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510" w:type="pct"/>
            <w:tcBorders>
              <w:top w:val="nil"/>
              <w:left w:val="nil"/>
              <w:bottom w:val="nil"/>
              <w:right w:val="nil"/>
            </w:tcBorders>
            <w:shd w:val="clear" w:color="auto" w:fill="F2F2F2" w:themeFill="background1" w:themeFillShade="F2"/>
            <w:noWrap/>
            <w:vAlign w:val="center"/>
            <w:hideMark/>
          </w:tcPr>
          <w:p w14:paraId="795CA8B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0.4</w:t>
            </w:r>
          </w:p>
        </w:tc>
      </w:tr>
      <w:tr w:rsidR="00F77FE5" w:rsidRPr="00F77FE5" w14:paraId="7F6C1420" w14:textId="77777777" w:rsidTr="005A7CAD">
        <w:trPr>
          <w:trHeight w:val="300"/>
        </w:trPr>
        <w:tc>
          <w:tcPr>
            <w:tcW w:w="296" w:type="pct"/>
            <w:tcBorders>
              <w:top w:val="nil"/>
              <w:left w:val="nil"/>
              <w:bottom w:val="nil"/>
              <w:right w:val="nil"/>
            </w:tcBorders>
            <w:shd w:val="clear" w:color="000000" w:fill="FFFFFF"/>
            <w:noWrap/>
            <w:vAlign w:val="center"/>
            <w:hideMark/>
          </w:tcPr>
          <w:p w14:paraId="0BFDC3BA"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214A6241"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IMSS</w:t>
            </w:r>
          </w:p>
        </w:tc>
        <w:tc>
          <w:tcPr>
            <w:tcW w:w="640" w:type="pct"/>
            <w:tcBorders>
              <w:top w:val="nil"/>
              <w:left w:val="nil"/>
              <w:bottom w:val="nil"/>
              <w:right w:val="nil"/>
            </w:tcBorders>
            <w:shd w:val="clear" w:color="000000" w:fill="FFFFFF"/>
            <w:noWrap/>
            <w:vAlign w:val="center"/>
            <w:hideMark/>
          </w:tcPr>
          <w:p w14:paraId="3DA82D7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498" w:type="pct"/>
            <w:tcBorders>
              <w:top w:val="nil"/>
              <w:left w:val="nil"/>
              <w:bottom w:val="nil"/>
              <w:right w:val="nil"/>
            </w:tcBorders>
            <w:shd w:val="clear" w:color="000000" w:fill="FFFFFF"/>
            <w:noWrap/>
            <w:vAlign w:val="center"/>
          </w:tcPr>
          <w:p w14:paraId="77E5A7AA"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000000" w:fill="FFFFFF"/>
            <w:noWrap/>
            <w:vAlign w:val="center"/>
          </w:tcPr>
          <w:p w14:paraId="405E18BF"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74E8381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0BBDC3D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0A0F138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4D0ADDD3"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704D0EC7"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20 Desarrollo Social</w:t>
            </w:r>
          </w:p>
        </w:tc>
        <w:tc>
          <w:tcPr>
            <w:tcW w:w="640" w:type="pct"/>
            <w:tcBorders>
              <w:top w:val="nil"/>
              <w:left w:val="nil"/>
              <w:bottom w:val="nil"/>
              <w:right w:val="nil"/>
            </w:tcBorders>
            <w:shd w:val="clear" w:color="auto" w:fill="F2F2F2" w:themeFill="background1" w:themeFillShade="F2"/>
            <w:noWrap/>
            <w:vAlign w:val="center"/>
            <w:hideMark/>
          </w:tcPr>
          <w:p w14:paraId="573CCB9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82</w:t>
            </w:r>
          </w:p>
        </w:tc>
        <w:tc>
          <w:tcPr>
            <w:tcW w:w="498" w:type="pct"/>
            <w:tcBorders>
              <w:top w:val="nil"/>
              <w:left w:val="nil"/>
              <w:bottom w:val="nil"/>
              <w:right w:val="nil"/>
            </w:tcBorders>
            <w:shd w:val="clear" w:color="auto" w:fill="F2F2F2" w:themeFill="background1" w:themeFillShade="F2"/>
            <w:noWrap/>
            <w:vAlign w:val="center"/>
            <w:hideMark/>
          </w:tcPr>
          <w:p w14:paraId="525A93CD"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101</w:t>
            </w:r>
          </w:p>
        </w:tc>
        <w:tc>
          <w:tcPr>
            <w:tcW w:w="639" w:type="pct"/>
            <w:tcBorders>
              <w:top w:val="nil"/>
              <w:left w:val="nil"/>
              <w:bottom w:val="nil"/>
              <w:right w:val="nil"/>
            </w:tcBorders>
            <w:shd w:val="clear" w:color="auto" w:fill="F2F2F2" w:themeFill="background1" w:themeFillShade="F2"/>
            <w:noWrap/>
            <w:vAlign w:val="center"/>
          </w:tcPr>
          <w:p w14:paraId="77E511A9"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29E379B5"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auto" w:fill="F2F2F2" w:themeFill="background1" w:themeFillShade="F2"/>
            <w:noWrap/>
            <w:vAlign w:val="center"/>
            <w:hideMark/>
          </w:tcPr>
          <w:p w14:paraId="16C0CB3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183</w:t>
            </w:r>
          </w:p>
        </w:tc>
        <w:tc>
          <w:tcPr>
            <w:tcW w:w="510" w:type="pct"/>
            <w:tcBorders>
              <w:top w:val="nil"/>
              <w:left w:val="nil"/>
              <w:bottom w:val="nil"/>
              <w:right w:val="nil"/>
            </w:tcBorders>
            <w:shd w:val="clear" w:color="auto" w:fill="F2F2F2" w:themeFill="background1" w:themeFillShade="F2"/>
            <w:noWrap/>
            <w:vAlign w:val="center"/>
            <w:hideMark/>
          </w:tcPr>
          <w:p w14:paraId="7D414BEE"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38.4</w:t>
            </w:r>
          </w:p>
        </w:tc>
      </w:tr>
      <w:tr w:rsidR="00F77FE5" w:rsidRPr="00F77FE5" w14:paraId="2A185246" w14:textId="77777777" w:rsidTr="005A7CAD">
        <w:trPr>
          <w:trHeight w:val="300"/>
        </w:trPr>
        <w:tc>
          <w:tcPr>
            <w:tcW w:w="296" w:type="pct"/>
            <w:tcBorders>
              <w:top w:val="nil"/>
              <w:left w:val="nil"/>
              <w:bottom w:val="nil"/>
              <w:right w:val="nil"/>
            </w:tcBorders>
            <w:shd w:val="clear" w:color="000000" w:fill="FFFFFF"/>
            <w:noWrap/>
            <w:vAlign w:val="center"/>
            <w:hideMark/>
          </w:tcPr>
          <w:p w14:paraId="34ECC4F0"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7A4C0A7E"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CNP</w:t>
            </w:r>
          </w:p>
        </w:tc>
        <w:tc>
          <w:tcPr>
            <w:tcW w:w="640" w:type="pct"/>
            <w:tcBorders>
              <w:top w:val="nil"/>
              <w:left w:val="nil"/>
              <w:bottom w:val="nil"/>
              <w:right w:val="nil"/>
            </w:tcBorders>
            <w:shd w:val="clear" w:color="000000" w:fill="FFFFFF"/>
            <w:noWrap/>
            <w:vAlign w:val="center"/>
            <w:hideMark/>
          </w:tcPr>
          <w:p w14:paraId="523B85C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5</w:t>
            </w:r>
          </w:p>
        </w:tc>
        <w:tc>
          <w:tcPr>
            <w:tcW w:w="498" w:type="pct"/>
            <w:tcBorders>
              <w:top w:val="nil"/>
              <w:left w:val="nil"/>
              <w:bottom w:val="nil"/>
              <w:right w:val="nil"/>
            </w:tcBorders>
            <w:shd w:val="clear" w:color="000000" w:fill="FFFFFF"/>
            <w:noWrap/>
            <w:vAlign w:val="center"/>
            <w:hideMark/>
          </w:tcPr>
          <w:p w14:paraId="5087DC7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w:t>
            </w:r>
          </w:p>
        </w:tc>
        <w:tc>
          <w:tcPr>
            <w:tcW w:w="639" w:type="pct"/>
            <w:tcBorders>
              <w:top w:val="nil"/>
              <w:left w:val="nil"/>
              <w:bottom w:val="nil"/>
              <w:right w:val="nil"/>
            </w:tcBorders>
            <w:shd w:val="clear" w:color="000000" w:fill="FFFFFF"/>
            <w:noWrap/>
            <w:vAlign w:val="center"/>
          </w:tcPr>
          <w:p w14:paraId="07218B6A"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2CEE0E3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43A524D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3183D89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18DED3AA" w14:textId="77777777" w:rsidTr="005A7CAD">
        <w:trPr>
          <w:trHeight w:val="300"/>
        </w:trPr>
        <w:tc>
          <w:tcPr>
            <w:tcW w:w="296" w:type="pct"/>
            <w:tcBorders>
              <w:top w:val="nil"/>
              <w:left w:val="nil"/>
              <w:bottom w:val="nil"/>
              <w:right w:val="nil"/>
            </w:tcBorders>
            <w:shd w:val="clear" w:color="000000" w:fill="FFFFFF"/>
            <w:noWrap/>
            <w:vAlign w:val="center"/>
            <w:hideMark/>
          </w:tcPr>
          <w:p w14:paraId="02191D3A"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1882ECB9"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DICONSA</w:t>
            </w:r>
          </w:p>
        </w:tc>
        <w:tc>
          <w:tcPr>
            <w:tcW w:w="640" w:type="pct"/>
            <w:tcBorders>
              <w:top w:val="nil"/>
              <w:left w:val="nil"/>
              <w:bottom w:val="nil"/>
              <w:right w:val="nil"/>
            </w:tcBorders>
            <w:shd w:val="clear" w:color="000000" w:fill="FFFFFF"/>
            <w:noWrap/>
            <w:vAlign w:val="center"/>
            <w:hideMark/>
          </w:tcPr>
          <w:p w14:paraId="71C046F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7</w:t>
            </w:r>
          </w:p>
        </w:tc>
        <w:tc>
          <w:tcPr>
            <w:tcW w:w="498" w:type="pct"/>
            <w:tcBorders>
              <w:top w:val="nil"/>
              <w:left w:val="nil"/>
              <w:bottom w:val="nil"/>
              <w:right w:val="nil"/>
            </w:tcBorders>
            <w:shd w:val="clear" w:color="000000" w:fill="FFFFFF"/>
            <w:noWrap/>
            <w:vAlign w:val="center"/>
            <w:hideMark/>
          </w:tcPr>
          <w:p w14:paraId="786EF60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10</w:t>
            </w:r>
          </w:p>
        </w:tc>
        <w:tc>
          <w:tcPr>
            <w:tcW w:w="639" w:type="pct"/>
            <w:tcBorders>
              <w:top w:val="nil"/>
              <w:left w:val="nil"/>
              <w:bottom w:val="nil"/>
              <w:right w:val="nil"/>
            </w:tcBorders>
            <w:shd w:val="clear" w:color="000000" w:fill="FFFFFF"/>
            <w:noWrap/>
            <w:vAlign w:val="center"/>
          </w:tcPr>
          <w:p w14:paraId="53E0457A"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5DD62D50"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7C9547A7"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05EAB99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420F92EF" w14:textId="77777777" w:rsidTr="005A7CAD">
        <w:trPr>
          <w:trHeight w:val="300"/>
        </w:trPr>
        <w:tc>
          <w:tcPr>
            <w:tcW w:w="296" w:type="pct"/>
            <w:tcBorders>
              <w:top w:val="nil"/>
              <w:left w:val="nil"/>
              <w:bottom w:val="nil"/>
              <w:right w:val="nil"/>
            </w:tcBorders>
            <w:shd w:val="clear" w:color="000000" w:fill="FFFFFF"/>
            <w:noWrap/>
            <w:vAlign w:val="center"/>
            <w:hideMark/>
          </w:tcPr>
          <w:p w14:paraId="376AD343"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18377527"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FONART</w:t>
            </w:r>
          </w:p>
        </w:tc>
        <w:tc>
          <w:tcPr>
            <w:tcW w:w="640" w:type="pct"/>
            <w:tcBorders>
              <w:top w:val="nil"/>
              <w:left w:val="nil"/>
              <w:bottom w:val="nil"/>
              <w:right w:val="nil"/>
            </w:tcBorders>
            <w:shd w:val="clear" w:color="000000" w:fill="FFFFFF"/>
            <w:noWrap/>
            <w:vAlign w:val="center"/>
            <w:hideMark/>
          </w:tcPr>
          <w:p w14:paraId="22961B68"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98" w:type="pct"/>
            <w:tcBorders>
              <w:top w:val="nil"/>
              <w:left w:val="nil"/>
              <w:bottom w:val="nil"/>
              <w:right w:val="nil"/>
            </w:tcBorders>
            <w:shd w:val="clear" w:color="000000" w:fill="FFFFFF"/>
            <w:noWrap/>
            <w:vAlign w:val="center"/>
            <w:hideMark/>
          </w:tcPr>
          <w:p w14:paraId="73A62E2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7</w:t>
            </w:r>
          </w:p>
        </w:tc>
        <w:tc>
          <w:tcPr>
            <w:tcW w:w="639" w:type="pct"/>
            <w:tcBorders>
              <w:top w:val="nil"/>
              <w:left w:val="nil"/>
              <w:bottom w:val="nil"/>
              <w:right w:val="nil"/>
            </w:tcBorders>
            <w:shd w:val="clear" w:color="000000" w:fill="FFFFFF"/>
            <w:noWrap/>
            <w:vAlign w:val="center"/>
          </w:tcPr>
          <w:p w14:paraId="4944C7E3"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6EB51AEA"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34D67FD7"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23F3264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079660E5" w14:textId="77777777" w:rsidTr="005A7CAD">
        <w:trPr>
          <w:trHeight w:val="300"/>
        </w:trPr>
        <w:tc>
          <w:tcPr>
            <w:tcW w:w="296" w:type="pct"/>
            <w:tcBorders>
              <w:top w:val="nil"/>
              <w:left w:val="nil"/>
              <w:bottom w:val="nil"/>
              <w:right w:val="nil"/>
            </w:tcBorders>
            <w:shd w:val="clear" w:color="000000" w:fill="FFFFFF"/>
            <w:noWrap/>
            <w:vAlign w:val="center"/>
            <w:hideMark/>
          </w:tcPr>
          <w:p w14:paraId="6A84B64F"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0052EC97"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IMJUVE</w:t>
            </w:r>
          </w:p>
        </w:tc>
        <w:tc>
          <w:tcPr>
            <w:tcW w:w="640" w:type="pct"/>
            <w:tcBorders>
              <w:top w:val="nil"/>
              <w:left w:val="nil"/>
              <w:bottom w:val="nil"/>
              <w:right w:val="nil"/>
            </w:tcBorders>
            <w:shd w:val="clear" w:color="000000" w:fill="FFFFFF"/>
            <w:noWrap/>
            <w:vAlign w:val="center"/>
            <w:hideMark/>
          </w:tcPr>
          <w:p w14:paraId="084B01F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12</w:t>
            </w:r>
          </w:p>
        </w:tc>
        <w:tc>
          <w:tcPr>
            <w:tcW w:w="498" w:type="pct"/>
            <w:tcBorders>
              <w:top w:val="nil"/>
              <w:left w:val="nil"/>
              <w:bottom w:val="nil"/>
              <w:right w:val="nil"/>
            </w:tcBorders>
            <w:shd w:val="clear" w:color="000000" w:fill="FFFFFF"/>
            <w:noWrap/>
            <w:vAlign w:val="center"/>
            <w:hideMark/>
          </w:tcPr>
          <w:p w14:paraId="4096776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10</w:t>
            </w:r>
          </w:p>
        </w:tc>
        <w:tc>
          <w:tcPr>
            <w:tcW w:w="639" w:type="pct"/>
            <w:tcBorders>
              <w:top w:val="nil"/>
              <w:left w:val="nil"/>
              <w:bottom w:val="nil"/>
              <w:right w:val="nil"/>
            </w:tcBorders>
            <w:shd w:val="clear" w:color="000000" w:fill="FFFFFF"/>
            <w:noWrap/>
            <w:vAlign w:val="center"/>
          </w:tcPr>
          <w:p w14:paraId="676EC3FB"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1F61597D"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74B2DA1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0C6486D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435A6B06" w14:textId="77777777" w:rsidTr="005A7CAD">
        <w:trPr>
          <w:trHeight w:val="300"/>
        </w:trPr>
        <w:tc>
          <w:tcPr>
            <w:tcW w:w="296" w:type="pct"/>
            <w:tcBorders>
              <w:top w:val="nil"/>
              <w:left w:val="nil"/>
              <w:bottom w:val="nil"/>
              <w:right w:val="nil"/>
            </w:tcBorders>
            <w:shd w:val="clear" w:color="000000" w:fill="FFFFFF"/>
            <w:noWrap/>
            <w:vAlign w:val="center"/>
            <w:hideMark/>
          </w:tcPr>
          <w:p w14:paraId="2F0FE2CC"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0F7C6908"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INDESOL</w:t>
            </w:r>
          </w:p>
        </w:tc>
        <w:tc>
          <w:tcPr>
            <w:tcW w:w="640" w:type="pct"/>
            <w:tcBorders>
              <w:top w:val="nil"/>
              <w:left w:val="nil"/>
              <w:bottom w:val="nil"/>
              <w:right w:val="nil"/>
            </w:tcBorders>
            <w:shd w:val="clear" w:color="000000" w:fill="FFFFFF"/>
            <w:noWrap/>
            <w:vAlign w:val="center"/>
            <w:hideMark/>
          </w:tcPr>
          <w:p w14:paraId="32D5FED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498" w:type="pct"/>
            <w:tcBorders>
              <w:top w:val="nil"/>
              <w:left w:val="nil"/>
              <w:bottom w:val="nil"/>
              <w:right w:val="nil"/>
            </w:tcBorders>
            <w:shd w:val="clear" w:color="000000" w:fill="FFFFFF"/>
            <w:noWrap/>
            <w:vAlign w:val="center"/>
            <w:hideMark/>
          </w:tcPr>
          <w:p w14:paraId="569F75D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w:t>
            </w:r>
          </w:p>
        </w:tc>
        <w:tc>
          <w:tcPr>
            <w:tcW w:w="639" w:type="pct"/>
            <w:tcBorders>
              <w:top w:val="nil"/>
              <w:left w:val="nil"/>
              <w:bottom w:val="nil"/>
              <w:right w:val="nil"/>
            </w:tcBorders>
            <w:shd w:val="clear" w:color="000000" w:fill="FFFFFF"/>
            <w:noWrap/>
            <w:vAlign w:val="center"/>
          </w:tcPr>
          <w:p w14:paraId="3E79C314"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603DB2A7"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39FB891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01C6D15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50AEF791" w14:textId="77777777" w:rsidTr="005A7CAD">
        <w:trPr>
          <w:trHeight w:val="300"/>
        </w:trPr>
        <w:tc>
          <w:tcPr>
            <w:tcW w:w="296" w:type="pct"/>
            <w:tcBorders>
              <w:top w:val="nil"/>
              <w:left w:val="nil"/>
              <w:bottom w:val="nil"/>
              <w:right w:val="nil"/>
            </w:tcBorders>
            <w:shd w:val="clear" w:color="000000" w:fill="FFFFFF"/>
            <w:noWrap/>
            <w:vAlign w:val="center"/>
            <w:hideMark/>
          </w:tcPr>
          <w:p w14:paraId="7EC88C49"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6EBACBD2"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INAPAM</w:t>
            </w:r>
          </w:p>
        </w:tc>
        <w:tc>
          <w:tcPr>
            <w:tcW w:w="640" w:type="pct"/>
            <w:tcBorders>
              <w:top w:val="nil"/>
              <w:left w:val="nil"/>
              <w:bottom w:val="nil"/>
              <w:right w:val="nil"/>
            </w:tcBorders>
            <w:shd w:val="clear" w:color="000000" w:fill="FFFFFF"/>
            <w:noWrap/>
            <w:vAlign w:val="center"/>
            <w:hideMark/>
          </w:tcPr>
          <w:p w14:paraId="0F2A288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6</w:t>
            </w:r>
          </w:p>
        </w:tc>
        <w:tc>
          <w:tcPr>
            <w:tcW w:w="498" w:type="pct"/>
            <w:tcBorders>
              <w:top w:val="nil"/>
              <w:left w:val="nil"/>
              <w:bottom w:val="nil"/>
              <w:right w:val="nil"/>
            </w:tcBorders>
            <w:shd w:val="clear" w:color="000000" w:fill="FFFFFF"/>
            <w:noWrap/>
            <w:vAlign w:val="center"/>
            <w:hideMark/>
          </w:tcPr>
          <w:p w14:paraId="5F60C86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8</w:t>
            </w:r>
          </w:p>
        </w:tc>
        <w:tc>
          <w:tcPr>
            <w:tcW w:w="639" w:type="pct"/>
            <w:tcBorders>
              <w:top w:val="nil"/>
              <w:left w:val="nil"/>
              <w:bottom w:val="nil"/>
              <w:right w:val="nil"/>
            </w:tcBorders>
            <w:shd w:val="clear" w:color="000000" w:fill="FFFFFF"/>
            <w:noWrap/>
            <w:vAlign w:val="center"/>
          </w:tcPr>
          <w:p w14:paraId="1EF44A8B"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1CDC8267"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52835CF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14926EBD"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28A580C4" w14:textId="77777777" w:rsidTr="005A7CAD">
        <w:trPr>
          <w:trHeight w:val="300"/>
        </w:trPr>
        <w:tc>
          <w:tcPr>
            <w:tcW w:w="296" w:type="pct"/>
            <w:tcBorders>
              <w:top w:val="nil"/>
              <w:left w:val="nil"/>
              <w:bottom w:val="nil"/>
              <w:right w:val="nil"/>
            </w:tcBorders>
            <w:shd w:val="clear" w:color="000000" w:fill="FFFFFF"/>
            <w:noWrap/>
            <w:vAlign w:val="center"/>
            <w:hideMark/>
          </w:tcPr>
          <w:p w14:paraId="635C4446"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65B42006"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LICONSA</w:t>
            </w:r>
          </w:p>
        </w:tc>
        <w:tc>
          <w:tcPr>
            <w:tcW w:w="640" w:type="pct"/>
            <w:tcBorders>
              <w:top w:val="nil"/>
              <w:left w:val="nil"/>
              <w:bottom w:val="nil"/>
              <w:right w:val="nil"/>
            </w:tcBorders>
            <w:shd w:val="clear" w:color="000000" w:fill="FFFFFF"/>
            <w:noWrap/>
            <w:vAlign w:val="center"/>
            <w:hideMark/>
          </w:tcPr>
          <w:p w14:paraId="4A3D63EA"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7</w:t>
            </w:r>
          </w:p>
        </w:tc>
        <w:tc>
          <w:tcPr>
            <w:tcW w:w="498" w:type="pct"/>
            <w:tcBorders>
              <w:top w:val="nil"/>
              <w:left w:val="nil"/>
              <w:bottom w:val="nil"/>
              <w:right w:val="nil"/>
            </w:tcBorders>
            <w:shd w:val="clear" w:color="000000" w:fill="FFFFFF"/>
            <w:noWrap/>
            <w:vAlign w:val="center"/>
            <w:hideMark/>
          </w:tcPr>
          <w:p w14:paraId="302EEAC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8</w:t>
            </w:r>
          </w:p>
        </w:tc>
        <w:tc>
          <w:tcPr>
            <w:tcW w:w="639" w:type="pct"/>
            <w:tcBorders>
              <w:top w:val="nil"/>
              <w:left w:val="nil"/>
              <w:bottom w:val="nil"/>
              <w:right w:val="nil"/>
            </w:tcBorders>
            <w:shd w:val="clear" w:color="000000" w:fill="FFFFFF"/>
            <w:noWrap/>
            <w:vAlign w:val="center"/>
          </w:tcPr>
          <w:p w14:paraId="12F1241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48034E3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41DD74F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67DD1CC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1C5A7B1B" w14:textId="77777777" w:rsidTr="005A7CAD">
        <w:trPr>
          <w:trHeight w:val="300"/>
        </w:trPr>
        <w:tc>
          <w:tcPr>
            <w:tcW w:w="296" w:type="pct"/>
            <w:tcBorders>
              <w:top w:val="nil"/>
              <w:left w:val="nil"/>
              <w:bottom w:val="nil"/>
              <w:right w:val="nil"/>
            </w:tcBorders>
            <w:shd w:val="clear" w:color="000000" w:fill="FFFFFF"/>
            <w:noWrap/>
            <w:vAlign w:val="center"/>
            <w:hideMark/>
          </w:tcPr>
          <w:p w14:paraId="7049B8D1"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57440D0E"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SEDESOL</w:t>
            </w:r>
          </w:p>
        </w:tc>
        <w:tc>
          <w:tcPr>
            <w:tcW w:w="640" w:type="pct"/>
            <w:tcBorders>
              <w:top w:val="nil"/>
              <w:left w:val="nil"/>
              <w:bottom w:val="nil"/>
              <w:right w:val="nil"/>
            </w:tcBorders>
            <w:shd w:val="clear" w:color="000000" w:fill="FFFFFF"/>
            <w:noWrap/>
            <w:vAlign w:val="center"/>
            <w:hideMark/>
          </w:tcPr>
          <w:p w14:paraId="68B5B7E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44</w:t>
            </w:r>
          </w:p>
        </w:tc>
        <w:tc>
          <w:tcPr>
            <w:tcW w:w="498" w:type="pct"/>
            <w:tcBorders>
              <w:top w:val="nil"/>
              <w:left w:val="nil"/>
              <w:bottom w:val="nil"/>
              <w:right w:val="nil"/>
            </w:tcBorders>
            <w:shd w:val="clear" w:color="000000" w:fill="FFFFFF"/>
            <w:noWrap/>
            <w:vAlign w:val="center"/>
            <w:hideMark/>
          </w:tcPr>
          <w:p w14:paraId="1E5D601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52</w:t>
            </w:r>
          </w:p>
        </w:tc>
        <w:tc>
          <w:tcPr>
            <w:tcW w:w="639" w:type="pct"/>
            <w:tcBorders>
              <w:top w:val="nil"/>
              <w:left w:val="nil"/>
              <w:bottom w:val="nil"/>
              <w:right w:val="nil"/>
            </w:tcBorders>
            <w:shd w:val="clear" w:color="000000" w:fill="FFFFFF"/>
            <w:noWrap/>
            <w:vAlign w:val="center"/>
          </w:tcPr>
          <w:p w14:paraId="7F3BB175"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3013DFAC"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0578A13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7FCDFC71"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6DE001A1"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56317E9E"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21 Turismo</w:t>
            </w:r>
          </w:p>
        </w:tc>
        <w:tc>
          <w:tcPr>
            <w:tcW w:w="640" w:type="pct"/>
            <w:tcBorders>
              <w:top w:val="nil"/>
              <w:left w:val="nil"/>
              <w:bottom w:val="nil"/>
              <w:right w:val="nil"/>
            </w:tcBorders>
            <w:shd w:val="clear" w:color="auto" w:fill="F2F2F2" w:themeFill="background1" w:themeFillShade="F2"/>
            <w:noWrap/>
            <w:vAlign w:val="center"/>
          </w:tcPr>
          <w:p w14:paraId="43D35C00"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98" w:type="pct"/>
            <w:tcBorders>
              <w:top w:val="nil"/>
              <w:left w:val="nil"/>
              <w:bottom w:val="nil"/>
              <w:right w:val="nil"/>
            </w:tcBorders>
            <w:shd w:val="clear" w:color="auto" w:fill="F2F2F2" w:themeFill="background1" w:themeFillShade="F2"/>
            <w:noWrap/>
            <w:vAlign w:val="center"/>
            <w:hideMark/>
          </w:tcPr>
          <w:p w14:paraId="1E7D355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w:t>
            </w:r>
          </w:p>
        </w:tc>
        <w:tc>
          <w:tcPr>
            <w:tcW w:w="639" w:type="pct"/>
            <w:tcBorders>
              <w:top w:val="nil"/>
              <w:left w:val="nil"/>
              <w:bottom w:val="nil"/>
              <w:right w:val="nil"/>
            </w:tcBorders>
            <w:shd w:val="clear" w:color="auto" w:fill="F2F2F2" w:themeFill="background1" w:themeFillShade="F2"/>
            <w:noWrap/>
            <w:vAlign w:val="center"/>
          </w:tcPr>
          <w:p w14:paraId="4474B73B"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4CA61DBC"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auto" w:fill="F2F2F2" w:themeFill="background1" w:themeFillShade="F2"/>
            <w:noWrap/>
            <w:vAlign w:val="center"/>
            <w:hideMark/>
          </w:tcPr>
          <w:p w14:paraId="1BCFA431"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w:t>
            </w:r>
          </w:p>
        </w:tc>
        <w:tc>
          <w:tcPr>
            <w:tcW w:w="510" w:type="pct"/>
            <w:tcBorders>
              <w:top w:val="nil"/>
              <w:left w:val="nil"/>
              <w:bottom w:val="nil"/>
              <w:right w:val="nil"/>
            </w:tcBorders>
            <w:shd w:val="clear" w:color="auto" w:fill="F2F2F2" w:themeFill="background1" w:themeFillShade="F2"/>
            <w:noWrap/>
            <w:vAlign w:val="center"/>
            <w:hideMark/>
          </w:tcPr>
          <w:p w14:paraId="07DABF0D"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0.8</w:t>
            </w:r>
          </w:p>
        </w:tc>
      </w:tr>
      <w:tr w:rsidR="00F77FE5" w:rsidRPr="00F77FE5" w14:paraId="25C21B90" w14:textId="77777777" w:rsidTr="005A7CAD">
        <w:trPr>
          <w:trHeight w:val="300"/>
        </w:trPr>
        <w:tc>
          <w:tcPr>
            <w:tcW w:w="296" w:type="pct"/>
            <w:tcBorders>
              <w:top w:val="nil"/>
              <w:left w:val="nil"/>
              <w:bottom w:val="nil"/>
              <w:right w:val="nil"/>
            </w:tcBorders>
            <w:shd w:val="clear" w:color="000000" w:fill="FFFFFF"/>
            <w:noWrap/>
            <w:vAlign w:val="center"/>
            <w:hideMark/>
          </w:tcPr>
          <w:p w14:paraId="45AB6843"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5BCBA609"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SECTUR</w:t>
            </w:r>
          </w:p>
        </w:tc>
        <w:tc>
          <w:tcPr>
            <w:tcW w:w="640" w:type="pct"/>
            <w:tcBorders>
              <w:top w:val="nil"/>
              <w:left w:val="nil"/>
              <w:bottom w:val="nil"/>
              <w:right w:val="nil"/>
            </w:tcBorders>
            <w:shd w:val="clear" w:color="000000" w:fill="FFFFFF"/>
            <w:noWrap/>
            <w:vAlign w:val="center"/>
          </w:tcPr>
          <w:p w14:paraId="2EAD7CFD"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98" w:type="pct"/>
            <w:tcBorders>
              <w:top w:val="nil"/>
              <w:left w:val="nil"/>
              <w:bottom w:val="nil"/>
              <w:right w:val="nil"/>
            </w:tcBorders>
            <w:shd w:val="clear" w:color="000000" w:fill="FFFFFF"/>
            <w:noWrap/>
            <w:vAlign w:val="center"/>
            <w:hideMark/>
          </w:tcPr>
          <w:p w14:paraId="50A0C7F5"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w:t>
            </w:r>
          </w:p>
        </w:tc>
        <w:tc>
          <w:tcPr>
            <w:tcW w:w="639" w:type="pct"/>
            <w:tcBorders>
              <w:top w:val="nil"/>
              <w:left w:val="nil"/>
              <w:bottom w:val="nil"/>
              <w:right w:val="nil"/>
            </w:tcBorders>
            <w:shd w:val="clear" w:color="000000" w:fill="FFFFFF"/>
            <w:noWrap/>
            <w:vAlign w:val="center"/>
          </w:tcPr>
          <w:p w14:paraId="4323D7DF"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511D65FF"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6FDEB54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4DDCAC1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464F8174"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22A821CE"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38 Consejo Nacional de Ciencia y Tecnología</w:t>
            </w:r>
          </w:p>
        </w:tc>
        <w:tc>
          <w:tcPr>
            <w:tcW w:w="640" w:type="pct"/>
            <w:tcBorders>
              <w:top w:val="nil"/>
              <w:left w:val="nil"/>
              <w:bottom w:val="nil"/>
              <w:right w:val="nil"/>
            </w:tcBorders>
            <w:shd w:val="clear" w:color="auto" w:fill="F2F2F2" w:themeFill="background1" w:themeFillShade="F2"/>
            <w:noWrap/>
            <w:vAlign w:val="center"/>
            <w:hideMark/>
          </w:tcPr>
          <w:p w14:paraId="2725A20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8</w:t>
            </w:r>
          </w:p>
        </w:tc>
        <w:tc>
          <w:tcPr>
            <w:tcW w:w="498" w:type="pct"/>
            <w:tcBorders>
              <w:top w:val="nil"/>
              <w:left w:val="nil"/>
              <w:bottom w:val="nil"/>
              <w:right w:val="nil"/>
            </w:tcBorders>
            <w:shd w:val="clear" w:color="auto" w:fill="F2F2F2" w:themeFill="background1" w:themeFillShade="F2"/>
            <w:noWrap/>
            <w:vAlign w:val="center"/>
          </w:tcPr>
          <w:p w14:paraId="69C66167"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auto" w:fill="F2F2F2" w:themeFill="background1" w:themeFillShade="F2"/>
            <w:noWrap/>
            <w:vAlign w:val="center"/>
          </w:tcPr>
          <w:p w14:paraId="7A938B59"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0955DADC"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auto" w:fill="F2F2F2" w:themeFill="background1" w:themeFillShade="F2"/>
            <w:noWrap/>
            <w:vAlign w:val="center"/>
            <w:hideMark/>
          </w:tcPr>
          <w:p w14:paraId="3DB9D16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8</w:t>
            </w:r>
          </w:p>
        </w:tc>
        <w:tc>
          <w:tcPr>
            <w:tcW w:w="510" w:type="pct"/>
            <w:tcBorders>
              <w:top w:val="nil"/>
              <w:left w:val="nil"/>
              <w:bottom w:val="nil"/>
              <w:right w:val="nil"/>
            </w:tcBorders>
            <w:shd w:val="clear" w:color="auto" w:fill="F2F2F2" w:themeFill="background1" w:themeFillShade="F2"/>
            <w:noWrap/>
            <w:vAlign w:val="center"/>
            <w:hideMark/>
          </w:tcPr>
          <w:p w14:paraId="1CA3786C"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1.7</w:t>
            </w:r>
          </w:p>
        </w:tc>
      </w:tr>
      <w:tr w:rsidR="00F77FE5" w:rsidRPr="00F77FE5" w14:paraId="1E75F27D" w14:textId="77777777" w:rsidTr="005A7CAD">
        <w:trPr>
          <w:trHeight w:val="300"/>
        </w:trPr>
        <w:tc>
          <w:tcPr>
            <w:tcW w:w="296" w:type="pct"/>
            <w:tcBorders>
              <w:top w:val="nil"/>
              <w:left w:val="nil"/>
              <w:bottom w:val="nil"/>
              <w:right w:val="nil"/>
            </w:tcBorders>
            <w:shd w:val="clear" w:color="000000" w:fill="FFFFFF"/>
            <w:noWrap/>
            <w:vAlign w:val="center"/>
            <w:hideMark/>
          </w:tcPr>
          <w:p w14:paraId="73261E26"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185F7DEF"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CONACYT</w:t>
            </w:r>
          </w:p>
        </w:tc>
        <w:tc>
          <w:tcPr>
            <w:tcW w:w="640" w:type="pct"/>
            <w:tcBorders>
              <w:top w:val="nil"/>
              <w:left w:val="nil"/>
              <w:bottom w:val="nil"/>
              <w:right w:val="nil"/>
            </w:tcBorders>
            <w:shd w:val="clear" w:color="000000" w:fill="FFFFFF"/>
            <w:noWrap/>
            <w:vAlign w:val="center"/>
            <w:hideMark/>
          </w:tcPr>
          <w:p w14:paraId="226F037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8</w:t>
            </w:r>
          </w:p>
        </w:tc>
        <w:tc>
          <w:tcPr>
            <w:tcW w:w="498" w:type="pct"/>
            <w:tcBorders>
              <w:top w:val="nil"/>
              <w:left w:val="nil"/>
              <w:bottom w:val="nil"/>
              <w:right w:val="nil"/>
            </w:tcBorders>
            <w:shd w:val="clear" w:color="000000" w:fill="FFFFFF"/>
            <w:noWrap/>
            <w:vAlign w:val="center"/>
          </w:tcPr>
          <w:p w14:paraId="17E54E5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000000" w:fill="FFFFFF"/>
            <w:noWrap/>
            <w:vAlign w:val="center"/>
          </w:tcPr>
          <w:p w14:paraId="52FC26F7"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2E6FC220"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10770AC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41E58D9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2CA931F4"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2DE458F6"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47 Entidades No Sectorizadas</w:t>
            </w:r>
          </w:p>
        </w:tc>
        <w:tc>
          <w:tcPr>
            <w:tcW w:w="640" w:type="pct"/>
            <w:tcBorders>
              <w:top w:val="nil"/>
              <w:left w:val="nil"/>
              <w:bottom w:val="nil"/>
              <w:right w:val="nil"/>
            </w:tcBorders>
            <w:shd w:val="clear" w:color="auto" w:fill="F2F2F2" w:themeFill="background1" w:themeFillShade="F2"/>
            <w:noWrap/>
            <w:vAlign w:val="center"/>
            <w:hideMark/>
          </w:tcPr>
          <w:p w14:paraId="2C35AE0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10</w:t>
            </w:r>
          </w:p>
        </w:tc>
        <w:tc>
          <w:tcPr>
            <w:tcW w:w="498" w:type="pct"/>
            <w:tcBorders>
              <w:top w:val="nil"/>
              <w:left w:val="nil"/>
              <w:bottom w:val="nil"/>
              <w:right w:val="nil"/>
            </w:tcBorders>
            <w:shd w:val="clear" w:color="auto" w:fill="F2F2F2" w:themeFill="background1" w:themeFillShade="F2"/>
            <w:noWrap/>
            <w:vAlign w:val="center"/>
          </w:tcPr>
          <w:p w14:paraId="226157FF"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auto" w:fill="F2F2F2" w:themeFill="background1" w:themeFillShade="F2"/>
            <w:noWrap/>
            <w:vAlign w:val="center"/>
            <w:hideMark/>
          </w:tcPr>
          <w:p w14:paraId="0B79A03D"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782" w:type="pct"/>
            <w:tcBorders>
              <w:top w:val="nil"/>
              <w:left w:val="nil"/>
              <w:bottom w:val="nil"/>
              <w:right w:val="nil"/>
            </w:tcBorders>
            <w:shd w:val="clear" w:color="auto" w:fill="F2F2F2" w:themeFill="background1" w:themeFillShade="F2"/>
            <w:noWrap/>
            <w:vAlign w:val="center"/>
          </w:tcPr>
          <w:p w14:paraId="54050C64"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auto" w:fill="F2F2F2" w:themeFill="background1" w:themeFillShade="F2"/>
            <w:noWrap/>
            <w:vAlign w:val="center"/>
            <w:hideMark/>
          </w:tcPr>
          <w:p w14:paraId="60B9361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11</w:t>
            </w:r>
          </w:p>
        </w:tc>
        <w:tc>
          <w:tcPr>
            <w:tcW w:w="510" w:type="pct"/>
            <w:tcBorders>
              <w:top w:val="nil"/>
              <w:left w:val="nil"/>
              <w:bottom w:val="nil"/>
              <w:right w:val="nil"/>
            </w:tcBorders>
            <w:shd w:val="clear" w:color="auto" w:fill="F2F2F2" w:themeFill="background1" w:themeFillShade="F2"/>
            <w:noWrap/>
            <w:vAlign w:val="center"/>
            <w:hideMark/>
          </w:tcPr>
          <w:p w14:paraId="3C5BE69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2.3</w:t>
            </w:r>
          </w:p>
        </w:tc>
      </w:tr>
      <w:tr w:rsidR="00F77FE5" w:rsidRPr="00F77FE5" w14:paraId="051E296D" w14:textId="77777777" w:rsidTr="005A7CAD">
        <w:trPr>
          <w:trHeight w:val="300"/>
        </w:trPr>
        <w:tc>
          <w:tcPr>
            <w:tcW w:w="296" w:type="pct"/>
            <w:tcBorders>
              <w:top w:val="nil"/>
              <w:left w:val="nil"/>
              <w:bottom w:val="nil"/>
              <w:right w:val="nil"/>
            </w:tcBorders>
            <w:shd w:val="clear" w:color="000000" w:fill="FFFFFF"/>
            <w:noWrap/>
            <w:vAlign w:val="center"/>
            <w:hideMark/>
          </w:tcPr>
          <w:p w14:paraId="71EE18FB"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56414FFD"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CDI</w:t>
            </w:r>
          </w:p>
        </w:tc>
        <w:tc>
          <w:tcPr>
            <w:tcW w:w="640" w:type="pct"/>
            <w:tcBorders>
              <w:top w:val="nil"/>
              <w:left w:val="nil"/>
              <w:bottom w:val="nil"/>
              <w:right w:val="nil"/>
            </w:tcBorders>
            <w:shd w:val="clear" w:color="000000" w:fill="FFFFFF"/>
            <w:noWrap/>
            <w:vAlign w:val="center"/>
            <w:hideMark/>
          </w:tcPr>
          <w:p w14:paraId="22A6920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10</w:t>
            </w:r>
          </w:p>
        </w:tc>
        <w:tc>
          <w:tcPr>
            <w:tcW w:w="498" w:type="pct"/>
            <w:tcBorders>
              <w:top w:val="nil"/>
              <w:left w:val="nil"/>
              <w:bottom w:val="nil"/>
              <w:right w:val="nil"/>
            </w:tcBorders>
            <w:shd w:val="clear" w:color="000000" w:fill="FFFFFF"/>
            <w:noWrap/>
            <w:vAlign w:val="center"/>
          </w:tcPr>
          <w:p w14:paraId="6B3CC658"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000000" w:fill="FFFFFF"/>
            <w:noWrap/>
            <w:vAlign w:val="center"/>
            <w:hideMark/>
          </w:tcPr>
          <w:p w14:paraId="159219D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w:t>
            </w:r>
          </w:p>
        </w:tc>
        <w:tc>
          <w:tcPr>
            <w:tcW w:w="782" w:type="pct"/>
            <w:tcBorders>
              <w:top w:val="nil"/>
              <w:left w:val="nil"/>
              <w:bottom w:val="nil"/>
              <w:right w:val="nil"/>
            </w:tcBorders>
            <w:shd w:val="clear" w:color="000000" w:fill="FFFFFF"/>
            <w:noWrap/>
            <w:vAlign w:val="center"/>
          </w:tcPr>
          <w:p w14:paraId="20F5973C"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08B79BA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06DA7098"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61C08BCE"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7127E288"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48 Cultura</w:t>
            </w:r>
          </w:p>
        </w:tc>
        <w:tc>
          <w:tcPr>
            <w:tcW w:w="640" w:type="pct"/>
            <w:tcBorders>
              <w:top w:val="nil"/>
              <w:left w:val="nil"/>
              <w:bottom w:val="nil"/>
              <w:right w:val="nil"/>
            </w:tcBorders>
            <w:shd w:val="clear" w:color="auto" w:fill="F2F2F2" w:themeFill="background1" w:themeFillShade="F2"/>
            <w:noWrap/>
            <w:vAlign w:val="center"/>
            <w:hideMark/>
          </w:tcPr>
          <w:p w14:paraId="222A747E"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12</w:t>
            </w:r>
          </w:p>
        </w:tc>
        <w:tc>
          <w:tcPr>
            <w:tcW w:w="498" w:type="pct"/>
            <w:tcBorders>
              <w:top w:val="nil"/>
              <w:left w:val="nil"/>
              <w:bottom w:val="nil"/>
              <w:right w:val="nil"/>
            </w:tcBorders>
            <w:shd w:val="clear" w:color="auto" w:fill="F2F2F2" w:themeFill="background1" w:themeFillShade="F2"/>
            <w:noWrap/>
            <w:vAlign w:val="center"/>
          </w:tcPr>
          <w:p w14:paraId="51C3CDA1"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auto" w:fill="F2F2F2" w:themeFill="background1" w:themeFillShade="F2"/>
            <w:noWrap/>
            <w:vAlign w:val="center"/>
          </w:tcPr>
          <w:p w14:paraId="5FB47AB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29D5C263"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auto" w:fill="F2F2F2" w:themeFill="background1" w:themeFillShade="F2"/>
            <w:noWrap/>
            <w:vAlign w:val="center"/>
            <w:hideMark/>
          </w:tcPr>
          <w:p w14:paraId="088F110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12</w:t>
            </w:r>
          </w:p>
        </w:tc>
        <w:tc>
          <w:tcPr>
            <w:tcW w:w="510" w:type="pct"/>
            <w:tcBorders>
              <w:top w:val="nil"/>
              <w:left w:val="nil"/>
              <w:bottom w:val="nil"/>
              <w:right w:val="nil"/>
            </w:tcBorders>
            <w:shd w:val="clear" w:color="auto" w:fill="F2F2F2" w:themeFill="background1" w:themeFillShade="F2"/>
            <w:noWrap/>
            <w:vAlign w:val="center"/>
            <w:hideMark/>
          </w:tcPr>
          <w:p w14:paraId="738C205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2.5</w:t>
            </w:r>
          </w:p>
        </w:tc>
      </w:tr>
      <w:tr w:rsidR="00F77FE5" w:rsidRPr="00F77FE5" w14:paraId="2D242FB5" w14:textId="77777777" w:rsidTr="005A7CAD">
        <w:trPr>
          <w:trHeight w:val="300"/>
        </w:trPr>
        <w:tc>
          <w:tcPr>
            <w:tcW w:w="296" w:type="pct"/>
            <w:tcBorders>
              <w:top w:val="nil"/>
              <w:left w:val="nil"/>
              <w:bottom w:val="nil"/>
              <w:right w:val="nil"/>
            </w:tcBorders>
            <w:shd w:val="clear" w:color="000000" w:fill="FFFFFF"/>
            <w:noWrap/>
            <w:vAlign w:val="center"/>
            <w:hideMark/>
          </w:tcPr>
          <w:p w14:paraId="32C049A9"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15D69A7C"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CULTURA</w:t>
            </w:r>
          </w:p>
        </w:tc>
        <w:tc>
          <w:tcPr>
            <w:tcW w:w="640" w:type="pct"/>
            <w:tcBorders>
              <w:top w:val="nil"/>
              <w:left w:val="nil"/>
              <w:bottom w:val="nil"/>
              <w:right w:val="nil"/>
            </w:tcBorders>
            <w:shd w:val="clear" w:color="000000" w:fill="FFFFFF"/>
            <w:noWrap/>
            <w:vAlign w:val="center"/>
            <w:hideMark/>
          </w:tcPr>
          <w:p w14:paraId="64F14277"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12</w:t>
            </w:r>
          </w:p>
        </w:tc>
        <w:tc>
          <w:tcPr>
            <w:tcW w:w="498" w:type="pct"/>
            <w:tcBorders>
              <w:top w:val="nil"/>
              <w:left w:val="nil"/>
              <w:bottom w:val="nil"/>
              <w:right w:val="nil"/>
            </w:tcBorders>
            <w:shd w:val="clear" w:color="000000" w:fill="FFFFFF"/>
            <w:noWrap/>
            <w:vAlign w:val="center"/>
          </w:tcPr>
          <w:p w14:paraId="168FAAA5" w14:textId="77777777" w:rsidR="00F77FE5" w:rsidRPr="00F77FE5" w:rsidRDefault="00F77FE5" w:rsidP="00F77FE5">
            <w:pPr>
              <w:spacing w:after="0"/>
              <w:jc w:val="center"/>
              <w:rPr>
                <w:rFonts w:eastAsia="Times New Roman" w:cs="Calibri"/>
                <w:color w:val="000000"/>
                <w:sz w:val="14"/>
                <w:szCs w:val="14"/>
                <w:lang w:val="es-MX" w:eastAsia="es-MX"/>
              </w:rPr>
            </w:pPr>
          </w:p>
        </w:tc>
        <w:tc>
          <w:tcPr>
            <w:tcW w:w="639" w:type="pct"/>
            <w:tcBorders>
              <w:top w:val="nil"/>
              <w:left w:val="nil"/>
              <w:bottom w:val="nil"/>
              <w:right w:val="nil"/>
            </w:tcBorders>
            <w:shd w:val="clear" w:color="000000" w:fill="FFFFFF"/>
            <w:noWrap/>
            <w:vAlign w:val="center"/>
          </w:tcPr>
          <w:p w14:paraId="2092467F"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26A745B6"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7A2A2D35"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3F153F2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144D0451"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6046EE3F"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50 Instituto Mexicano del Seguro Social</w:t>
            </w:r>
          </w:p>
        </w:tc>
        <w:tc>
          <w:tcPr>
            <w:tcW w:w="640" w:type="pct"/>
            <w:tcBorders>
              <w:top w:val="nil"/>
              <w:left w:val="nil"/>
              <w:bottom w:val="nil"/>
              <w:right w:val="nil"/>
            </w:tcBorders>
            <w:shd w:val="clear" w:color="auto" w:fill="F2F2F2" w:themeFill="background1" w:themeFillShade="F2"/>
            <w:noWrap/>
            <w:vAlign w:val="center"/>
            <w:hideMark/>
          </w:tcPr>
          <w:p w14:paraId="1C2EC945"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3</w:t>
            </w:r>
          </w:p>
        </w:tc>
        <w:tc>
          <w:tcPr>
            <w:tcW w:w="498" w:type="pct"/>
            <w:tcBorders>
              <w:top w:val="nil"/>
              <w:left w:val="nil"/>
              <w:bottom w:val="nil"/>
              <w:right w:val="nil"/>
            </w:tcBorders>
            <w:shd w:val="clear" w:color="auto" w:fill="F2F2F2" w:themeFill="background1" w:themeFillShade="F2"/>
            <w:noWrap/>
            <w:vAlign w:val="center"/>
            <w:hideMark/>
          </w:tcPr>
          <w:p w14:paraId="49EC2280"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w:t>
            </w:r>
          </w:p>
        </w:tc>
        <w:tc>
          <w:tcPr>
            <w:tcW w:w="639" w:type="pct"/>
            <w:tcBorders>
              <w:top w:val="nil"/>
              <w:left w:val="nil"/>
              <w:bottom w:val="nil"/>
              <w:right w:val="nil"/>
            </w:tcBorders>
            <w:shd w:val="clear" w:color="auto" w:fill="F2F2F2" w:themeFill="background1" w:themeFillShade="F2"/>
            <w:noWrap/>
            <w:vAlign w:val="center"/>
          </w:tcPr>
          <w:p w14:paraId="02F45874"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72F20658"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auto" w:fill="F2F2F2" w:themeFill="background1" w:themeFillShade="F2"/>
            <w:noWrap/>
            <w:vAlign w:val="center"/>
            <w:hideMark/>
          </w:tcPr>
          <w:p w14:paraId="49EA649E"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7</w:t>
            </w:r>
          </w:p>
        </w:tc>
        <w:tc>
          <w:tcPr>
            <w:tcW w:w="510" w:type="pct"/>
            <w:tcBorders>
              <w:top w:val="nil"/>
              <w:left w:val="nil"/>
              <w:bottom w:val="nil"/>
              <w:right w:val="nil"/>
            </w:tcBorders>
            <w:shd w:val="clear" w:color="auto" w:fill="F2F2F2" w:themeFill="background1" w:themeFillShade="F2"/>
            <w:noWrap/>
            <w:vAlign w:val="center"/>
            <w:hideMark/>
          </w:tcPr>
          <w:p w14:paraId="4022DB8A"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1.5</w:t>
            </w:r>
          </w:p>
        </w:tc>
      </w:tr>
      <w:tr w:rsidR="00F77FE5" w:rsidRPr="00F77FE5" w14:paraId="740E6531" w14:textId="77777777" w:rsidTr="005A7CAD">
        <w:trPr>
          <w:trHeight w:val="300"/>
        </w:trPr>
        <w:tc>
          <w:tcPr>
            <w:tcW w:w="296" w:type="pct"/>
            <w:tcBorders>
              <w:top w:val="nil"/>
              <w:left w:val="nil"/>
              <w:bottom w:val="nil"/>
              <w:right w:val="nil"/>
            </w:tcBorders>
            <w:shd w:val="clear" w:color="000000" w:fill="FFFFFF"/>
            <w:noWrap/>
            <w:vAlign w:val="center"/>
            <w:hideMark/>
          </w:tcPr>
          <w:p w14:paraId="69AB6054"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6E9B6C9A"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IMSS</w:t>
            </w:r>
          </w:p>
        </w:tc>
        <w:tc>
          <w:tcPr>
            <w:tcW w:w="640" w:type="pct"/>
            <w:tcBorders>
              <w:top w:val="nil"/>
              <w:left w:val="nil"/>
              <w:bottom w:val="nil"/>
              <w:right w:val="nil"/>
            </w:tcBorders>
            <w:shd w:val="clear" w:color="000000" w:fill="FFFFFF"/>
            <w:noWrap/>
            <w:vAlign w:val="center"/>
            <w:hideMark/>
          </w:tcPr>
          <w:p w14:paraId="5BA233F9"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3</w:t>
            </w:r>
          </w:p>
        </w:tc>
        <w:tc>
          <w:tcPr>
            <w:tcW w:w="498" w:type="pct"/>
            <w:tcBorders>
              <w:top w:val="nil"/>
              <w:left w:val="nil"/>
              <w:bottom w:val="nil"/>
              <w:right w:val="nil"/>
            </w:tcBorders>
            <w:shd w:val="clear" w:color="000000" w:fill="FFFFFF"/>
            <w:noWrap/>
            <w:vAlign w:val="center"/>
            <w:hideMark/>
          </w:tcPr>
          <w:p w14:paraId="78B0C42D"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4</w:t>
            </w:r>
          </w:p>
        </w:tc>
        <w:tc>
          <w:tcPr>
            <w:tcW w:w="639" w:type="pct"/>
            <w:tcBorders>
              <w:top w:val="nil"/>
              <w:left w:val="nil"/>
              <w:bottom w:val="nil"/>
              <w:right w:val="nil"/>
            </w:tcBorders>
            <w:shd w:val="clear" w:color="000000" w:fill="FFFFFF"/>
            <w:noWrap/>
            <w:vAlign w:val="center"/>
          </w:tcPr>
          <w:p w14:paraId="3062E1B1"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5C791A24"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2CECC4ED"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124B768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5BD460E3" w14:textId="77777777" w:rsidTr="005A7CAD">
        <w:trPr>
          <w:trHeight w:val="300"/>
        </w:trPr>
        <w:tc>
          <w:tcPr>
            <w:tcW w:w="1505" w:type="pct"/>
            <w:gridSpan w:val="2"/>
            <w:tcBorders>
              <w:top w:val="nil"/>
              <w:left w:val="nil"/>
              <w:bottom w:val="nil"/>
              <w:right w:val="nil"/>
            </w:tcBorders>
            <w:shd w:val="clear" w:color="auto" w:fill="F2F2F2" w:themeFill="background1" w:themeFillShade="F2"/>
            <w:noWrap/>
            <w:vAlign w:val="center"/>
            <w:hideMark/>
          </w:tcPr>
          <w:p w14:paraId="674CEE54"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51 Instituto de Seguridad y Servicios Sociales de los Trabajadores del Estado (ISSSTE)</w:t>
            </w:r>
          </w:p>
        </w:tc>
        <w:tc>
          <w:tcPr>
            <w:tcW w:w="640" w:type="pct"/>
            <w:tcBorders>
              <w:top w:val="nil"/>
              <w:left w:val="nil"/>
              <w:bottom w:val="nil"/>
              <w:right w:val="nil"/>
            </w:tcBorders>
            <w:shd w:val="clear" w:color="auto" w:fill="F2F2F2" w:themeFill="background1" w:themeFillShade="F2"/>
            <w:noWrap/>
            <w:vAlign w:val="center"/>
            <w:hideMark/>
          </w:tcPr>
          <w:p w14:paraId="0D5FEB27"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5</w:t>
            </w:r>
          </w:p>
        </w:tc>
        <w:tc>
          <w:tcPr>
            <w:tcW w:w="498" w:type="pct"/>
            <w:tcBorders>
              <w:top w:val="nil"/>
              <w:left w:val="nil"/>
              <w:bottom w:val="nil"/>
              <w:right w:val="nil"/>
            </w:tcBorders>
            <w:shd w:val="clear" w:color="auto" w:fill="F2F2F2" w:themeFill="background1" w:themeFillShade="F2"/>
            <w:noWrap/>
            <w:vAlign w:val="center"/>
            <w:hideMark/>
          </w:tcPr>
          <w:p w14:paraId="33CCFA7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8</w:t>
            </w:r>
          </w:p>
        </w:tc>
        <w:tc>
          <w:tcPr>
            <w:tcW w:w="639" w:type="pct"/>
            <w:tcBorders>
              <w:top w:val="nil"/>
              <w:left w:val="nil"/>
              <w:bottom w:val="nil"/>
              <w:right w:val="nil"/>
            </w:tcBorders>
            <w:shd w:val="clear" w:color="auto" w:fill="F2F2F2" w:themeFill="background1" w:themeFillShade="F2"/>
            <w:noWrap/>
            <w:vAlign w:val="center"/>
          </w:tcPr>
          <w:p w14:paraId="59B11253"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auto" w:fill="F2F2F2" w:themeFill="background1" w:themeFillShade="F2"/>
            <w:noWrap/>
            <w:vAlign w:val="center"/>
          </w:tcPr>
          <w:p w14:paraId="7918E05A"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auto" w:fill="F2F2F2" w:themeFill="background1" w:themeFillShade="F2"/>
            <w:noWrap/>
            <w:vAlign w:val="center"/>
            <w:hideMark/>
          </w:tcPr>
          <w:p w14:paraId="4A63D39B"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13</w:t>
            </w:r>
          </w:p>
        </w:tc>
        <w:tc>
          <w:tcPr>
            <w:tcW w:w="510" w:type="pct"/>
            <w:tcBorders>
              <w:top w:val="nil"/>
              <w:left w:val="nil"/>
              <w:bottom w:val="nil"/>
              <w:right w:val="nil"/>
            </w:tcBorders>
            <w:shd w:val="clear" w:color="auto" w:fill="F2F2F2" w:themeFill="background1" w:themeFillShade="F2"/>
            <w:noWrap/>
            <w:vAlign w:val="center"/>
            <w:hideMark/>
          </w:tcPr>
          <w:p w14:paraId="72B9C556"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2.7</w:t>
            </w:r>
          </w:p>
        </w:tc>
      </w:tr>
      <w:tr w:rsidR="00F77FE5" w:rsidRPr="00F77FE5" w14:paraId="4937CE70" w14:textId="77777777" w:rsidTr="005A7CAD">
        <w:trPr>
          <w:trHeight w:val="300"/>
        </w:trPr>
        <w:tc>
          <w:tcPr>
            <w:tcW w:w="296" w:type="pct"/>
            <w:tcBorders>
              <w:top w:val="nil"/>
              <w:left w:val="nil"/>
              <w:bottom w:val="nil"/>
              <w:right w:val="nil"/>
            </w:tcBorders>
            <w:shd w:val="clear" w:color="000000" w:fill="FFFFFF"/>
            <w:noWrap/>
            <w:vAlign w:val="center"/>
            <w:hideMark/>
          </w:tcPr>
          <w:p w14:paraId="7D95CCFD"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1209" w:type="pct"/>
            <w:tcBorders>
              <w:top w:val="nil"/>
              <w:left w:val="nil"/>
              <w:bottom w:val="nil"/>
              <w:right w:val="nil"/>
            </w:tcBorders>
            <w:shd w:val="clear" w:color="000000" w:fill="FFFFFF"/>
            <w:noWrap/>
            <w:vAlign w:val="center"/>
            <w:hideMark/>
          </w:tcPr>
          <w:p w14:paraId="76E5EEA8"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ISSSTE</w:t>
            </w:r>
          </w:p>
        </w:tc>
        <w:tc>
          <w:tcPr>
            <w:tcW w:w="640" w:type="pct"/>
            <w:tcBorders>
              <w:top w:val="nil"/>
              <w:left w:val="nil"/>
              <w:bottom w:val="nil"/>
              <w:right w:val="nil"/>
            </w:tcBorders>
            <w:shd w:val="clear" w:color="000000" w:fill="FFFFFF"/>
            <w:noWrap/>
            <w:vAlign w:val="center"/>
            <w:hideMark/>
          </w:tcPr>
          <w:p w14:paraId="6E01A0D5"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5</w:t>
            </w:r>
          </w:p>
        </w:tc>
        <w:tc>
          <w:tcPr>
            <w:tcW w:w="498" w:type="pct"/>
            <w:tcBorders>
              <w:top w:val="nil"/>
              <w:left w:val="nil"/>
              <w:bottom w:val="nil"/>
              <w:right w:val="nil"/>
            </w:tcBorders>
            <w:shd w:val="clear" w:color="000000" w:fill="FFFFFF"/>
            <w:noWrap/>
            <w:vAlign w:val="center"/>
            <w:hideMark/>
          </w:tcPr>
          <w:p w14:paraId="4F840AAE"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8</w:t>
            </w:r>
          </w:p>
        </w:tc>
        <w:tc>
          <w:tcPr>
            <w:tcW w:w="639" w:type="pct"/>
            <w:tcBorders>
              <w:top w:val="nil"/>
              <w:left w:val="nil"/>
              <w:bottom w:val="nil"/>
              <w:right w:val="nil"/>
            </w:tcBorders>
            <w:shd w:val="clear" w:color="000000" w:fill="FFFFFF"/>
            <w:noWrap/>
            <w:vAlign w:val="center"/>
          </w:tcPr>
          <w:p w14:paraId="179AA66E" w14:textId="77777777" w:rsidR="00F77FE5" w:rsidRPr="00F77FE5" w:rsidRDefault="00F77FE5" w:rsidP="00F77FE5">
            <w:pPr>
              <w:spacing w:after="0"/>
              <w:jc w:val="center"/>
              <w:rPr>
                <w:rFonts w:eastAsia="Times New Roman" w:cs="Calibri"/>
                <w:color w:val="000000"/>
                <w:sz w:val="14"/>
                <w:szCs w:val="14"/>
                <w:lang w:val="es-MX" w:eastAsia="es-MX"/>
              </w:rPr>
            </w:pPr>
          </w:p>
        </w:tc>
        <w:tc>
          <w:tcPr>
            <w:tcW w:w="782" w:type="pct"/>
            <w:tcBorders>
              <w:top w:val="nil"/>
              <w:left w:val="nil"/>
              <w:bottom w:val="nil"/>
              <w:right w:val="nil"/>
            </w:tcBorders>
            <w:shd w:val="clear" w:color="000000" w:fill="FFFFFF"/>
            <w:noWrap/>
            <w:vAlign w:val="center"/>
          </w:tcPr>
          <w:p w14:paraId="22EF8F0C" w14:textId="77777777" w:rsidR="00F77FE5" w:rsidRPr="00F77FE5" w:rsidRDefault="00F77FE5" w:rsidP="00F77FE5">
            <w:pPr>
              <w:spacing w:after="0"/>
              <w:jc w:val="center"/>
              <w:rPr>
                <w:rFonts w:eastAsia="Times New Roman" w:cs="Calibri"/>
                <w:color w:val="000000"/>
                <w:sz w:val="14"/>
                <w:szCs w:val="14"/>
                <w:lang w:val="es-MX" w:eastAsia="es-MX"/>
              </w:rPr>
            </w:pPr>
          </w:p>
        </w:tc>
        <w:tc>
          <w:tcPr>
            <w:tcW w:w="426" w:type="pct"/>
            <w:tcBorders>
              <w:top w:val="nil"/>
              <w:left w:val="nil"/>
              <w:bottom w:val="nil"/>
              <w:right w:val="nil"/>
            </w:tcBorders>
            <w:shd w:val="clear" w:color="000000" w:fill="FFFFFF"/>
            <w:noWrap/>
            <w:vAlign w:val="center"/>
            <w:hideMark/>
          </w:tcPr>
          <w:p w14:paraId="5B4F84F7"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c>
          <w:tcPr>
            <w:tcW w:w="510" w:type="pct"/>
            <w:tcBorders>
              <w:top w:val="nil"/>
              <w:left w:val="nil"/>
              <w:bottom w:val="nil"/>
              <w:right w:val="nil"/>
            </w:tcBorders>
            <w:shd w:val="clear" w:color="000000" w:fill="FFFFFF"/>
            <w:noWrap/>
            <w:vAlign w:val="center"/>
            <w:hideMark/>
          </w:tcPr>
          <w:p w14:paraId="14ACEE1F"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w:t>
            </w:r>
          </w:p>
        </w:tc>
      </w:tr>
      <w:tr w:rsidR="00F77FE5" w:rsidRPr="00F77FE5" w14:paraId="3A40ACBF" w14:textId="77777777" w:rsidTr="005A7CAD">
        <w:trPr>
          <w:trHeight w:val="315"/>
        </w:trPr>
        <w:tc>
          <w:tcPr>
            <w:tcW w:w="1505" w:type="pct"/>
            <w:gridSpan w:val="2"/>
            <w:tcBorders>
              <w:top w:val="nil"/>
              <w:left w:val="nil"/>
              <w:bottom w:val="nil"/>
              <w:right w:val="nil"/>
            </w:tcBorders>
            <w:shd w:val="clear" w:color="000000" w:fill="FFFFFF"/>
            <w:noWrap/>
            <w:vAlign w:val="center"/>
            <w:hideMark/>
          </w:tcPr>
          <w:p w14:paraId="7CF77AD9"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Total</w:t>
            </w:r>
          </w:p>
        </w:tc>
        <w:tc>
          <w:tcPr>
            <w:tcW w:w="640" w:type="pct"/>
            <w:tcBorders>
              <w:top w:val="nil"/>
              <w:left w:val="nil"/>
              <w:bottom w:val="nil"/>
              <w:right w:val="nil"/>
            </w:tcBorders>
            <w:shd w:val="clear" w:color="000000" w:fill="FFFFFF"/>
            <w:noWrap/>
            <w:vAlign w:val="center"/>
            <w:hideMark/>
          </w:tcPr>
          <w:p w14:paraId="3D30C0B5" w14:textId="77777777" w:rsidR="00F77FE5" w:rsidRPr="00F77FE5" w:rsidRDefault="00F77FE5" w:rsidP="00F77FE5">
            <w:pPr>
              <w:spacing w:after="0"/>
              <w:jc w:val="center"/>
              <w:rPr>
                <w:rFonts w:eastAsia="Times New Roman" w:cs="Calibri"/>
                <w:b/>
                <w:bCs/>
                <w:color w:val="000000"/>
                <w:sz w:val="14"/>
                <w:szCs w:val="14"/>
                <w:lang w:val="es-MX" w:eastAsia="es-MX"/>
              </w:rPr>
            </w:pPr>
            <w:r w:rsidRPr="00F77FE5">
              <w:rPr>
                <w:rFonts w:eastAsia="Times New Roman" w:cs="Calibri"/>
                <w:b/>
                <w:bCs/>
                <w:color w:val="000000"/>
                <w:sz w:val="14"/>
                <w:szCs w:val="14"/>
                <w:lang w:val="es-MX" w:eastAsia="es-MX"/>
              </w:rPr>
              <w:t>309</w:t>
            </w:r>
          </w:p>
        </w:tc>
        <w:tc>
          <w:tcPr>
            <w:tcW w:w="498" w:type="pct"/>
            <w:tcBorders>
              <w:top w:val="nil"/>
              <w:left w:val="nil"/>
              <w:bottom w:val="nil"/>
              <w:right w:val="nil"/>
            </w:tcBorders>
            <w:shd w:val="clear" w:color="000000" w:fill="FFFFFF"/>
            <w:noWrap/>
            <w:vAlign w:val="center"/>
            <w:hideMark/>
          </w:tcPr>
          <w:p w14:paraId="125DAC8F" w14:textId="77777777" w:rsidR="00F77FE5" w:rsidRPr="00F77FE5" w:rsidRDefault="00F77FE5" w:rsidP="00F77FE5">
            <w:pPr>
              <w:spacing w:after="0"/>
              <w:jc w:val="center"/>
              <w:rPr>
                <w:rFonts w:eastAsia="Times New Roman" w:cs="Calibri"/>
                <w:b/>
                <w:bCs/>
                <w:color w:val="000000"/>
                <w:sz w:val="14"/>
                <w:szCs w:val="14"/>
                <w:lang w:val="es-MX" w:eastAsia="es-MX"/>
              </w:rPr>
            </w:pPr>
            <w:r w:rsidRPr="00F77FE5">
              <w:rPr>
                <w:rFonts w:eastAsia="Times New Roman" w:cs="Calibri"/>
                <w:b/>
                <w:bCs/>
                <w:color w:val="000000"/>
                <w:sz w:val="14"/>
                <w:szCs w:val="14"/>
                <w:lang w:val="es-MX" w:eastAsia="es-MX"/>
              </w:rPr>
              <w:t>165</w:t>
            </w:r>
          </w:p>
        </w:tc>
        <w:tc>
          <w:tcPr>
            <w:tcW w:w="639" w:type="pct"/>
            <w:tcBorders>
              <w:top w:val="nil"/>
              <w:left w:val="nil"/>
              <w:bottom w:val="nil"/>
              <w:right w:val="nil"/>
            </w:tcBorders>
            <w:shd w:val="clear" w:color="000000" w:fill="FFFFFF"/>
            <w:noWrap/>
            <w:vAlign w:val="center"/>
            <w:hideMark/>
          </w:tcPr>
          <w:p w14:paraId="2EB1A465" w14:textId="77777777" w:rsidR="00F77FE5" w:rsidRPr="00F77FE5" w:rsidRDefault="00F77FE5" w:rsidP="00F77FE5">
            <w:pPr>
              <w:spacing w:after="0"/>
              <w:jc w:val="center"/>
              <w:rPr>
                <w:rFonts w:eastAsia="Times New Roman" w:cs="Calibri"/>
                <w:b/>
                <w:bCs/>
                <w:color w:val="000000"/>
                <w:sz w:val="14"/>
                <w:szCs w:val="14"/>
                <w:lang w:val="es-MX" w:eastAsia="es-MX"/>
              </w:rPr>
            </w:pPr>
            <w:r w:rsidRPr="00F77FE5">
              <w:rPr>
                <w:rFonts w:eastAsia="Times New Roman" w:cs="Calibri"/>
                <w:b/>
                <w:bCs/>
                <w:color w:val="000000"/>
                <w:sz w:val="14"/>
                <w:szCs w:val="14"/>
                <w:lang w:val="es-MX" w:eastAsia="es-MX"/>
              </w:rPr>
              <w:t>1</w:t>
            </w:r>
          </w:p>
        </w:tc>
        <w:tc>
          <w:tcPr>
            <w:tcW w:w="782" w:type="pct"/>
            <w:tcBorders>
              <w:top w:val="nil"/>
              <w:left w:val="nil"/>
              <w:bottom w:val="nil"/>
              <w:right w:val="nil"/>
            </w:tcBorders>
            <w:shd w:val="clear" w:color="000000" w:fill="FFFFFF"/>
            <w:noWrap/>
            <w:vAlign w:val="center"/>
            <w:hideMark/>
          </w:tcPr>
          <w:p w14:paraId="6FFC843D" w14:textId="77777777" w:rsidR="00F77FE5" w:rsidRPr="00F77FE5" w:rsidRDefault="00F77FE5" w:rsidP="00F77FE5">
            <w:pPr>
              <w:spacing w:after="0"/>
              <w:jc w:val="center"/>
              <w:rPr>
                <w:rFonts w:eastAsia="Times New Roman" w:cs="Calibri"/>
                <w:b/>
                <w:bCs/>
                <w:color w:val="000000"/>
                <w:sz w:val="14"/>
                <w:szCs w:val="14"/>
                <w:lang w:val="es-MX" w:eastAsia="es-MX"/>
              </w:rPr>
            </w:pPr>
            <w:r w:rsidRPr="00F77FE5">
              <w:rPr>
                <w:rFonts w:eastAsia="Times New Roman" w:cs="Calibri"/>
                <w:b/>
                <w:bCs/>
                <w:color w:val="000000"/>
                <w:sz w:val="14"/>
                <w:szCs w:val="14"/>
                <w:lang w:val="es-MX" w:eastAsia="es-MX"/>
              </w:rPr>
              <w:t>1</w:t>
            </w:r>
          </w:p>
        </w:tc>
        <w:tc>
          <w:tcPr>
            <w:tcW w:w="426" w:type="pct"/>
            <w:tcBorders>
              <w:top w:val="nil"/>
              <w:left w:val="nil"/>
              <w:bottom w:val="nil"/>
              <w:right w:val="nil"/>
            </w:tcBorders>
            <w:shd w:val="clear" w:color="000000" w:fill="FFFFFF"/>
            <w:noWrap/>
            <w:vAlign w:val="center"/>
            <w:hideMark/>
          </w:tcPr>
          <w:p w14:paraId="456A184A" w14:textId="77777777" w:rsidR="00F77FE5" w:rsidRPr="00F77FE5" w:rsidRDefault="00F77FE5" w:rsidP="00F77FE5">
            <w:pPr>
              <w:spacing w:after="0"/>
              <w:jc w:val="center"/>
              <w:rPr>
                <w:rFonts w:eastAsia="Times New Roman" w:cs="Calibri"/>
                <w:b/>
                <w:bCs/>
                <w:color w:val="000000"/>
                <w:sz w:val="14"/>
                <w:szCs w:val="14"/>
                <w:lang w:val="es-MX" w:eastAsia="es-MX"/>
              </w:rPr>
            </w:pPr>
            <w:r w:rsidRPr="00F77FE5">
              <w:rPr>
                <w:rFonts w:eastAsia="Times New Roman" w:cs="Calibri"/>
                <w:b/>
                <w:bCs/>
                <w:color w:val="000000"/>
                <w:sz w:val="14"/>
                <w:szCs w:val="14"/>
                <w:lang w:val="es-MX" w:eastAsia="es-MX"/>
              </w:rPr>
              <w:t>476</w:t>
            </w:r>
          </w:p>
        </w:tc>
        <w:tc>
          <w:tcPr>
            <w:tcW w:w="510" w:type="pct"/>
            <w:tcBorders>
              <w:top w:val="nil"/>
              <w:left w:val="nil"/>
              <w:bottom w:val="nil"/>
              <w:right w:val="nil"/>
            </w:tcBorders>
            <w:shd w:val="clear" w:color="000000" w:fill="FFFFFF"/>
            <w:noWrap/>
            <w:vAlign w:val="center"/>
            <w:hideMark/>
          </w:tcPr>
          <w:p w14:paraId="123299BD" w14:textId="77777777" w:rsidR="00F77FE5" w:rsidRPr="00F77FE5" w:rsidRDefault="00F77FE5" w:rsidP="00F77FE5">
            <w:pPr>
              <w:spacing w:after="0"/>
              <w:jc w:val="center"/>
              <w:rPr>
                <w:rFonts w:eastAsia="Times New Roman" w:cs="Calibri"/>
                <w:b/>
                <w:bCs/>
                <w:color w:val="000000"/>
                <w:sz w:val="14"/>
                <w:szCs w:val="14"/>
                <w:lang w:val="es-MX" w:eastAsia="es-MX"/>
              </w:rPr>
            </w:pPr>
            <w:r w:rsidRPr="00F77FE5">
              <w:rPr>
                <w:rFonts w:eastAsia="Times New Roman" w:cs="Calibri"/>
                <w:b/>
                <w:bCs/>
                <w:color w:val="000000"/>
                <w:sz w:val="14"/>
                <w:szCs w:val="14"/>
                <w:lang w:val="es-MX" w:eastAsia="es-MX"/>
              </w:rPr>
              <w:t>100</w:t>
            </w:r>
          </w:p>
        </w:tc>
      </w:tr>
      <w:tr w:rsidR="00F77FE5" w:rsidRPr="00F77FE5" w14:paraId="6DD766A8" w14:textId="77777777" w:rsidTr="005A7CAD">
        <w:trPr>
          <w:trHeight w:val="315"/>
        </w:trPr>
        <w:tc>
          <w:tcPr>
            <w:tcW w:w="5000" w:type="pct"/>
            <w:gridSpan w:val="8"/>
            <w:tcBorders>
              <w:top w:val="single" w:sz="12" w:space="0" w:color="auto"/>
              <w:left w:val="nil"/>
              <w:bottom w:val="nil"/>
              <w:right w:val="nil"/>
            </w:tcBorders>
            <w:shd w:val="clear" w:color="000000" w:fill="FFFFFF"/>
            <w:noWrap/>
            <w:vAlign w:val="center"/>
            <w:hideMark/>
          </w:tcPr>
          <w:p w14:paraId="5E2FE0FE"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Fuente: Unidad de Evaluación del Desempeño, con información proporcionada por las dependencias y entidades de la APF al CONEVAL.</w:t>
            </w:r>
          </w:p>
        </w:tc>
      </w:tr>
    </w:tbl>
    <w:p w14:paraId="7B8A3AEE" w14:textId="77777777" w:rsidR="00F77FE5" w:rsidRPr="00F77FE5" w:rsidRDefault="00F77FE5" w:rsidP="00F77FE5">
      <w:pPr>
        <w:jc w:val="both"/>
        <w:rPr>
          <w:color w:val="FF0000"/>
          <w:lang w:val="es-MX"/>
        </w:rPr>
      </w:pPr>
    </w:p>
    <w:p w14:paraId="0103BF11"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ES"/>
        </w:rPr>
        <w:t>Es importante destacar que la mayoría de los ASM se concentra en aspectos clasificados como específicos, que de acuerdo a lo establecido en el Mecanismo, son atendidos por la UR del Pp.</w:t>
      </w:r>
    </w:p>
    <w:p w14:paraId="07C5935F"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ES"/>
        </w:rPr>
        <w:t xml:space="preserve">Durante el primer trimestre de 2018, 268 ASM (56.3%) han concluido su implementación, de los cuales 194 (72.4%) son del tipo específico, 73 (27.2%) son del tipo institucional y uno (0.4 %) se identifica del tipo Intergubernamental. </w:t>
      </w:r>
    </w:p>
    <w:p w14:paraId="41B34CB9"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ES"/>
        </w:rPr>
        <w:t>Asimismo, 176 (37.0%) reportaron avances y continúan con el proceso de instrumentación, y finalmente, 32 ASM (6.7%) fueron reportados sin avances.</w:t>
      </w:r>
    </w:p>
    <w:p w14:paraId="169336CE" w14:textId="77777777" w:rsidR="00F77FE5" w:rsidRPr="00F77FE5" w:rsidRDefault="00F77FE5" w:rsidP="00F77FE5">
      <w:pPr>
        <w:jc w:val="both"/>
        <w:rPr>
          <w:rFonts w:eastAsia="Times New Roman" w:cs="Arial"/>
          <w:szCs w:val="20"/>
          <w:lang w:val="es-ES"/>
        </w:rPr>
      </w:pPr>
    </w:p>
    <w:p w14:paraId="28AA33AF" w14:textId="77777777" w:rsidR="00F77FE5" w:rsidRPr="00F77FE5" w:rsidRDefault="00F77FE5" w:rsidP="00F77FE5">
      <w:pPr>
        <w:spacing w:before="20" w:after="0"/>
        <w:jc w:val="center"/>
        <w:rPr>
          <w:rFonts w:eastAsia="Calibri" w:cstheme="minorBidi"/>
          <w:b/>
          <w:sz w:val="12"/>
          <w:szCs w:val="22"/>
          <w:lang w:val="es-MX" w:eastAsia="en-US"/>
        </w:rPr>
      </w:pPr>
      <w:r w:rsidRPr="00F77FE5">
        <w:rPr>
          <w:noProof/>
          <w:lang w:val="es-MX" w:eastAsia="es-MX"/>
        </w:rPr>
        <w:drawing>
          <wp:inline distT="0" distB="0" distL="0" distR="0" wp14:anchorId="4FA9D692" wp14:editId="41997D00">
            <wp:extent cx="5400675" cy="2743200"/>
            <wp:effectExtent l="0" t="0" r="9525"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48D98EB" w14:textId="77777777" w:rsidR="00F77FE5" w:rsidRPr="00F77FE5" w:rsidRDefault="00F77FE5" w:rsidP="00F77FE5">
      <w:pPr>
        <w:spacing w:after="0"/>
        <w:jc w:val="both"/>
        <w:rPr>
          <w:rFonts w:eastAsia="Times New Roman" w:cs="Arial"/>
          <w:szCs w:val="20"/>
          <w:lang w:val="es-ES"/>
        </w:rPr>
      </w:pPr>
    </w:p>
    <w:p w14:paraId="673028C4" w14:textId="77777777" w:rsidR="00F77FE5" w:rsidRDefault="00F77FE5" w:rsidP="00F77FE5">
      <w:pPr>
        <w:jc w:val="both"/>
        <w:rPr>
          <w:rFonts w:eastAsia="Times New Roman" w:cs="Arial"/>
          <w:szCs w:val="20"/>
          <w:lang w:val="es-ES"/>
        </w:rPr>
      </w:pPr>
      <w:r w:rsidRPr="00F77FE5">
        <w:rPr>
          <w:rFonts w:eastAsia="Times New Roman" w:cs="Arial"/>
          <w:szCs w:val="20"/>
          <w:lang w:val="es-ES"/>
        </w:rPr>
        <w:t>De acuerdo al tipo de evaluación que dio origen a los ASM concluidos reportados en este trimestre, se identifican principalmente los siguientes tipos: Diseño con 119 (44.4%) y Otros Informes Externos con 93 (34.7%).</w:t>
      </w:r>
    </w:p>
    <w:p w14:paraId="24FA1B57" w14:textId="77777777" w:rsidR="005854F3" w:rsidRDefault="005854F3" w:rsidP="00F77FE5">
      <w:pPr>
        <w:jc w:val="both"/>
        <w:rPr>
          <w:rFonts w:eastAsia="Times New Roman" w:cs="Arial"/>
          <w:szCs w:val="20"/>
          <w:lang w:val="es-ES"/>
        </w:rPr>
      </w:pPr>
    </w:p>
    <w:p w14:paraId="2CBA1E0D" w14:textId="77777777" w:rsidR="005854F3" w:rsidRDefault="005854F3" w:rsidP="00F77FE5">
      <w:pPr>
        <w:jc w:val="both"/>
        <w:rPr>
          <w:rFonts w:eastAsia="Times New Roman" w:cs="Arial"/>
          <w:szCs w:val="20"/>
          <w:lang w:val="es-ES"/>
        </w:rPr>
      </w:pPr>
    </w:p>
    <w:p w14:paraId="7B1F9E7A" w14:textId="77777777" w:rsidR="005854F3" w:rsidRPr="00F77FE5" w:rsidRDefault="005854F3" w:rsidP="00F77FE5">
      <w:pPr>
        <w:jc w:val="both"/>
        <w:rPr>
          <w:rFonts w:eastAsia="Times New Roman" w:cs="Arial"/>
          <w:szCs w:val="20"/>
          <w:lang w:val="es-ES"/>
        </w:rPr>
      </w:pPr>
    </w:p>
    <w:p w14:paraId="3D98C64A" w14:textId="77777777" w:rsidR="00F77FE5" w:rsidRDefault="00F77FE5" w:rsidP="00F77FE5">
      <w:pPr>
        <w:jc w:val="both"/>
        <w:rPr>
          <w:rFonts w:eastAsia="Times New Roman" w:cs="Arial"/>
          <w:szCs w:val="20"/>
          <w:lang w:val="es-ES"/>
        </w:rPr>
      </w:pPr>
      <w:r w:rsidRPr="00F77FE5">
        <w:rPr>
          <w:rFonts w:eastAsia="Times New Roman" w:cs="Arial"/>
          <w:szCs w:val="20"/>
          <w:lang w:val="es-ES"/>
        </w:rPr>
        <w:t xml:space="preserve"> </w:t>
      </w:r>
    </w:p>
    <w:p w14:paraId="6C386326" w14:textId="77777777" w:rsidR="005854F3" w:rsidRDefault="005854F3" w:rsidP="00F77FE5">
      <w:pPr>
        <w:jc w:val="both"/>
        <w:rPr>
          <w:rFonts w:eastAsia="Times New Roman" w:cs="Arial"/>
          <w:szCs w:val="20"/>
          <w:lang w:val="es-ES"/>
        </w:rPr>
      </w:pPr>
    </w:p>
    <w:p w14:paraId="2D83C4C5" w14:textId="77777777" w:rsidR="005854F3" w:rsidRPr="00F77FE5" w:rsidRDefault="005854F3" w:rsidP="00F77FE5">
      <w:pPr>
        <w:jc w:val="both"/>
        <w:rPr>
          <w:rFonts w:eastAsia="Times New Roman" w:cs="Arial"/>
          <w:szCs w:val="20"/>
          <w:lang w:val="es-ES"/>
        </w:rPr>
      </w:pPr>
    </w:p>
    <w:tbl>
      <w:tblPr>
        <w:tblW w:w="4478" w:type="pct"/>
        <w:jc w:val="center"/>
        <w:tblLayout w:type="fixed"/>
        <w:tblCellMar>
          <w:left w:w="70" w:type="dxa"/>
          <w:right w:w="70" w:type="dxa"/>
        </w:tblCellMar>
        <w:tblLook w:val="04A0" w:firstRow="1" w:lastRow="0" w:firstColumn="1" w:lastColumn="0" w:noHBand="0" w:noVBand="1"/>
      </w:tblPr>
      <w:tblGrid>
        <w:gridCol w:w="3309"/>
        <w:gridCol w:w="965"/>
        <w:gridCol w:w="1224"/>
        <w:gridCol w:w="171"/>
        <w:gridCol w:w="1447"/>
        <w:gridCol w:w="822"/>
        <w:gridCol w:w="993"/>
      </w:tblGrid>
      <w:tr w:rsidR="00F77FE5" w:rsidRPr="00F77FE5" w14:paraId="5EBF31DB" w14:textId="77777777" w:rsidTr="005A7CAD">
        <w:trPr>
          <w:trHeight w:val="300"/>
          <w:tblHeader/>
          <w:jc w:val="center"/>
        </w:trPr>
        <w:tc>
          <w:tcPr>
            <w:tcW w:w="5000" w:type="pct"/>
            <w:gridSpan w:val="7"/>
            <w:tcBorders>
              <w:top w:val="nil"/>
              <w:left w:val="nil"/>
              <w:bottom w:val="nil"/>
              <w:right w:val="nil"/>
            </w:tcBorders>
            <w:shd w:val="clear" w:color="000000" w:fill="EAF1DD"/>
            <w:noWrap/>
            <w:vAlign w:val="center"/>
            <w:hideMark/>
          </w:tcPr>
          <w:p w14:paraId="28FBCB9E" w14:textId="77777777" w:rsidR="00F77FE5" w:rsidRPr="00F77FE5" w:rsidRDefault="00F77FE5" w:rsidP="00F77FE5">
            <w:pPr>
              <w:spacing w:after="0"/>
              <w:jc w:val="center"/>
              <w:rPr>
                <w:rFonts w:eastAsia="Times New Roman" w:cs="Calibri"/>
                <w:color w:val="000000"/>
                <w:sz w:val="18"/>
                <w:szCs w:val="18"/>
                <w:lang w:val="es-MX" w:eastAsia="es-MX"/>
              </w:rPr>
            </w:pPr>
            <w:r w:rsidRPr="00F77FE5">
              <w:rPr>
                <w:rFonts w:eastAsia="Times New Roman" w:cs="Calibri"/>
                <w:color w:val="000000"/>
                <w:sz w:val="18"/>
                <w:szCs w:val="18"/>
                <w:lang w:val="es-MX" w:eastAsia="es-MX"/>
              </w:rPr>
              <w:t>Tabla 10. ASM concluidos por tipo de evaluación al primer trimestre de 2018</w:t>
            </w:r>
          </w:p>
        </w:tc>
      </w:tr>
      <w:tr w:rsidR="00F77FE5" w:rsidRPr="00F77FE5" w14:paraId="568CB813" w14:textId="77777777" w:rsidTr="005A7CAD">
        <w:trPr>
          <w:trHeight w:val="315"/>
          <w:tblHeader/>
          <w:jc w:val="center"/>
        </w:trPr>
        <w:tc>
          <w:tcPr>
            <w:tcW w:w="1853" w:type="pct"/>
            <w:tcBorders>
              <w:top w:val="nil"/>
              <w:left w:val="nil"/>
              <w:bottom w:val="single" w:sz="8" w:space="0" w:color="auto"/>
              <w:right w:val="nil"/>
            </w:tcBorders>
            <w:shd w:val="clear" w:color="000000" w:fill="FFFFFF"/>
            <w:noWrap/>
            <w:vAlign w:val="center"/>
            <w:hideMark/>
          </w:tcPr>
          <w:p w14:paraId="67E88702" w14:textId="77777777" w:rsidR="00F77FE5" w:rsidRPr="00F77FE5" w:rsidRDefault="00F77FE5" w:rsidP="00F77FE5">
            <w:pPr>
              <w:spacing w:after="0"/>
              <w:rPr>
                <w:rFonts w:eastAsia="Times New Roman" w:cs="Calibri"/>
                <w:color w:val="000000"/>
                <w:sz w:val="14"/>
                <w:szCs w:val="14"/>
                <w:lang w:val="es-MX" w:eastAsia="es-MX"/>
              </w:rPr>
            </w:pPr>
            <w:r w:rsidRPr="00F77FE5">
              <w:rPr>
                <w:rFonts w:eastAsia="Times New Roman" w:cs="Calibri"/>
                <w:color w:val="000000"/>
                <w:sz w:val="14"/>
                <w:szCs w:val="14"/>
                <w:lang w:val="es-MX" w:eastAsia="es-MX"/>
              </w:rPr>
              <w:t>Tipo de evaluación (Fuente de información)</w:t>
            </w:r>
          </w:p>
        </w:tc>
        <w:tc>
          <w:tcPr>
            <w:tcW w:w="540" w:type="pct"/>
            <w:tcBorders>
              <w:top w:val="nil"/>
              <w:left w:val="nil"/>
              <w:bottom w:val="single" w:sz="8" w:space="0" w:color="auto"/>
              <w:right w:val="nil"/>
            </w:tcBorders>
            <w:shd w:val="clear" w:color="000000" w:fill="FFFFFF"/>
            <w:noWrap/>
            <w:vAlign w:val="center"/>
            <w:hideMark/>
          </w:tcPr>
          <w:p w14:paraId="5E90398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Específicos</w:t>
            </w:r>
          </w:p>
        </w:tc>
        <w:tc>
          <w:tcPr>
            <w:tcW w:w="685" w:type="pct"/>
            <w:tcBorders>
              <w:top w:val="nil"/>
              <w:left w:val="nil"/>
              <w:bottom w:val="single" w:sz="8" w:space="0" w:color="auto"/>
              <w:right w:val="nil"/>
            </w:tcBorders>
            <w:shd w:val="clear" w:color="000000" w:fill="FFFFFF"/>
            <w:noWrap/>
            <w:vAlign w:val="center"/>
            <w:hideMark/>
          </w:tcPr>
          <w:p w14:paraId="5DFB0BA3"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Institucionales</w:t>
            </w:r>
          </w:p>
        </w:tc>
        <w:tc>
          <w:tcPr>
            <w:tcW w:w="96" w:type="pct"/>
            <w:tcBorders>
              <w:top w:val="nil"/>
              <w:left w:val="nil"/>
              <w:bottom w:val="single" w:sz="8" w:space="0" w:color="auto"/>
              <w:right w:val="nil"/>
            </w:tcBorders>
            <w:shd w:val="clear" w:color="000000" w:fill="FFFFFF"/>
            <w:noWrap/>
            <w:vAlign w:val="center"/>
            <w:hideMark/>
          </w:tcPr>
          <w:p w14:paraId="02FA5D23" w14:textId="77777777" w:rsidR="00F77FE5" w:rsidRPr="00F77FE5" w:rsidRDefault="00F77FE5" w:rsidP="00F77FE5">
            <w:pPr>
              <w:spacing w:after="0"/>
              <w:jc w:val="center"/>
              <w:rPr>
                <w:rFonts w:eastAsia="Times New Roman" w:cs="Calibri"/>
                <w:color w:val="000000"/>
                <w:sz w:val="14"/>
                <w:szCs w:val="14"/>
                <w:lang w:val="es-MX" w:eastAsia="es-MX"/>
              </w:rPr>
            </w:pPr>
          </w:p>
        </w:tc>
        <w:tc>
          <w:tcPr>
            <w:tcW w:w="810" w:type="pct"/>
            <w:tcBorders>
              <w:top w:val="nil"/>
              <w:left w:val="nil"/>
              <w:bottom w:val="single" w:sz="8" w:space="0" w:color="auto"/>
              <w:right w:val="nil"/>
            </w:tcBorders>
            <w:shd w:val="clear" w:color="000000" w:fill="FFFFFF"/>
            <w:noWrap/>
            <w:vAlign w:val="center"/>
            <w:hideMark/>
          </w:tcPr>
          <w:p w14:paraId="59D3B0ED"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Intergubernamental</w:t>
            </w:r>
          </w:p>
        </w:tc>
        <w:tc>
          <w:tcPr>
            <w:tcW w:w="460" w:type="pct"/>
            <w:tcBorders>
              <w:top w:val="nil"/>
              <w:left w:val="nil"/>
              <w:bottom w:val="single" w:sz="8" w:space="0" w:color="auto"/>
              <w:right w:val="nil"/>
            </w:tcBorders>
            <w:shd w:val="clear" w:color="000000" w:fill="FFFFFF"/>
            <w:noWrap/>
            <w:vAlign w:val="center"/>
            <w:hideMark/>
          </w:tcPr>
          <w:p w14:paraId="29374A32"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Total</w:t>
            </w:r>
          </w:p>
        </w:tc>
        <w:tc>
          <w:tcPr>
            <w:tcW w:w="556" w:type="pct"/>
            <w:tcBorders>
              <w:top w:val="nil"/>
              <w:left w:val="nil"/>
              <w:bottom w:val="single" w:sz="8" w:space="0" w:color="auto"/>
              <w:right w:val="nil"/>
            </w:tcBorders>
            <w:shd w:val="clear" w:color="000000" w:fill="FFFFFF"/>
            <w:noWrap/>
            <w:vAlign w:val="center"/>
            <w:hideMark/>
          </w:tcPr>
          <w:p w14:paraId="49261F54" w14:textId="77777777" w:rsidR="00F77FE5" w:rsidRPr="00F77FE5" w:rsidRDefault="00F77FE5" w:rsidP="00F77FE5">
            <w:pPr>
              <w:spacing w:after="0"/>
              <w:jc w:val="center"/>
              <w:rPr>
                <w:rFonts w:eastAsia="Times New Roman" w:cs="Calibri"/>
                <w:color w:val="000000"/>
                <w:sz w:val="14"/>
                <w:szCs w:val="14"/>
                <w:lang w:val="es-MX" w:eastAsia="es-MX"/>
              </w:rPr>
            </w:pPr>
            <w:r w:rsidRPr="00F77FE5">
              <w:rPr>
                <w:rFonts w:eastAsia="Times New Roman" w:cs="Calibri"/>
                <w:color w:val="000000"/>
                <w:sz w:val="14"/>
                <w:szCs w:val="14"/>
                <w:lang w:val="es-MX" w:eastAsia="es-MX"/>
              </w:rPr>
              <w:t>% del Total</w:t>
            </w:r>
          </w:p>
        </w:tc>
      </w:tr>
      <w:tr w:rsidR="00F77FE5" w:rsidRPr="00F77FE5" w14:paraId="725BE5FD" w14:textId="77777777" w:rsidTr="005A7CAD">
        <w:trPr>
          <w:trHeight w:val="300"/>
          <w:jc w:val="center"/>
        </w:trPr>
        <w:tc>
          <w:tcPr>
            <w:tcW w:w="1853" w:type="pct"/>
            <w:tcBorders>
              <w:top w:val="nil"/>
              <w:left w:val="nil"/>
              <w:bottom w:val="nil"/>
              <w:right w:val="nil"/>
            </w:tcBorders>
            <w:shd w:val="clear" w:color="000000" w:fill="FFFFFF"/>
            <w:noWrap/>
            <w:vAlign w:val="center"/>
            <w:hideMark/>
          </w:tcPr>
          <w:p w14:paraId="6F7E9395"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Evaluación Complementaria</w:t>
            </w:r>
          </w:p>
        </w:tc>
        <w:tc>
          <w:tcPr>
            <w:tcW w:w="540" w:type="pct"/>
            <w:tcBorders>
              <w:top w:val="nil"/>
              <w:left w:val="nil"/>
              <w:bottom w:val="nil"/>
              <w:right w:val="nil"/>
            </w:tcBorders>
            <w:shd w:val="clear" w:color="000000" w:fill="FFFFFF"/>
            <w:noWrap/>
            <w:vAlign w:val="center"/>
            <w:hideMark/>
          </w:tcPr>
          <w:p w14:paraId="65F09D6F"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w:t>
            </w:r>
          </w:p>
        </w:tc>
        <w:tc>
          <w:tcPr>
            <w:tcW w:w="685" w:type="pct"/>
            <w:tcBorders>
              <w:top w:val="nil"/>
              <w:left w:val="nil"/>
              <w:bottom w:val="nil"/>
              <w:right w:val="nil"/>
            </w:tcBorders>
            <w:shd w:val="clear" w:color="000000" w:fill="FFFFFF"/>
            <w:noWrap/>
            <w:vAlign w:val="center"/>
            <w:hideMark/>
          </w:tcPr>
          <w:p w14:paraId="5AD4912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96" w:type="pct"/>
            <w:tcBorders>
              <w:top w:val="nil"/>
              <w:left w:val="nil"/>
              <w:bottom w:val="nil"/>
              <w:right w:val="nil"/>
            </w:tcBorders>
            <w:shd w:val="clear" w:color="000000" w:fill="FFFFFF"/>
            <w:noWrap/>
            <w:vAlign w:val="center"/>
          </w:tcPr>
          <w:p w14:paraId="27D1593D" w14:textId="77777777" w:rsidR="00F77FE5" w:rsidRPr="00F77FE5" w:rsidRDefault="00F77FE5" w:rsidP="00F77FE5">
            <w:pPr>
              <w:spacing w:after="0"/>
              <w:jc w:val="center"/>
              <w:rPr>
                <w:rFonts w:eastAsia="Times New Roman" w:cs="Calibri"/>
                <w:color w:val="000000"/>
                <w:sz w:val="12"/>
                <w:szCs w:val="12"/>
                <w:lang w:val="es-MX" w:eastAsia="es-MX"/>
              </w:rPr>
            </w:pPr>
          </w:p>
        </w:tc>
        <w:tc>
          <w:tcPr>
            <w:tcW w:w="810" w:type="pct"/>
            <w:tcBorders>
              <w:top w:val="nil"/>
              <w:left w:val="nil"/>
              <w:bottom w:val="nil"/>
              <w:right w:val="nil"/>
            </w:tcBorders>
            <w:shd w:val="clear" w:color="000000" w:fill="FFFFFF"/>
            <w:noWrap/>
            <w:vAlign w:val="center"/>
          </w:tcPr>
          <w:p w14:paraId="25594B5C" w14:textId="77777777" w:rsidR="00F77FE5" w:rsidRPr="00F77FE5" w:rsidRDefault="00F77FE5" w:rsidP="00F77FE5">
            <w:pPr>
              <w:spacing w:after="0"/>
              <w:jc w:val="center"/>
              <w:rPr>
                <w:rFonts w:eastAsia="Times New Roman" w:cs="Calibri"/>
                <w:color w:val="000000"/>
                <w:sz w:val="12"/>
                <w:szCs w:val="12"/>
                <w:lang w:val="es-MX" w:eastAsia="es-MX"/>
              </w:rPr>
            </w:pPr>
          </w:p>
        </w:tc>
        <w:tc>
          <w:tcPr>
            <w:tcW w:w="460" w:type="pct"/>
            <w:tcBorders>
              <w:top w:val="nil"/>
              <w:left w:val="nil"/>
              <w:bottom w:val="nil"/>
              <w:right w:val="nil"/>
            </w:tcBorders>
            <w:shd w:val="clear" w:color="000000" w:fill="FFFFFF"/>
            <w:noWrap/>
            <w:vAlign w:val="center"/>
            <w:hideMark/>
          </w:tcPr>
          <w:p w14:paraId="6DACC5D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w:t>
            </w:r>
          </w:p>
        </w:tc>
        <w:tc>
          <w:tcPr>
            <w:tcW w:w="556" w:type="pct"/>
            <w:tcBorders>
              <w:top w:val="nil"/>
              <w:left w:val="nil"/>
              <w:bottom w:val="nil"/>
              <w:right w:val="nil"/>
            </w:tcBorders>
            <w:shd w:val="clear" w:color="000000" w:fill="FFFFFF"/>
            <w:noWrap/>
            <w:vAlign w:val="center"/>
            <w:hideMark/>
          </w:tcPr>
          <w:p w14:paraId="182F870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3.7</w:t>
            </w:r>
          </w:p>
        </w:tc>
      </w:tr>
      <w:tr w:rsidR="00F77FE5" w:rsidRPr="00F77FE5" w14:paraId="272E0C31" w14:textId="77777777" w:rsidTr="005A7CAD">
        <w:trPr>
          <w:trHeight w:val="300"/>
          <w:jc w:val="center"/>
        </w:trPr>
        <w:tc>
          <w:tcPr>
            <w:tcW w:w="1853" w:type="pct"/>
            <w:tcBorders>
              <w:top w:val="nil"/>
              <w:left w:val="nil"/>
              <w:bottom w:val="nil"/>
              <w:right w:val="nil"/>
            </w:tcBorders>
            <w:shd w:val="clear" w:color="000000" w:fill="FFFFFF"/>
            <w:noWrap/>
            <w:vAlign w:val="center"/>
            <w:hideMark/>
          </w:tcPr>
          <w:p w14:paraId="4A9321EE"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Evaluación Costo - Efectividad</w:t>
            </w:r>
          </w:p>
        </w:tc>
        <w:tc>
          <w:tcPr>
            <w:tcW w:w="540" w:type="pct"/>
            <w:tcBorders>
              <w:top w:val="nil"/>
              <w:left w:val="nil"/>
              <w:bottom w:val="nil"/>
              <w:right w:val="nil"/>
            </w:tcBorders>
            <w:shd w:val="clear" w:color="000000" w:fill="FFFFFF"/>
            <w:noWrap/>
            <w:vAlign w:val="center"/>
            <w:hideMark/>
          </w:tcPr>
          <w:p w14:paraId="09898D9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685" w:type="pct"/>
            <w:tcBorders>
              <w:top w:val="nil"/>
              <w:left w:val="nil"/>
              <w:bottom w:val="nil"/>
              <w:right w:val="nil"/>
            </w:tcBorders>
            <w:shd w:val="clear" w:color="000000" w:fill="FFFFFF"/>
            <w:noWrap/>
            <w:vAlign w:val="center"/>
            <w:hideMark/>
          </w:tcPr>
          <w:p w14:paraId="7D09A36F"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0</w:t>
            </w:r>
          </w:p>
        </w:tc>
        <w:tc>
          <w:tcPr>
            <w:tcW w:w="96" w:type="pct"/>
            <w:tcBorders>
              <w:top w:val="nil"/>
              <w:left w:val="nil"/>
              <w:bottom w:val="nil"/>
              <w:right w:val="nil"/>
            </w:tcBorders>
            <w:shd w:val="clear" w:color="000000" w:fill="FFFFFF"/>
            <w:noWrap/>
            <w:vAlign w:val="center"/>
          </w:tcPr>
          <w:p w14:paraId="75CFC16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810" w:type="pct"/>
            <w:tcBorders>
              <w:top w:val="nil"/>
              <w:left w:val="nil"/>
              <w:bottom w:val="nil"/>
              <w:right w:val="nil"/>
            </w:tcBorders>
            <w:shd w:val="clear" w:color="000000" w:fill="FFFFFF"/>
            <w:noWrap/>
            <w:vAlign w:val="center"/>
          </w:tcPr>
          <w:p w14:paraId="3E3B4B6F" w14:textId="77777777" w:rsidR="00F77FE5" w:rsidRPr="00F77FE5" w:rsidRDefault="00F77FE5" w:rsidP="00F77FE5">
            <w:pPr>
              <w:spacing w:after="0"/>
              <w:jc w:val="center"/>
              <w:rPr>
                <w:rFonts w:eastAsia="Times New Roman" w:cs="Calibri"/>
                <w:color w:val="000000"/>
                <w:sz w:val="12"/>
                <w:szCs w:val="12"/>
                <w:lang w:val="es-MX" w:eastAsia="es-MX"/>
              </w:rPr>
            </w:pPr>
          </w:p>
        </w:tc>
        <w:tc>
          <w:tcPr>
            <w:tcW w:w="460" w:type="pct"/>
            <w:tcBorders>
              <w:top w:val="nil"/>
              <w:left w:val="nil"/>
              <w:bottom w:val="nil"/>
              <w:right w:val="nil"/>
            </w:tcBorders>
            <w:shd w:val="clear" w:color="000000" w:fill="FFFFFF"/>
            <w:noWrap/>
            <w:vAlign w:val="center"/>
            <w:hideMark/>
          </w:tcPr>
          <w:p w14:paraId="03C9B20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556" w:type="pct"/>
            <w:tcBorders>
              <w:top w:val="nil"/>
              <w:left w:val="nil"/>
              <w:bottom w:val="nil"/>
              <w:right w:val="nil"/>
            </w:tcBorders>
            <w:shd w:val="clear" w:color="000000" w:fill="FFFFFF"/>
            <w:noWrap/>
            <w:vAlign w:val="center"/>
            <w:hideMark/>
          </w:tcPr>
          <w:p w14:paraId="6BBF5BB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0.4</w:t>
            </w:r>
          </w:p>
        </w:tc>
      </w:tr>
      <w:tr w:rsidR="00F77FE5" w:rsidRPr="00F77FE5" w14:paraId="2E068768" w14:textId="77777777" w:rsidTr="005A7CAD">
        <w:trPr>
          <w:trHeight w:val="300"/>
          <w:jc w:val="center"/>
        </w:trPr>
        <w:tc>
          <w:tcPr>
            <w:tcW w:w="1853" w:type="pct"/>
            <w:tcBorders>
              <w:top w:val="nil"/>
              <w:left w:val="nil"/>
              <w:bottom w:val="nil"/>
              <w:right w:val="nil"/>
            </w:tcBorders>
            <w:shd w:val="clear" w:color="000000" w:fill="FFFFFF"/>
            <w:noWrap/>
            <w:vAlign w:val="center"/>
            <w:hideMark/>
          </w:tcPr>
          <w:p w14:paraId="2C967AC2"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Evaluación de Consistencia y Resultados</w:t>
            </w:r>
          </w:p>
        </w:tc>
        <w:tc>
          <w:tcPr>
            <w:tcW w:w="540" w:type="pct"/>
            <w:tcBorders>
              <w:top w:val="nil"/>
              <w:left w:val="nil"/>
              <w:bottom w:val="nil"/>
              <w:right w:val="nil"/>
            </w:tcBorders>
            <w:shd w:val="clear" w:color="000000" w:fill="FFFFFF"/>
            <w:noWrap/>
            <w:vAlign w:val="center"/>
            <w:hideMark/>
          </w:tcPr>
          <w:p w14:paraId="23F03ED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11</w:t>
            </w:r>
          </w:p>
        </w:tc>
        <w:tc>
          <w:tcPr>
            <w:tcW w:w="685" w:type="pct"/>
            <w:tcBorders>
              <w:top w:val="nil"/>
              <w:left w:val="nil"/>
              <w:bottom w:val="nil"/>
              <w:right w:val="nil"/>
            </w:tcBorders>
            <w:shd w:val="clear" w:color="000000" w:fill="FFFFFF"/>
            <w:noWrap/>
            <w:vAlign w:val="center"/>
            <w:hideMark/>
          </w:tcPr>
          <w:p w14:paraId="52A79A3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96" w:type="pct"/>
            <w:tcBorders>
              <w:top w:val="nil"/>
              <w:left w:val="nil"/>
              <w:bottom w:val="nil"/>
              <w:right w:val="nil"/>
            </w:tcBorders>
            <w:shd w:val="clear" w:color="000000" w:fill="FFFFFF"/>
            <w:noWrap/>
            <w:vAlign w:val="center"/>
          </w:tcPr>
          <w:p w14:paraId="02D32CB6" w14:textId="77777777" w:rsidR="00F77FE5" w:rsidRPr="00F77FE5" w:rsidRDefault="00F77FE5" w:rsidP="00F77FE5">
            <w:pPr>
              <w:spacing w:after="0"/>
              <w:jc w:val="center"/>
              <w:rPr>
                <w:rFonts w:eastAsia="Times New Roman" w:cs="Calibri"/>
                <w:color w:val="000000"/>
                <w:sz w:val="12"/>
                <w:szCs w:val="12"/>
                <w:lang w:val="es-MX" w:eastAsia="es-MX"/>
              </w:rPr>
            </w:pPr>
          </w:p>
        </w:tc>
        <w:tc>
          <w:tcPr>
            <w:tcW w:w="810" w:type="pct"/>
            <w:tcBorders>
              <w:top w:val="nil"/>
              <w:left w:val="nil"/>
              <w:bottom w:val="nil"/>
              <w:right w:val="nil"/>
            </w:tcBorders>
            <w:shd w:val="clear" w:color="000000" w:fill="FFFFFF"/>
            <w:noWrap/>
            <w:vAlign w:val="center"/>
            <w:hideMark/>
          </w:tcPr>
          <w:p w14:paraId="7A66EC9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460" w:type="pct"/>
            <w:tcBorders>
              <w:top w:val="nil"/>
              <w:left w:val="nil"/>
              <w:bottom w:val="nil"/>
              <w:right w:val="nil"/>
            </w:tcBorders>
            <w:shd w:val="clear" w:color="000000" w:fill="FFFFFF"/>
            <w:noWrap/>
            <w:vAlign w:val="center"/>
            <w:hideMark/>
          </w:tcPr>
          <w:p w14:paraId="598FA96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15</w:t>
            </w:r>
          </w:p>
        </w:tc>
        <w:tc>
          <w:tcPr>
            <w:tcW w:w="556" w:type="pct"/>
            <w:tcBorders>
              <w:top w:val="nil"/>
              <w:left w:val="nil"/>
              <w:bottom w:val="nil"/>
              <w:right w:val="nil"/>
            </w:tcBorders>
            <w:shd w:val="clear" w:color="000000" w:fill="FFFFFF"/>
            <w:noWrap/>
            <w:vAlign w:val="center"/>
            <w:hideMark/>
          </w:tcPr>
          <w:p w14:paraId="77630D6A"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5.6</w:t>
            </w:r>
          </w:p>
        </w:tc>
      </w:tr>
      <w:tr w:rsidR="00F77FE5" w:rsidRPr="00F77FE5" w14:paraId="5582FEAC" w14:textId="77777777" w:rsidTr="005A7CAD">
        <w:trPr>
          <w:trHeight w:val="300"/>
          <w:jc w:val="center"/>
        </w:trPr>
        <w:tc>
          <w:tcPr>
            <w:tcW w:w="1853" w:type="pct"/>
            <w:tcBorders>
              <w:top w:val="nil"/>
              <w:left w:val="nil"/>
              <w:bottom w:val="nil"/>
              <w:right w:val="nil"/>
            </w:tcBorders>
            <w:shd w:val="clear" w:color="000000" w:fill="FFFFFF"/>
            <w:noWrap/>
            <w:vAlign w:val="center"/>
            <w:hideMark/>
          </w:tcPr>
          <w:p w14:paraId="4B8569D6"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Evaluación de Diseño</w:t>
            </w:r>
          </w:p>
        </w:tc>
        <w:tc>
          <w:tcPr>
            <w:tcW w:w="540" w:type="pct"/>
            <w:tcBorders>
              <w:top w:val="nil"/>
              <w:left w:val="nil"/>
              <w:bottom w:val="nil"/>
              <w:right w:val="nil"/>
            </w:tcBorders>
            <w:shd w:val="clear" w:color="000000" w:fill="FFFFFF"/>
            <w:noWrap/>
            <w:vAlign w:val="center"/>
            <w:hideMark/>
          </w:tcPr>
          <w:p w14:paraId="583A146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93</w:t>
            </w:r>
          </w:p>
        </w:tc>
        <w:tc>
          <w:tcPr>
            <w:tcW w:w="685" w:type="pct"/>
            <w:tcBorders>
              <w:top w:val="nil"/>
              <w:left w:val="nil"/>
              <w:bottom w:val="nil"/>
              <w:right w:val="nil"/>
            </w:tcBorders>
            <w:shd w:val="clear" w:color="000000" w:fill="FFFFFF"/>
            <w:noWrap/>
            <w:vAlign w:val="center"/>
            <w:hideMark/>
          </w:tcPr>
          <w:p w14:paraId="472D8F3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26</w:t>
            </w:r>
          </w:p>
        </w:tc>
        <w:tc>
          <w:tcPr>
            <w:tcW w:w="96" w:type="pct"/>
            <w:tcBorders>
              <w:top w:val="nil"/>
              <w:left w:val="nil"/>
              <w:bottom w:val="nil"/>
              <w:right w:val="nil"/>
            </w:tcBorders>
            <w:shd w:val="clear" w:color="000000" w:fill="FFFFFF"/>
            <w:noWrap/>
            <w:vAlign w:val="center"/>
          </w:tcPr>
          <w:p w14:paraId="39DBAB49" w14:textId="77777777" w:rsidR="00F77FE5" w:rsidRPr="00F77FE5" w:rsidRDefault="00F77FE5" w:rsidP="00F77FE5">
            <w:pPr>
              <w:spacing w:after="0"/>
              <w:jc w:val="center"/>
              <w:rPr>
                <w:rFonts w:eastAsia="Times New Roman" w:cs="Calibri"/>
                <w:color w:val="000000"/>
                <w:sz w:val="12"/>
                <w:szCs w:val="12"/>
                <w:lang w:val="es-MX" w:eastAsia="es-MX"/>
              </w:rPr>
            </w:pPr>
          </w:p>
        </w:tc>
        <w:tc>
          <w:tcPr>
            <w:tcW w:w="810" w:type="pct"/>
            <w:tcBorders>
              <w:top w:val="nil"/>
              <w:left w:val="nil"/>
              <w:bottom w:val="nil"/>
              <w:right w:val="nil"/>
            </w:tcBorders>
            <w:shd w:val="clear" w:color="000000" w:fill="FFFFFF"/>
            <w:noWrap/>
            <w:vAlign w:val="center"/>
          </w:tcPr>
          <w:p w14:paraId="3B46F0DA" w14:textId="77777777" w:rsidR="00F77FE5" w:rsidRPr="00F77FE5" w:rsidRDefault="00F77FE5" w:rsidP="00F77FE5">
            <w:pPr>
              <w:spacing w:after="0"/>
              <w:jc w:val="center"/>
              <w:rPr>
                <w:rFonts w:eastAsia="Times New Roman" w:cs="Calibri"/>
                <w:color w:val="000000"/>
                <w:sz w:val="12"/>
                <w:szCs w:val="12"/>
                <w:lang w:val="es-MX" w:eastAsia="es-MX"/>
              </w:rPr>
            </w:pPr>
          </w:p>
        </w:tc>
        <w:tc>
          <w:tcPr>
            <w:tcW w:w="460" w:type="pct"/>
            <w:tcBorders>
              <w:top w:val="nil"/>
              <w:left w:val="nil"/>
              <w:bottom w:val="nil"/>
              <w:right w:val="nil"/>
            </w:tcBorders>
            <w:shd w:val="clear" w:color="000000" w:fill="FFFFFF"/>
            <w:noWrap/>
            <w:vAlign w:val="center"/>
            <w:hideMark/>
          </w:tcPr>
          <w:p w14:paraId="2B92B32A"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119</w:t>
            </w:r>
          </w:p>
        </w:tc>
        <w:tc>
          <w:tcPr>
            <w:tcW w:w="556" w:type="pct"/>
            <w:tcBorders>
              <w:top w:val="nil"/>
              <w:left w:val="nil"/>
              <w:bottom w:val="nil"/>
              <w:right w:val="nil"/>
            </w:tcBorders>
            <w:shd w:val="clear" w:color="000000" w:fill="FFFFFF"/>
            <w:noWrap/>
            <w:vAlign w:val="center"/>
            <w:hideMark/>
          </w:tcPr>
          <w:p w14:paraId="35F00F2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44.4</w:t>
            </w:r>
          </w:p>
        </w:tc>
      </w:tr>
      <w:tr w:rsidR="00F77FE5" w:rsidRPr="00F77FE5" w14:paraId="15FB6561" w14:textId="77777777" w:rsidTr="005A7CAD">
        <w:trPr>
          <w:trHeight w:val="300"/>
          <w:jc w:val="center"/>
        </w:trPr>
        <w:tc>
          <w:tcPr>
            <w:tcW w:w="1853" w:type="pct"/>
            <w:tcBorders>
              <w:top w:val="nil"/>
              <w:left w:val="nil"/>
              <w:bottom w:val="nil"/>
              <w:right w:val="nil"/>
            </w:tcBorders>
            <w:shd w:val="clear" w:color="000000" w:fill="FFFFFF"/>
            <w:noWrap/>
            <w:vAlign w:val="center"/>
            <w:hideMark/>
          </w:tcPr>
          <w:p w14:paraId="1D70F7B6"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Evaluación de Procesos</w:t>
            </w:r>
          </w:p>
        </w:tc>
        <w:tc>
          <w:tcPr>
            <w:tcW w:w="540" w:type="pct"/>
            <w:tcBorders>
              <w:top w:val="nil"/>
              <w:left w:val="nil"/>
              <w:bottom w:val="nil"/>
              <w:right w:val="nil"/>
            </w:tcBorders>
            <w:shd w:val="clear" w:color="000000" w:fill="FFFFFF"/>
            <w:noWrap/>
            <w:vAlign w:val="center"/>
            <w:hideMark/>
          </w:tcPr>
          <w:p w14:paraId="11DBB1D3"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14</w:t>
            </w:r>
          </w:p>
        </w:tc>
        <w:tc>
          <w:tcPr>
            <w:tcW w:w="685" w:type="pct"/>
            <w:tcBorders>
              <w:top w:val="nil"/>
              <w:left w:val="nil"/>
              <w:bottom w:val="nil"/>
              <w:right w:val="nil"/>
            </w:tcBorders>
            <w:shd w:val="clear" w:color="000000" w:fill="FFFFFF"/>
            <w:noWrap/>
            <w:vAlign w:val="center"/>
            <w:hideMark/>
          </w:tcPr>
          <w:p w14:paraId="3441A1A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96" w:type="pct"/>
            <w:tcBorders>
              <w:top w:val="nil"/>
              <w:left w:val="nil"/>
              <w:bottom w:val="nil"/>
              <w:right w:val="nil"/>
            </w:tcBorders>
            <w:shd w:val="clear" w:color="000000" w:fill="FFFFFF"/>
            <w:noWrap/>
            <w:vAlign w:val="center"/>
          </w:tcPr>
          <w:p w14:paraId="54E44243" w14:textId="77777777" w:rsidR="00F77FE5" w:rsidRPr="00F77FE5" w:rsidRDefault="00F77FE5" w:rsidP="00F77FE5">
            <w:pPr>
              <w:spacing w:after="0"/>
              <w:jc w:val="center"/>
              <w:rPr>
                <w:rFonts w:eastAsia="Times New Roman" w:cs="Calibri"/>
                <w:color w:val="000000"/>
                <w:sz w:val="12"/>
                <w:szCs w:val="12"/>
                <w:lang w:val="es-MX" w:eastAsia="es-MX"/>
              </w:rPr>
            </w:pPr>
          </w:p>
        </w:tc>
        <w:tc>
          <w:tcPr>
            <w:tcW w:w="810" w:type="pct"/>
            <w:tcBorders>
              <w:top w:val="nil"/>
              <w:left w:val="nil"/>
              <w:bottom w:val="nil"/>
              <w:right w:val="nil"/>
            </w:tcBorders>
            <w:shd w:val="clear" w:color="000000" w:fill="FFFFFF"/>
            <w:noWrap/>
            <w:vAlign w:val="center"/>
          </w:tcPr>
          <w:p w14:paraId="53CEEB11" w14:textId="77777777" w:rsidR="00F77FE5" w:rsidRPr="00F77FE5" w:rsidRDefault="00F77FE5" w:rsidP="00F77FE5">
            <w:pPr>
              <w:spacing w:after="0"/>
              <w:jc w:val="center"/>
              <w:rPr>
                <w:rFonts w:eastAsia="Times New Roman" w:cs="Calibri"/>
                <w:color w:val="000000"/>
                <w:sz w:val="12"/>
                <w:szCs w:val="12"/>
                <w:lang w:val="es-MX" w:eastAsia="es-MX"/>
              </w:rPr>
            </w:pPr>
          </w:p>
        </w:tc>
        <w:tc>
          <w:tcPr>
            <w:tcW w:w="460" w:type="pct"/>
            <w:tcBorders>
              <w:top w:val="nil"/>
              <w:left w:val="nil"/>
              <w:bottom w:val="nil"/>
              <w:right w:val="nil"/>
            </w:tcBorders>
            <w:shd w:val="clear" w:color="000000" w:fill="FFFFFF"/>
            <w:noWrap/>
            <w:vAlign w:val="center"/>
            <w:hideMark/>
          </w:tcPr>
          <w:p w14:paraId="441CC62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17</w:t>
            </w:r>
          </w:p>
        </w:tc>
        <w:tc>
          <w:tcPr>
            <w:tcW w:w="556" w:type="pct"/>
            <w:tcBorders>
              <w:top w:val="nil"/>
              <w:left w:val="nil"/>
              <w:bottom w:val="nil"/>
              <w:right w:val="nil"/>
            </w:tcBorders>
            <w:shd w:val="clear" w:color="000000" w:fill="FFFFFF"/>
            <w:noWrap/>
            <w:vAlign w:val="center"/>
            <w:hideMark/>
          </w:tcPr>
          <w:p w14:paraId="1EEA1A30"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6.3</w:t>
            </w:r>
          </w:p>
        </w:tc>
      </w:tr>
      <w:tr w:rsidR="00F77FE5" w:rsidRPr="00F77FE5" w14:paraId="2C1B869D" w14:textId="77777777" w:rsidTr="005A7CAD">
        <w:trPr>
          <w:trHeight w:val="300"/>
          <w:jc w:val="center"/>
        </w:trPr>
        <w:tc>
          <w:tcPr>
            <w:tcW w:w="1853" w:type="pct"/>
            <w:tcBorders>
              <w:top w:val="nil"/>
              <w:left w:val="nil"/>
              <w:bottom w:val="nil"/>
              <w:right w:val="nil"/>
            </w:tcBorders>
            <w:shd w:val="clear" w:color="000000" w:fill="FFFFFF"/>
            <w:noWrap/>
            <w:vAlign w:val="center"/>
            <w:hideMark/>
          </w:tcPr>
          <w:p w14:paraId="686CE7B8"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Evaluación Específica de Desempeño</w:t>
            </w:r>
          </w:p>
        </w:tc>
        <w:tc>
          <w:tcPr>
            <w:tcW w:w="540" w:type="pct"/>
            <w:tcBorders>
              <w:top w:val="nil"/>
              <w:left w:val="nil"/>
              <w:bottom w:val="nil"/>
              <w:right w:val="nil"/>
            </w:tcBorders>
            <w:shd w:val="clear" w:color="000000" w:fill="FFFFFF"/>
            <w:noWrap/>
            <w:vAlign w:val="center"/>
            <w:hideMark/>
          </w:tcPr>
          <w:p w14:paraId="35026180"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6</w:t>
            </w:r>
          </w:p>
        </w:tc>
        <w:tc>
          <w:tcPr>
            <w:tcW w:w="685" w:type="pct"/>
            <w:tcBorders>
              <w:top w:val="nil"/>
              <w:left w:val="nil"/>
              <w:bottom w:val="nil"/>
              <w:right w:val="nil"/>
            </w:tcBorders>
            <w:shd w:val="clear" w:color="000000" w:fill="FFFFFF"/>
            <w:noWrap/>
            <w:vAlign w:val="center"/>
            <w:hideMark/>
          </w:tcPr>
          <w:p w14:paraId="3763354E"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7</w:t>
            </w:r>
          </w:p>
        </w:tc>
        <w:tc>
          <w:tcPr>
            <w:tcW w:w="96" w:type="pct"/>
            <w:tcBorders>
              <w:top w:val="nil"/>
              <w:left w:val="nil"/>
              <w:bottom w:val="nil"/>
              <w:right w:val="nil"/>
            </w:tcBorders>
            <w:shd w:val="clear" w:color="000000" w:fill="FFFFFF"/>
            <w:noWrap/>
            <w:vAlign w:val="center"/>
          </w:tcPr>
          <w:p w14:paraId="7400C7F3" w14:textId="77777777" w:rsidR="00F77FE5" w:rsidRPr="00F77FE5" w:rsidRDefault="00F77FE5" w:rsidP="00F77FE5">
            <w:pPr>
              <w:spacing w:after="0"/>
              <w:jc w:val="center"/>
              <w:rPr>
                <w:rFonts w:eastAsia="Times New Roman" w:cs="Calibri"/>
                <w:color w:val="000000"/>
                <w:sz w:val="12"/>
                <w:szCs w:val="12"/>
                <w:lang w:val="es-MX" w:eastAsia="es-MX"/>
              </w:rPr>
            </w:pPr>
          </w:p>
        </w:tc>
        <w:tc>
          <w:tcPr>
            <w:tcW w:w="810" w:type="pct"/>
            <w:tcBorders>
              <w:top w:val="nil"/>
              <w:left w:val="nil"/>
              <w:bottom w:val="nil"/>
              <w:right w:val="nil"/>
            </w:tcBorders>
            <w:shd w:val="clear" w:color="000000" w:fill="FFFFFF"/>
            <w:noWrap/>
            <w:vAlign w:val="center"/>
          </w:tcPr>
          <w:p w14:paraId="5D03B494" w14:textId="77777777" w:rsidR="00F77FE5" w:rsidRPr="00F77FE5" w:rsidRDefault="00F77FE5" w:rsidP="00F77FE5">
            <w:pPr>
              <w:spacing w:after="0"/>
              <w:jc w:val="center"/>
              <w:rPr>
                <w:rFonts w:eastAsia="Times New Roman" w:cs="Calibri"/>
                <w:color w:val="000000"/>
                <w:sz w:val="12"/>
                <w:szCs w:val="12"/>
                <w:lang w:val="es-MX" w:eastAsia="es-MX"/>
              </w:rPr>
            </w:pPr>
          </w:p>
        </w:tc>
        <w:tc>
          <w:tcPr>
            <w:tcW w:w="460" w:type="pct"/>
            <w:tcBorders>
              <w:top w:val="nil"/>
              <w:left w:val="nil"/>
              <w:bottom w:val="nil"/>
              <w:right w:val="nil"/>
            </w:tcBorders>
            <w:shd w:val="clear" w:color="000000" w:fill="FFFFFF"/>
            <w:noWrap/>
            <w:vAlign w:val="center"/>
            <w:hideMark/>
          </w:tcPr>
          <w:p w14:paraId="723382F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13</w:t>
            </w:r>
          </w:p>
        </w:tc>
        <w:tc>
          <w:tcPr>
            <w:tcW w:w="556" w:type="pct"/>
            <w:tcBorders>
              <w:top w:val="nil"/>
              <w:left w:val="nil"/>
              <w:bottom w:val="nil"/>
              <w:right w:val="nil"/>
            </w:tcBorders>
            <w:shd w:val="clear" w:color="000000" w:fill="FFFFFF"/>
            <w:noWrap/>
            <w:vAlign w:val="center"/>
            <w:hideMark/>
          </w:tcPr>
          <w:p w14:paraId="3D34C2A2"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4.9</w:t>
            </w:r>
          </w:p>
        </w:tc>
      </w:tr>
      <w:tr w:rsidR="00F77FE5" w:rsidRPr="00F77FE5" w14:paraId="2B34D3ED" w14:textId="77777777" w:rsidTr="005A7CAD">
        <w:trPr>
          <w:trHeight w:val="300"/>
          <w:jc w:val="center"/>
        </w:trPr>
        <w:tc>
          <w:tcPr>
            <w:tcW w:w="1853" w:type="pct"/>
            <w:tcBorders>
              <w:top w:val="nil"/>
              <w:left w:val="nil"/>
              <w:bottom w:val="nil"/>
              <w:right w:val="nil"/>
            </w:tcBorders>
            <w:shd w:val="clear" w:color="000000" w:fill="FFFFFF"/>
            <w:noWrap/>
            <w:vAlign w:val="center"/>
            <w:hideMark/>
          </w:tcPr>
          <w:p w14:paraId="3707ECA2"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Otros Informes Externos</w:t>
            </w:r>
          </w:p>
        </w:tc>
        <w:tc>
          <w:tcPr>
            <w:tcW w:w="540" w:type="pct"/>
            <w:tcBorders>
              <w:top w:val="nil"/>
              <w:left w:val="nil"/>
              <w:bottom w:val="nil"/>
              <w:right w:val="nil"/>
            </w:tcBorders>
            <w:shd w:val="clear" w:color="000000" w:fill="FFFFFF"/>
            <w:noWrap/>
            <w:vAlign w:val="center"/>
            <w:hideMark/>
          </w:tcPr>
          <w:p w14:paraId="460DD42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61</w:t>
            </w:r>
          </w:p>
        </w:tc>
        <w:tc>
          <w:tcPr>
            <w:tcW w:w="685" w:type="pct"/>
            <w:tcBorders>
              <w:top w:val="nil"/>
              <w:left w:val="nil"/>
              <w:bottom w:val="nil"/>
              <w:right w:val="nil"/>
            </w:tcBorders>
            <w:shd w:val="clear" w:color="000000" w:fill="FFFFFF"/>
            <w:noWrap/>
            <w:vAlign w:val="center"/>
            <w:hideMark/>
          </w:tcPr>
          <w:p w14:paraId="1B9092B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32</w:t>
            </w:r>
          </w:p>
        </w:tc>
        <w:tc>
          <w:tcPr>
            <w:tcW w:w="96" w:type="pct"/>
            <w:tcBorders>
              <w:top w:val="nil"/>
              <w:left w:val="nil"/>
              <w:bottom w:val="nil"/>
              <w:right w:val="nil"/>
            </w:tcBorders>
            <w:shd w:val="clear" w:color="000000" w:fill="FFFFFF"/>
            <w:noWrap/>
            <w:vAlign w:val="center"/>
          </w:tcPr>
          <w:p w14:paraId="14595950" w14:textId="77777777" w:rsidR="00F77FE5" w:rsidRPr="00F77FE5" w:rsidRDefault="00F77FE5" w:rsidP="00F77FE5">
            <w:pPr>
              <w:spacing w:after="0"/>
              <w:jc w:val="center"/>
              <w:rPr>
                <w:rFonts w:eastAsia="Times New Roman" w:cs="Calibri"/>
                <w:color w:val="000000"/>
                <w:sz w:val="12"/>
                <w:szCs w:val="12"/>
                <w:lang w:val="es-MX" w:eastAsia="es-MX"/>
              </w:rPr>
            </w:pPr>
          </w:p>
        </w:tc>
        <w:tc>
          <w:tcPr>
            <w:tcW w:w="810" w:type="pct"/>
            <w:tcBorders>
              <w:top w:val="nil"/>
              <w:left w:val="nil"/>
              <w:bottom w:val="nil"/>
              <w:right w:val="nil"/>
            </w:tcBorders>
            <w:shd w:val="clear" w:color="000000" w:fill="FFFFFF"/>
            <w:noWrap/>
            <w:vAlign w:val="center"/>
            <w:hideMark/>
          </w:tcPr>
          <w:p w14:paraId="42C41BF1" w14:textId="77777777" w:rsidR="00F77FE5" w:rsidRPr="00F77FE5" w:rsidRDefault="00F77FE5" w:rsidP="00F77FE5">
            <w:pPr>
              <w:spacing w:after="0"/>
              <w:jc w:val="center"/>
              <w:rPr>
                <w:rFonts w:eastAsia="Times New Roman" w:cs="Calibri"/>
                <w:color w:val="000000"/>
                <w:sz w:val="12"/>
                <w:szCs w:val="12"/>
                <w:lang w:val="es-MX" w:eastAsia="es-MX"/>
              </w:rPr>
            </w:pPr>
          </w:p>
        </w:tc>
        <w:tc>
          <w:tcPr>
            <w:tcW w:w="460" w:type="pct"/>
            <w:tcBorders>
              <w:top w:val="nil"/>
              <w:left w:val="nil"/>
              <w:bottom w:val="nil"/>
              <w:right w:val="nil"/>
            </w:tcBorders>
            <w:shd w:val="clear" w:color="000000" w:fill="FFFFFF"/>
            <w:noWrap/>
            <w:vAlign w:val="center"/>
            <w:hideMark/>
          </w:tcPr>
          <w:p w14:paraId="7870CA22"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93</w:t>
            </w:r>
          </w:p>
        </w:tc>
        <w:tc>
          <w:tcPr>
            <w:tcW w:w="556" w:type="pct"/>
            <w:tcBorders>
              <w:top w:val="nil"/>
              <w:left w:val="nil"/>
              <w:bottom w:val="nil"/>
              <w:right w:val="nil"/>
            </w:tcBorders>
            <w:shd w:val="clear" w:color="000000" w:fill="FFFFFF"/>
            <w:noWrap/>
            <w:vAlign w:val="center"/>
            <w:hideMark/>
          </w:tcPr>
          <w:p w14:paraId="1A07758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34.7</w:t>
            </w:r>
          </w:p>
        </w:tc>
      </w:tr>
      <w:tr w:rsidR="00F77FE5" w:rsidRPr="00F77FE5" w14:paraId="3E9CF829" w14:textId="77777777" w:rsidTr="005A7CAD">
        <w:trPr>
          <w:trHeight w:val="300"/>
          <w:jc w:val="center"/>
        </w:trPr>
        <w:tc>
          <w:tcPr>
            <w:tcW w:w="1853" w:type="pct"/>
            <w:tcBorders>
              <w:top w:val="nil"/>
              <w:left w:val="nil"/>
              <w:bottom w:val="nil"/>
              <w:right w:val="nil"/>
            </w:tcBorders>
            <w:shd w:val="clear" w:color="000000" w:fill="FFFFFF"/>
            <w:noWrap/>
            <w:vAlign w:val="center"/>
            <w:hideMark/>
          </w:tcPr>
          <w:p w14:paraId="24B2E5B2" w14:textId="77777777" w:rsidR="00F77FE5" w:rsidRPr="00F77FE5" w:rsidRDefault="00F77FE5" w:rsidP="00F77FE5">
            <w:pPr>
              <w:spacing w:after="0"/>
              <w:rPr>
                <w:rFonts w:eastAsia="Times New Roman" w:cs="Calibri"/>
                <w:b/>
                <w:bCs/>
                <w:sz w:val="12"/>
                <w:szCs w:val="12"/>
                <w:lang w:val="es-MX" w:eastAsia="es-MX"/>
              </w:rPr>
            </w:pPr>
            <w:r w:rsidRPr="00F77FE5">
              <w:rPr>
                <w:rFonts w:eastAsia="Times New Roman" w:cs="Calibri"/>
                <w:b/>
                <w:bCs/>
                <w:sz w:val="12"/>
                <w:szCs w:val="12"/>
                <w:lang w:val="es-MX" w:eastAsia="es-MX"/>
              </w:rPr>
              <w:t>Total</w:t>
            </w:r>
          </w:p>
        </w:tc>
        <w:tc>
          <w:tcPr>
            <w:tcW w:w="540" w:type="pct"/>
            <w:tcBorders>
              <w:top w:val="nil"/>
              <w:left w:val="nil"/>
              <w:bottom w:val="nil"/>
              <w:right w:val="nil"/>
            </w:tcBorders>
            <w:shd w:val="clear" w:color="000000" w:fill="FFFFFF"/>
            <w:noWrap/>
            <w:vAlign w:val="center"/>
            <w:hideMark/>
          </w:tcPr>
          <w:p w14:paraId="7E2292C9" w14:textId="77777777" w:rsidR="00F77FE5" w:rsidRPr="00F77FE5" w:rsidRDefault="00F77FE5" w:rsidP="00F77FE5">
            <w:pPr>
              <w:spacing w:after="0"/>
              <w:jc w:val="center"/>
              <w:rPr>
                <w:rFonts w:eastAsia="Times New Roman" w:cs="Calibri"/>
                <w:b/>
                <w:bCs/>
                <w:sz w:val="12"/>
                <w:szCs w:val="12"/>
                <w:lang w:val="es-MX" w:eastAsia="es-MX"/>
              </w:rPr>
            </w:pPr>
            <w:r w:rsidRPr="00F77FE5">
              <w:rPr>
                <w:rFonts w:eastAsia="Times New Roman" w:cs="Calibri"/>
                <w:b/>
                <w:bCs/>
                <w:sz w:val="12"/>
                <w:szCs w:val="12"/>
                <w:lang w:val="es-MX" w:eastAsia="es-MX"/>
              </w:rPr>
              <w:t>194</w:t>
            </w:r>
          </w:p>
        </w:tc>
        <w:tc>
          <w:tcPr>
            <w:tcW w:w="685" w:type="pct"/>
            <w:tcBorders>
              <w:top w:val="nil"/>
              <w:left w:val="nil"/>
              <w:bottom w:val="nil"/>
              <w:right w:val="nil"/>
            </w:tcBorders>
            <w:shd w:val="clear" w:color="000000" w:fill="FFFFFF"/>
            <w:noWrap/>
            <w:vAlign w:val="center"/>
            <w:hideMark/>
          </w:tcPr>
          <w:p w14:paraId="0F6620E8" w14:textId="77777777" w:rsidR="00F77FE5" w:rsidRPr="00F77FE5" w:rsidRDefault="00F77FE5" w:rsidP="00F77FE5">
            <w:pPr>
              <w:spacing w:after="0"/>
              <w:jc w:val="center"/>
              <w:rPr>
                <w:rFonts w:eastAsia="Times New Roman" w:cs="Calibri"/>
                <w:b/>
                <w:bCs/>
                <w:sz w:val="12"/>
                <w:szCs w:val="12"/>
                <w:lang w:val="es-MX" w:eastAsia="es-MX"/>
              </w:rPr>
            </w:pPr>
            <w:r w:rsidRPr="00F77FE5">
              <w:rPr>
                <w:rFonts w:eastAsia="Times New Roman" w:cs="Calibri"/>
                <w:b/>
                <w:bCs/>
                <w:sz w:val="12"/>
                <w:szCs w:val="12"/>
                <w:lang w:val="es-MX" w:eastAsia="es-MX"/>
              </w:rPr>
              <w:t>73</w:t>
            </w:r>
          </w:p>
        </w:tc>
        <w:tc>
          <w:tcPr>
            <w:tcW w:w="96" w:type="pct"/>
            <w:tcBorders>
              <w:top w:val="nil"/>
              <w:left w:val="nil"/>
              <w:bottom w:val="nil"/>
              <w:right w:val="nil"/>
            </w:tcBorders>
            <w:shd w:val="clear" w:color="000000" w:fill="FFFFFF"/>
            <w:noWrap/>
            <w:vAlign w:val="center"/>
          </w:tcPr>
          <w:p w14:paraId="5C092FBC" w14:textId="77777777" w:rsidR="00F77FE5" w:rsidRPr="00F77FE5" w:rsidRDefault="00F77FE5" w:rsidP="00F77FE5">
            <w:pPr>
              <w:spacing w:after="0"/>
              <w:jc w:val="center"/>
              <w:rPr>
                <w:rFonts w:eastAsia="Times New Roman" w:cs="Calibri"/>
                <w:b/>
                <w:bCs/>
                <w:sz w:val="12"/>
                <w:szCs w:val="12"/>
                <w:lang w:val="es-MX" w:eastAsia="es-MX"/>
              </w:rPr>
            </w:pPr>
          </w:p>
        </w:tc>
        <w:tc>
          <w:tcPr>
            <w:tcW w:w="810" w:type="pct"/>
            <w:tcBorders>
              <w:top w:val="nil"/>
              <w:left w:val="nil"/>
              <w:bottom w:val="nil"/>
              <w:right w:val="nil"/>
            </w:tcBorders>
            <w:shd w:val="clear" w:color="000000" w:fill="FFFFFF"/>
            <w:noWrap/>
            <w:vAlign w:val="center"/>
            <w:hideMark/>
          </w:tcPr>
          <w:p w14:paraId="677915C3" w14:textId="77777777" w:rsidR="00F77FE5" w:rsidRPr="00F77FE5" w:rsidRDefault="00F77FE5" w:rsidP="00F77FE5">
            <w:pPr>
              <w:spacing w:after="0"/>
              <w:jc w:val="center"/>
              <w:rPr>
                <w:rFonts w:eastAsia="Times New Roman" w:cs="Calibri"/>
                <w:b/>
                <w:bCs/>
                <w:sz w:val="12"/>
                <w:szCs w:val="12"/>
                <w:lang w:val="es-MX" w:eastAsia="es-MX"/>
              </w:rPr>
            </w:pPr>
            <w:r w:rsidRPr="00F77FE5">
              <w:rPr>
                <w:rFonts w:eastAsia="Times New Roman" w:cs="Calibri"/>
                <w:b/>
                <w:bCs/>
                <w:sz w:val="12"/>
                <w:szCs w:val="12"/>
                <w:lang w:val="es-MX" w:eastAsia="es-MX"/>
              </w:rPr>
              <w:t>1</w:t>
            </w:r>
          </w:p>
        </w:tc>
        <w:tc>
          <w:tcPr>
            <w:tcW w:w="460" w:type="pct"/>
            <w:tcBorders>
              <w:top w:val="nil"/>
              <w:left w:val="nil"/>
              <w:bottom w:val="nil"/>
              <w:right w:val="nil"/>
            </w:tcBorders>
            <w:shd w:val="clear" w:color="000000" w:fill="FFFFFF"/>
            <w:noWrap/>
            <w:vAlign w:val="center"/>
            <w:hideMark/>
          </w:tcPr>
          <w:p w14:paraId="2B44CB35" w14:textId="77777777" w:rsidR="00F77FE5" w:rsidRPr="00F77FE5" w:rsidRDefault="00F77FE5" w:rsidP="00F77FE5">
            <w:pPr>
              <w:spacing w:after="0"/>
              <w:jc w:val="center"/>
              <w:rPr>
                <w:rFonts w:eastAsia="Times New Roman" w:cs="Calibri"/>
                <w:b/>
                <w:color w:val="000000"/>
                <w:sz w:val="12"/>
                <w:szCs w:val="12"/>
                <w:lang w:val="es-MX" w:eastAsia="es-MX"/>
              </w:rPr>
            </w:pPr>
            <w:r w:rsidRPr="00F77FE5">
              <w:rPr>
                <w:rFonts w:eastAsia="Times New Roman" w:cs="Calibri"/>
                <w:b/>
                <w:color w:val="000000"/>
                <w:sz w:val="12"/>
                <w:szCs w:val="12"/>
                <w:lang w:val="es-MX" w:eastAsia="es-MX"/>
              </w:rPr>
              <w:t>268</w:t>
            </w:r>
          </w:p>
        </w:tc>
        <w:tc>
          <w:tcPr>
            <w:tcW w:w="556" w:type="pct"/>
            <w:tcBorders>
              <w:top w:val="nil"/>
              <w:left w:val="nil"/>
              <w:bottom w:val="nil"/>
              <w:right w:val="nil"/>
            </w:tcBorders>
            <w:shd w:val="clear" w:color="000000" w:fill="FFFFFF"/>
            <w:noWrap/>
            <w:vAlign w:val="center"/>
            <w:hideMark/>
          </w:tcPr>
          <w:p w14:paraId="09348347" w14:textId="77777777" w:rsidR="00F77FE5" w:rsidRPr="00F77FE5" w:rsidRDefault="00F77FE5" w:rsidP="00F77FE5">
            <w:pPr>
              <w:spacing w:after="0"/>
              <w:jc w:val="center"/>
              <w:rPr>
                <w:rFonts w:eastAsia="Times New Roman" w:cs="Calibri"/>
                <w:b/>
                <w:color w:val="000000"/>
                <w:sz w:val="12"/>
                <w:szCs w:val="12"/>
                <w:lang w:val="es-MX" w:eastAsia="es-MX"/>
              </w:rPr>
            </w:pPr>
            <w:r w:rsidRPr="00F77FE5">
              <w:rPr>
                <w:rFonts w:eastAsia="Times New Roman" w:cs="Calibri"/>
                <w:b/>
                <w:color w:val="000000"/>
                <w:sz w:val="12"/>
                <w:szCs w:val="12"/>
                <w:lang w:val="es-MX" w:eastAsia="es-MX"/>
              </w:rPr>
              <w:t>100</w:t>
            </w:r>
          </w:p>
        </w:tc>
      </w:tr>
      <w:tr w:rsidR="00F77FE5" w:rsidRPr="00F77FE5" w14:paraId="7BF6A355" w14:textId="77777777" w:rsidTr="005A7CAD">
        <w:trPr>
          <w:trHeight w:val="315"/>
          <w:jc w:val="center"/>
        </w:trPr>
        <w:tc>
          <w:tcPr>
            <w:tcW w:w="1853" w:type="pct"/>
            <w:tcBorders>
              <w:top w:val="nil"/>
              <w:left w:val="nil"/>
              <w:bottom w:val="single" w:sz="12" w:space="0" w:color="auto"/>
              <w:right w:val="nil"/>
            </w:tcBorders>
            <w:shd w:val="clear" w:color="000000" w:fill="FFFFFF"/>
            <w:noWrap/>
            <w:vAlign w:val="center"/>
            <w:hideMark/>
          </w:tcPr>
          <w:p w14:paraId="26E90DAB" w14:textId="77777777" w:rsidR="00F77FE5" w:rsidRPr="00F77FE5" w:rsidRDefault="00F77FE5" w:rsidP="00F77FE5">
            <w:pPr>
              <w:spacing w:after="0"/>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 del Total</w:t>
            </w:r>
          </w:p>
        </w:tc>
        <w:tc>
          <w:tcPr>
            <w:tcW w:w="540" w:type="pct"/>
            <w:tcBorders>
              <w:top w:val="nil"/>
              <w:left w:val="nil"/>
              <w:bottom w:val="single" w:sz="12" w:space="0" w:color="auto"/>
              <w:right w:val="nil"/>
            </w:tcBorders>
            <w:shd w:val="clear" w:color="000000" w:fill="FFFFFF"/>
            <w:noWrap/>
            <w:vAlign w:val="center"/>
            <w:hideMark/>
          </w:tcPr>
          <w:p w14:paraId="55BE2B9E"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72.4</w:t>
            </w:r>
          </w:p>
        </w:tc>
        <w:tc>
          <w:tcPr>
            <w:tcW w:w="685" w:type="pct"/>
            <w:tcBorders>
              <w:top w:val="nil"/>
              <w:left w:val="nil"/>
              <w:bottom w:val="single" w:sz="12" w:space="0" w:color="auto"/>
              <w:right w:val="nil"/>
            </w:tcBorders>
            <w:shd w:val="clear" w:color="000000" w:fill="FFFFFF"/>
            <w:noWrap/>
            <w:vAlign w:val="center"/>
            <w:hideMark/>
          </w:tcPr>
          <w:p w14:paraId="7B9C25B6"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27.2</w:t>
            </w:r>
          </w:p>
        </w:tc>
        <w:tc>
          <w:tcPr>
            <w:tcW w:w="96" w:type="pct"/>
            <w:tcBorders>
              <w:top w:val="nil"/>
              <w:left w:val="nil"/>
              <w:bottom w:val="single" w:sz="12" w:space="0" w:color="auto"/>
              <w:right w:val="nil"/>
            </w:tcBorders>
            <w:shd w:val="clear" w:color="000000" w:fill="FFFFFF"/>
            <w:noWrap/>
            <w:vAlign w:val="center"/>
          </w:tcPr>
          <w:p w14:paraId="305FA4BD" w14:textId="77777777" w:rsidR="00F77FE5" w:rsidRPr="00F77FE5" w:rsidRDefault="00F77FE5" w:rsidP="00F77FE5">
            <w:pPr>
              <w:spacing w:after="0"/>
              <w:jc w:val="center"/>
              <w:rPr>
                <w:rFonts w:eastAsia="Times New Roman" w:cs="Calibri"/>
                <w:b/>
                <w:bCs/>
                <w:color w:val="000000"/>
                <w:sz w:val="12"/>
                <w:szCs w:val="12"/>
                <w:lang w:val="es-MX" w:eastAsia="es-MX"/>
              </w:rPr>
            </w:pPr>
          </w:p>
        </w:tc>
        <w:tc>
          <w:tcPr>
            <w:tcW w:w="810" w:type="pct"/>
            <w:tcBorders>
              <w:top w:val="nil"/>
              <w:left w:val="nil"/>
              <w:bottom w:val="single" w:sz="12" w:space="0" w:color="auto"/>
              <w:right w:val="nil"/>
            </w:tcBorders>
            <w:shd w:val="clear" w:color="000000" w:fill="FFFFFF"/>
            <w:noWrap/>
            <w:vAlign w:val="center"/>
            <w:hideMark/>
          </w:tcPr>
          <w:p w14:paraId="603FB69B"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0.4</w:t>
            </w:r>
          </w:p>
        </w:tc>
        <w:tc>
          <w:tcPr>
            <w:tcW w:w="460" w:type="pct"/>
            <w:tcBorders>
              <w:top w:val="nil"/>
              <w:left w:val="nil"/>
              <w:bottom w:val="single" w:sz="12" w:space="0" w:color="auto"/>
              <w:right w:val="nil"/>
            </w:tcBorders>
            <w:shd w:val="clear" w:color="000000" w:fill="FFFFFF"/>
            <w:noWrap/>
            <w:vAlign w:val="center"/>
            <w:hideMark/>
          </w:tcPr>
          <w:p w14:paraId="074D513F"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100</w:t>
            </w:r>
          </w:p>
        </w:tc>
        <w:tc>
          <w:tcPr>
            <w:tcW w:w="556" w:type="pct"/>
            <w:tcBorders>
              <w:top w:val="nil"/>
              <w:left w:val="nil"/>
              <w:bottom w:val="single" w:sz="12" w:space="0" w:color="auto"/>
              <w:right w:val="nil"/>
            </w:tcBorders>
            <w:shd w:val="clear" w:color="000000" w:fill="FFFFFF"/>
            <w:noWrap/>
            <w:vAlign w:val="center"/>
            <w:hideMark/>
          </w:tcPr>
          <w:p w14:paraId="3C3297CF"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 </w:t>
            </w:r>
          </w:p>
        </w:tc>
      </w:tr>
      <w:tr w:rsidR="00F77FE5" w:rsidRPr="00F77FE5" w14:paraId="4C04ABEE" w14:textId="77777777" w:rsidTr="005A7CAD">
        <w:trPr>
          <w:trHeight w:val="311"/>
          <w:jc w:val="center"/>
        </w:trPr>
        <w:tc>
          <w:tcPr>
            <w:tcW w:w="5000" w:type="pct"/>
            <w:gridSpan w:val="7"/>
            <w:tcBorders>
              <w:top w:val="single" w:sz="12" w:space="0" w:color="auto"/>
              <w:left w:val="nil"/>
              <w:bottom w:val="nil"/>
              <w:right w:val="nil"/>
            </w:tcBorders>
            <w:shd w:val="clear" w:color="000000" w:fill="FFFFFF"/>
            <w:vAlign w:val="center"/>
            <w:hideMark/>
          </w:tcPr>
          <w:p w14:paraId="3FE4EA7E"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Fuente: Unidad de Evaluación del Desempeño, con información proporcionada por las dependencias y entidades de la APF al CONEVAL.</w:t>
            </w:r>
          </w:p>
        </w:tc>
      </w:tr>
    </w:tbl>
    <w:p w14:paraId="6A44A03A" w14:textId="77777777" w:rsidR="00F77FE5" w:rsidRPr="00F77FE5" w:rsidRDefault="00F77FE5" w:rsidP="00F77FE5">
      <w:pPr>
        <w:jc w:val="center"/>
        <w:rPr>
          <w:szCs w:val="22"/>
          <w:lang w:val="es-MX"/>
        </w:rPr>
      </w:pPr>
    </w:p>
    <w:p w14:paraId="65C3B7F2" w14:textId="77777777" w:rsidR="00F77FE5" w:rsidRPr="00F77FE5" w:rsidRDefault="00F77FE5" w:rsidP="00F77FE5">
      <w:pPr>
        <w:jc w:val="both"/>
        <w:rPr>
          <w:rFonts w:eastAsia="Times New Roman" w:cs="Arial"/>
          <w:szCs w:val="20"/>
          <w:lang w:val="es-ES"/>
        </w:rPr>
      </w:pPr>
      <w:r w:rsidRPr="00F77FE5">
        <w:rPr>
          <w:rFonts w:eastAsia="Times New Roman" w:cs="Arial"/>
          <w:szCs w:val="20"/>
          <w:lang w:val="es-ES"/>
        </w:rPr>
        <w:t xml:space="preserve">De los 268 ASM reportados como concluidos al primer trimestre de 2018, las dependencias y entidades que destacan son las siguientes: SEP con 72 (26.9%), SEDESOL con 43 (16.0%); y SAGARPA con 16 (6.0%). </w:t>
      </w:r>
    </w:p>
    <w:p w14:paraId="3656BBCB" w14:textId="5CD69E1A" w:rsidR="00F77FE5" w:rsidRPr="00F77FE5" w:rsidRDefault="005854F3" w:rsidP="00F77FE5">
      <w:pPr>
        <w:jc w:val="center"/>
        <w:rPr>
          <w:rFonts w:eastAsia="Times New Roman" w:cs="Arial"/>
          <w:szCs w:val="20"/>
          <w:lang w:val="es-ES"/>
        </w:rPr>
      </w:pPr>
      <w:r>
        <w:rPr>
          <w:rFonts w:eastAsia="Times New Roman" w:cs="Arial"/>
          <w:noProof/>
          <w:szCs w:val="20"/>
          <w:lang w:val="es-MX" w:eastAsia="es-MX"/>
        </w:rPr>
        <w:drawing>
          <wp:inline distT="0" distB="0" distL="0" distR="0" wp14:anchorId="3A4257D7" wp14:editId="2DF2F610">
            <wp:extent cx="4584700" cy="5937885"/>
            <wp:effectExtent l="0" t="0" r="635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5937885"/>
                    </a:xfrm>
                    <a:prstGeom prst="rect">
                      <a:avLst/>
                    </a:prstGeom>
                    <a:noFill/>
                  </pic:spPr>
                </pic:pic>
              </a:graphicData>
            </a:graphic>
          </wp:inline>
        </w:drawing>
      </w:r>
    </w:p>
    <w:p w14:paraId="386F1D6F" w14:textId="77777777" w:rsidR="00F77FE5" w:rsidRPr="00F77FE5" w:rsidRDefault="00F77FE5" w:rsidP="00F77FE5">
      <w:pPr>
        <w:spacing w:before="20" w:after="0"/>
        <w:rPr>
          <w:rFonts w:eastAsia="Calibri" w:cstheme="minorBidi"/>
          <w:b/>
          <w:sz w:val="12"/>
          <w:szCs w:val="22"/>
          <w:lang w:val="es-MX" w:eastAsia="en-US"/>
        </w:rPr>
      </w:pPr>
    </w:p>
    <w:p w14:paraId="19C8F821" w14:textId="77777777" w:rsidR="00F77FE5" w:rsidRPr="00F77FE5" w:rsidRDefault="00F77FE5" w:rsidP="00F77FE5">
      <w:pPr>
        <w:jc w:val="both"/>
        <w:rPr>
          <w:rFonts w:eastAsia="Times New Roman" w:cs="Arial"/>
          <w:szCs w:val="20"/>
          <w:lang w:val="es-MX"/>
        </w:rPr>
      </w:pPr>
    </w:p>
    <w:p w14:paraId="4DE3C46F" w14:textId="77777777" w:rsidR="00F77FE5" w:rsidRDefault="00F77FE5" w:rsidP="00F77FE5">
      <w:pPr>
        <w:jc w:val="both"/>
        <w:rPr>
          <w:rFonts w:eastAsia="Times New Roman" w:cs="Arial"/>
          <w:szCs w:val="20"/>
          <w:lang w:val="es-ES"/>
        </w:rPr>
      </w:pPr>
      <w:r w:rsidRPr="00F77FE5">
        <w:rPr>
          <w:rFonts w:eastAsia="Times New Roman" w:cs="Arial"/>
          <w:szCs w:val="20"/>
          <w:lang w:val="es-MX"/>
        </w:rPr>
        <w:t>Los</w:t>
      </w:r>
      <w:r w:rsidRPr="00F77FE5">
        <w:rPr>
          <w:rFonts w:eastAsia="Times New Roman" w:cs="Arial"/>
          <w:szCs w:val="20"/>
          <w:lang w:val="es-ES"/>
        </w:rPr>
        <w:t xml:space="preserve"> tres principales temas sobre los cuales se han instrumentado los ASM concluidos fueron: Operación con 67 (25.0%), Diseño con 49 ASM (18.3%) e Indicadores y Planeación con 27 ASM (10.1%). Cabe mencionar que algunos ASM abordan distintas temáticas, en este caso son 42 (15.7%) que tienen más de un tema. De igual forma, respecto del nivel de prioridad, de los 268 ASM concluidos, 98 (36.6%) son de prioridad Alta; 64 (23.9%) son de Media; y 106 (39.5%) son de prioridad Baja. </w:t>
      </w:r>
    </w:p>
    <w:p w14:paraId="070FB2A6" w14:textId="77777777" w:rsidR="005854F3" w:rsidRDefault="005854F3" w:rsidP="00F77FE5">
      <w:pPr>
        <w:jc w:val="both"/>
        <w:rPr>
          <w:rFonts w:eastAsia="Times New Roman" w:cs="Arial"/>
          <w:szCs w:val="20"/>
          <w:lang w:val="es-ES"/>
        </w:rPr>
      </w:pPr>
    </w:p>
    <w:p w14:paraId="7A1E01CF" w14:textId="77777777" w:rsidR="005854F3" w:rsidRDefault="005854F3" w:rsidP="00F77FE5">
      <w:pPr>
        <w:jc w:val="both"/>
        <w:rPr>
          <w:rFonts w:eastAsia="Times New Roman" w:cs="Arial"/>
          <w:szCs w:val="20"/>
          <w:lang w:val="es-ES"/>
        </w:rPr>
      </w:pPr>
    </w:p>
    <w:p w14:paraId="00453565" w14:textId="77777777" w:rsidR="005854F3" w:rsidRPr="00F77FE5" w:rsidRDefault="005854F3" w:rsidP="00F77FE5">
      <w:pPr>
        <w:jc w:val="both"/>
        <w:rPr>
          <w:rFonts w:eastAsia="Times New Roman" w:cs="Arial"/>
          <w:szCs w:val="20"/>
          <w:lang w:val="es-ES"/>
        </w:rPr>
      </w:pPr>
    </w:p>
    <w:p w14:paraId="35F3A3E0" w14:textId="77777777" w:rsidR="00F77FE5" w:rsidRPr="00F77FE5" w:rsidRDefault="00F77FE5" w:rsidP="00F77FE5">
      <w:pPr>
        <w:jc w:val="both"/>
        <w:rPr>
          <w:rFonts w:eastAsia="Times New Roman" w:cs="Arial"/>
          <w:b/>
          <w:szCs w:val="20"/>
          <w:lang w:val="es-MX"/>
        </w:rPr>
      </w:pPr>
    </w:p>
    <w:tbl>
      <w:tblPr>
        <w:tblW w:w="4193" w:type="pct"/>
        <w:jc w:val="center"/>
        <w:tblCellMar>
          <w:left w:w="70" w:type="dxa"/>
          <w:right w:w="70" w:type="dxa"/>
        </w:tblCellMar>
        <w:tblLook w:val="04A0" w:firstRow="1" w:lastRow="0" w:firstColumn="1" w:lastColumn="0" w:noHBand="0" w:noVBand="1"/>
      </w:tblPr>
      <w:tblGrid>
        <w:gridCol w:w="2893"/>
        <w:gridCol w:w="983"/>
        <w:gridCol w:w="1356"/>
        <w:gridCol w:w="958"/>
        <w:gridCol w:w="1203"/>
        <w:gridCol w:w="970"/>
      </w:tblGrid>
      <w:tr w:rsidR="00F77FE5" w:rsidRPr="00F77FE5" w14:paraId="377309C8" w14:textId="77777777" w:rsidTr="005A7CAD">
        <w:trPr>
          <w:trHeight w:val="300"/>
          <w:jc w:val="center"/>
        </w:trPr>
        <w:tc>
          <w:tcPr>
            <w:tcW w:w="5000" w:type="pct"/>
            <w:gridSpan w:val="6"/>
            <w:tcBorders>
              <w:top w:val="nil"/>
              <w:left w:val="nil"/>
              <w:bottom w:val="nil"/>
              <w:right w:val="nil"/>
            </w:tcBorders>
            <w:shd w:val="clear" w:color="000000" w:fill="EAF1DD"/>
            <w:noWrap/>
            <w:vAlign w:val="center"/>
            <w:hideMark/>
          </w:tcPr>
          <w:p w14:paraId="5EE2A223" w14:textId="77777777" w:rsidR="00F77FE5" w:rsidRPr="00F77FE5" w:rsidRDefault="00F77FE5" w:rsidP="00F77FE5">
            <w:pPr>
              <w:spacing w:after="0"/>
              <w:jc w:val="center"/>
              <w:rPr>
                <w:rFonts w:eastAsia="Times New Roman" w:cs="Calibri"/>
                <w:color w:val="000000"/>
                <w:sz w:val="18"/>
                <w:szCs w:val="18"/>
                <w:lang w:val="es-MX" w:eastAsia="es-MX"/>
              </w:rPr>
            </w:pPr>
            <w:r w:rsidRPr="00F77FE5">
              <w:rPr>
                <w:rFonts w:eastAsia="Times New Roman" w:cs="Calibri"/>
                <w:color w:val="000000"/>
                <w:sz w:val="18"/>
                <w:szCs w:val="18"/>
                <w:lang w:val="es-MX" w:eastAsia="es-MX"/>
              </w:rPr>
              <w:t>Tabla 11.</w:t>
            </w:r>
            <w:r w:rsidR="006F4A52">
              <w:rPr>
                <w:rFonts w:eastAsia="Times New Roman" w:cs="Calibri"/>
                <w:color w:val="000000"/>
                <w:sz w:val="18"/>
                <w:szCs w:val="18"/>
                <w:lang w:val="es-MX" w:eastAsia="es-MX"/>
              </w:rPr>
              <w:t xml:space="preserve"> </w:t>
            </w:r>
            <w:r w:rsidRPr="00F77FE5">
              <w:rPr>
                <w:rFonts w:eastAsia="Times New Roman" w:cs="Calibri"/>
                <w:color w:val="000000"/>
                <w:sz w:val="18"/>
                <w:szCs w:val="18"/>
                <w:lang w:val="es-MX" w:eastAsia="es-MX"/>
              </w:rPr>
              <w:t>Temas a los que van dirigidos los ASM concluidos al primer trimestre de 2018</w:t>
            </w:r>
          </w:p>
        </w:tc>
      </w:tr>
      <w:tr w:rsidR="00F77FE5" w:rsidRPr="00F77FE5" w14:paraId="49334B37" w14:textId="77777777" w:rsidTr="005A7CAD">
        <w:trPr>
          <w:trHeight w:val="315"/>
          <w:jc w:val="center"/>
        </w:trPr>
        <w:tc>
          <w:tcPr>
            <w:tcW w:w="1729" w:type="pct"/>
            <w:tcBorders>
              <w:top w:val="nil"/>
              <w:left w:val="nil"/>
              <w:bottom w:val="single" w:sz="12" w:space="0" w:color="auto"/>
              <w:right w:val="nil"/>
            </w:tcBorders>
            <w:shd w:val="clear" w:color="000000" w:fill="FFFFFF"/>
            <w:noWrap/>
            <w:vAlign w:val="center"/>
            <w:hideMark/>
          </w:tcPr>
          <w:p w14:paraId="534B1B2A"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Tema</w:t>
            </w:r>
          </w:p>
        </w:tc>
        <w:tc>
          <w:tcPr>
            <w:tcW w:w="588" w:type="pct"/>
            <w:tcBorders>
              <w:top w:val="nil"/>
              <w:left w:val="nil"/>
              <w:bottom w:val="single" w:sz="12" w:space="0" w:color="auto"/>
              <w:right w:val="nil"/>
            </w:tcBorders>
            <w:shd w:val="clear" w:color="000000" w:fill="FFFFFF"/>
            <w:noWrap/>
            <w:vAlign w:val="center"/>
            <w:hideMark/>
          </w:tcPr>
          <w:p w14:paraId="035E0E7A"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Baja</w:t>
            </w:r>
          </w:p>
        </w:tc>
        <w:tc>
          <w:tcPr>
            <w:tcW w:w="811" w:type="pct"/>
            <w:tcBorders>
              <w:top w:val="nil"/>
              <w:left w:val="nil"/>
              <w:bottom w:val="single" w:sz="12" w:space="0" w:color="auto"/>
              <w:right w:val="nil"/>
            </w:tcBorders>
            <w:shd w:val="clear" w:color="000000" w:fill="FFFFFF"/>
            <w:noWrap/>
            <w:vAlign w:val="center"/>
            <w:hideMark/>
          </w:tcPr>
          <w:p w14:paraId="4A5E073B"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Media</w:t>
            </w:r>
          </w:p>
        </w:tc>
        <w:tc>
          <w:tcPr>
            <w:tcW w:w="573" w:type="pct"/>
            <w:tcBorders>
              <w:top w:val="nil"/>
              <w:left w:val="nil"/>
              <w:bottom w:val="single" w:sz="12" w:space="0" w:color="auto"/>
              <w:right w:val="nil"/>
            </w:tcBorders>
            <w:shd w:val="clear" w:color="000000" w:fill="FFFFFF"/>
            <w:noWrap/>
            <w:vAlign w:val="center"/>
            <w:hideMark/>
          </w:tcPr>
          <w:p w14:paraId="14484305"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Alta</w:t>
            </w:r>
          </w:p>
        </w:tc>
        <w:tc>
          <w:tcPr>
            <w:tcW w:w="719" w:type="pct"/>
            <w:tcBorders>
              <w:top w:val="nil"/>
              <w:left w:val="nil"/>
              <w:bottom w:val="single" w:sz="12" w:space="0" w:color="auto"/>
              <w:right w:val="nil"/>
            </w:tcBorders>
            <w:shd w:val="clear" w:color="000000" w:fill="FFFFFF"/>
            <w:noWrap/>
            <w:vAlign w:val="center"/>
            <w:hideMark/>
          </w:tcPr>
          <w:p w14:paraId="333FCF77"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Total</w:t>
            </w:r>
          </w:p>
        </w:tc>
        <w:tc>
          <w:tcPr>
            <w:tcW w:w="581" w:type="pct"/>
            <w:tcBorders>
              <w:top w:val="nil"/>
              <w:left w:val="nil"/>
              <w:bottom w:val="single" w:sz="12" w:space="0" w:color="auto"/>
              <w:right w:val="nil"/>
            </w:tcBorders>
            <w:shd w:val="clear" w:color="000000" w:fill="FFFFFF"/>
            <w:noWrap/>
            <w:vAlign w:val="center"/>
            <w:hideMark/>
          </w:tcPr>
          <w:p w14:paraId="3206C7FF" w14:textId="77777777" w:rsidR="00F77FE5" w:rsidRPr="00F77FE5" w:rsidRDefault="00F77FE5" w:rsidP="00F77FE5">
            <w:pPr>
              <w:spacing w:after="0"/>
              <w:jc w:val="center"/>
              <w:rPr>
                <w:rFonts w:eastAsia="Calibri" w:cstheme="minorBidi"/>
                <w:sz w:val="14"/>
                <w:szCs w:val="22"/>
                <w:lang w:val="es-MX" w:eastAsia="es-MX"/>
              </w:rPr>
            </w:pPr>
            <w:r w:rsidRPr="00F77FE5">
              <w:rPr>
                <w:rFonts w:eastAsia="Calibri" w:cstheme="minorBidi"/>
                <w:sz w:val="14"/>
                <w:szCs w:val="22"/>
                <w:lang w:val="es-MX" w:eastAsia="es-MX"/>
              </w:rPr>
              <w:t>% del Total</w:t>
            </w:r>
          </w:p>
        </w:tc>
      </w:tr>
      <w:tr w:rsidR="00F77FE5" w:rsidRPr="00F77FE5" w14:paraId="5B17C019" w14:textId="77777777" w:rsidTr="005A7CAD">
        <w:trPr>
          <w:trHeight w:val="315"/>
          <w:jc w:val="center"/>
        </w:trPr>
        <w:tc>
          <w:tcPr>
            <w:tcW w:w="1729" w:type="pct"/>
            <w:tcBorders>
              <w:top w:val="nil"/>
              <w:left w:val="nil"/>
              <w:bottom w:val="nil"/>
              <w:right w:val="nil"/>
            </w:tcBorders>
            <w:shd w:val="clear" w:color="000000" w:fill="FFFFFF"/>
            <w:noWrap/>
            <w:vAlign w:val="center"/>
            <w:hideMark/>
          </w:tcPr>
          <w:p w14:paraId="4FD9650E"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Coberturas</w:t>
            </w:r>
          </w:p>
        </w:tc>
        <w:tc>
          <w:tcPr>
            <w:tcW w:w="588" w:type="pct"/>
            <w:tcBorders>
              <w:top w:val="nil"/>
              <w:left w:val="nil"/>
              <w:bottom w:val="nil"/>
              <w:right w:val="nil"/>
            </w:tcBorders>
            <w:shd w:val="clear" w:color="000000" w:fill="FFFFFF"/>
            <w:noWrap/>
            <w:vAlign w:val="center"/>
            <w:hideMark/>
          </w:tcPr>
          <w:p w14:paraId="6206AF63"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w:t>
            </w:r>
          </w:p>
        </w:tc>
        <w:tc>
          <w:tcPr>
            <w:tcW w:w="811" w:type="pct"/>
            <w:tcBorders>
              <w:top w:val="nil"/>
              <w:left w:val="nil"/>
              <w:bottom w:val="nil"/>
              <w:right w:val="nil"/>
            </w:tcBorders>
            <w:shd w:val="clear" w:color="000000" w:fill="FFFFFF"/>
            <w:noWrap/>
            <w:vAlign w:val="center"/>
            <w:hideMark/>
          </w:tcPr>
          <w:p w14:paraId="358358F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5</w:t>
            </w:r>
          </w:p>
        </w:tc>
        <w:tc>
          <w:tcPr>
            <w:tcW w:w="573" w:type="pct"/>
            <w:tcBorders>
              <w:top w:val="nil"/>
              <w:left w:val="nil"/>
              <w:bottom w:val="nil"/>
              <w:right w:val="nil"/>
            </w:tcBorders>
            <w:shd w:val="clear" w:color="000000" w:fill="FFFFFF"/>
            <w:noWrap/>
            <w:vAlign w:val="center"/>
            <w:hideMark/>
          </w:tcPr>
          <w:p w14:paraId="0AF9843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w:t>
            </w:r>
          </w:p>
        </w:tc>
        <w:tc>
          <w:tcPr>
            <w:tcW w:w="719" w:type="pct"/>
            <w:tcBorders>
              <w:top w:val="nil"/>
              <w:left w:val="nil"/>
              <w:bottom w:val="nil"/>
              <w:right w:val="nil"/>
            </w:tcBorders>
            <w:shd w:val="clear" w:color="000000" w:fill="FFFFFF"/>
            <w:noWrap/>
            <w:vAlign w:val="center"/>
            <w:hideMark/>
          </w:tcPr>
          <w:p w14:paraId="2152864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23</w:t>
            </w:r>
          </w:p>
        </w:tc>
        <w:tc>
          <w:tcPr>
            <w:tcW w:w="581" w:type="pct"/>
            <w:tcBorders>
              <w:top w:val="nil"/>
              <w:left w:val="nil"/>
              <w:bottom w:val="nil"/>
              <w:right w:val="nil"/>
            </w:tcBorders>
            <w:shd w:val="clear" w:color="000000" w:fill="FFFFFF"/>
            <w:noWrap/>
            <w:vAlign w:val="center"/>
            <w:hideMark/>
          </w:tcPr>
          <w:p w14:paraId="75F535A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8.6</w:t>
            </w:r>
          </w:p>
        </w:tc>
      </w:tr>
      <w:tr w:rsidR="00F77FE5" w:rsidRPr="00F77FE5" w14:paraId="27BCAB31" w14:textId="77777777" w:rsidTr="005A7CAD">
        <w:trPr>
          <w:trHeight w:val="300"/>
          <w:jc w:val="center"/>
        </w:trPr>
        <w:tc>
          <w:tcPr>
            <w:tcW w:w="1729" w:type="pct"/>
            <w:tcBorders>
              <w:top w:val="nil"/>
              <w:left w:val="nil"/>
              <w:bottom w:val="nil"/>
              <w:right w:val="nil"/>
            </w:tcBorders>
            <w:shd w:val="clear" w:color="000000" w:fill="FFFFFF"/>
            <w:noWrap/>
            <w:vAlign w:val="center"/>
            <w:hideMark/>
          </w:tcPr>
          <w:p w14:paraId="39317219"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Diseño</w:t>
            </w:r>
          </w:p>
        </w:tc>
        <w:tc>
          <w:tcPr>
            <w:tcW w:w="588" w:type="pct"/>
            <w:tcBorders>
              <w:top w:val="nil"/>
              <w:left w:val="nil"/>
              <w:bottom w:val="nil"/>
              <w:right w:val="nil"/>
            </w:tcBorders>
            <w:shd w:val="clear" w:color="000000" w:fill="FFFFFF"/>
            <w:noWrap/>
            <w:vAlign w:val="center"/>
            <w:hideMark/>
          </w:tcPr>
          <w:p w14:paraId="38F2FBF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22</w:t>
            </w:r>
          </w:p>
        </w:tc>
        <w:tc>
          <w:tcPr>
            <w:tcW w:w="811" w:type="pct"/>
            <w:tcBorders>
              <w:top w:val="nil"/>
              <w:left w:val="nil"/>
              <w:bottom w:val="nil"/>
              <w:right w:val="nil"/>
            </w:tcBorders>
            <w:shd w:val="clear" w:color="000000" w:fill="FFFFFF"/>
            <w:noWrap/>
            <w:vAlign w:val="center"/>
            <w:hideMark/>
          </w:tcPr>
          <w:p w14:paraId="5CB8956F"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13</w:t>
            </w:r>
          </w:p>
        </w:tc>
        <w:tc>
          <w:tcPr>
            <w:tcW w:w="573" w:type="pct"/>
            <w:tcBorders>
              <w:top w:val="nil"/>
              <w:left w:val="nil"/>
              <w:bottom w:val="nil"/>
              <w:right w:val="nil"/>
            </w:tcBorders>
            <w:shd w:val="clear" w:color="000000" w:fill="FFFFFF"/>
            <w:noWrap/>
            <w:vAlign w:val="center"/>
            <w:hideMark/>
          </w:tcPr>
          <w:p w14:paraId="30499C5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14</w:t>
            </w:r>
          </w:p>
        </w:tc>
        <w:tc>
          <w:tcPr>
            <w:tcW w:w="719" w:type="pct"/>
            <w:tcBorders>
              <w:top w:val="nil"/>
              <w:left w:val="nil"/>
              <w:bottom w:val="nil"/>
              <w:right w:val="nil"/>
            </w:tcBorders>
            <w:shd w:val="clear" w:color="000000" w:fill="FFFFFF"/>
            <w:noWrap/>
            <w:vAlign w:val="center"/>
            <w:hideMark/>
          </w:tcPr>
          <w:p w14:paraId="12FF875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49</w:t>
            </w:r>
          </w:p>
        </w:tc>
        <w:tc>
          <w:tcPr>
            <w:tcW w:w="581" w:type="pct"/>
            <w:tcBorders>
              <w:top w:val="nil"/>
              <w:left w:val="nil"/>
              <w:bottom w:val="nil"/>
              <w:right w:val="nil"/>
            </w:tcBorders>
            <w:shd w:val="clear" w:color="000000" w:fill="FFFFFF"/>
            <w:noWrap/>
            <w:vAlign w:val="center"/>
            <w:hideMark/>
          </w:tcPr>
          <w:p w14:paraId="6FF8680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18.3</w:t>
            </w:r>
          </w:p>
        </w:tc>
      </w:tr>
      <w:tr w:rsidR="00F77FE5" w:rsidRPr="00F77FE5" w14:paraId="042F3F51" w14:textId="77777777" w:rsidTr="005A7CAD">
        <w:trPr>
          <w:trHeight w:val="300"/>
          <w:jc w:val="center"/>
        </w:trPr>
        <w:tc>
          <w:tcPr>
            <w:tcW w:w="1729" w:type="pct"/>
            <w:tcBorders>
              <w:top w:val="nil"/>
              <w:left w:val="nil"/>
              <w:bottom w:val="nil"/>
              <w:right w:val="nil"/>
            </w:tcBorders>
            <w:shd w:val="clear" w:color="000000" w:fill="FFFFFF"/>
            <w:noWrap/>
            <w:vAlign w:val="center"/>
            <w:hideMark/>
          </w:tcPr>
          <w:p w14:paraId="0C004302"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Ejecución</w:t>
            </w:r>
          </w:p>
        </w:tc>
        <w:tc>
          <w:tcPr>
            <w:tcW w:w="588" w:type="pct"/>
            <w:tcBorders>
              <w:top w:val="nil"/>
              <w:left w:val="nil"/>
              <w:bottom w:val="nil"/>
              <w:right w:val="nil"/>
            </w:tcBorders>
            <w:shd w:val="clear" w:color="000000" w:fill="FFFFFF"/>
            <w:noWrap/>
            <w:vAlign w:val="center"/>
            <w:hideMark/>
          </w:tcPr>
          <w:p w14:paraId="01174CCB"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811" w:type="pct"/>
            <w:tcBorders>
              <w:top w:val="nil"/>
              <w:left w:val="nil"/>
              <w:bottom w:val="nil"/>
              <w:right w:val="nil"/>
            </w:tcBorders>
            <w:shd w:val="clear" w:color="000000" w:fill="FFFFFF"/>
            <w:noWrap/>
            <w:vAlign w:val="center"/>
            <w:hideMark/>
          </w:tcPr>
          <w:p w14:paraId="75E9A98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573" w:type="pct"/>
            <w:tcBorders>
              <w:top w:val="nil"/>
              <w:left w:val="nil"/>
              <w:bottom w:val="nil"/>
              <w:right w:val="nil"/>
            </w:tcBorders>
            <w:shd w:val="clear" w:color="000000" w:fill="FFFFFF"/>
            <w:noWrap/>
            <w:vAlign w:val="center"/>
            <w:hideMark/>
          </w:tcPr>
          <w:p w14:paraId="2019E9E7"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0</w:t>
            </w:r>
          </w:p>
        </w:tc>
        <w:tc>
          <w:tcPr>
            <w:tcW w:w="719" w:type="pct"/>
            <w:tcBorders>
              <w:top w:val="nil"/>
              <w:left w:val="nil"/>
              <w:bottom w:val="nil"/>
              <w:right w:val="nil"/>
            </w:tcBorders>
            <w:shd w:val="clear" w:color="000000" w:fill="FFFFFF"/>
            <w:noWrap/>
            <w:vAlign w:val="center"/>
            <w:hideMark/>
          </w:tcPr>
          <w:p w14:paraId="1D2F0EF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581" w:type="pct"/>
            <w:tcBorders>
              <w:top w:val="nil"/>
              <w:left w:val="nil"/>
              <w:bottom w:val="nil"/>
              <w:right w:val="nil"/>
            </w:tcBorders>
            <w:shd w:val="clear" w:color="000000" w:fill="FFFFFF"/>
            <w:noWrap/>
            <w:vAlign w:val="center"/>
            <w:hideMark/>
          </w:tcPr>
          <w:p w14:paraId="315E27F2"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1.5</w:t>
            </w:r>
          </w:p>
        </w:tc>
      </w:tr>
      <w:tr w:rsidR="00F77FE5" w:rsidRPr="00F77FE5" w14:paraId="210D97EE" w14:textId="77777777" w:rsidTr="005A7CAD">
        <w:trPr>
          <w:trHeight w:val="300"/>
          <w:jc w:val="center"/>
        </w:trPr>
        <w:tc>
          <w:tcPr>
            <w:tcW w:w="1729" w:type="pct"/>
            <w:tcBorders>
              <w:top w:val="nil"/>
              <w:left w:val="nil"/>
              <w:bottom w:val="nil"/>
              <w:right w:val="nil"/>
            </w:tcBorders>
            <w:shd w:val="clear" w:color="000000" w:fill="FFFFFF"/>
            <w:noWrap/>
            <w:vAlign w:val="center"/>
            <w:hideMark/>
          </w:tcPr>
          <w:p w14:paraId="239CB615"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Evaluación</w:t>
            </w:r>
          </w:p>
        </w:tc>
        <w:tc>
          <w:tcPr>
            <w:tcW w:w="588" w:type="pct"/>
            <w:tcBorders>
              <w:top w:val="nil"/>
              <w:left w:val="nil"/>
              <w:bottom w:val="nil"/>
              <w:right w:val="nil"/>
            </w:tcBorders>
            <w:shd w:val="clear" w:color="000000" w:fill="FFFFFF"/>
            <w:noWrap/>
            <w:vAlign w:val="center"/>
            <w:hideMark/>
          </w:tcPr>
          <w:p w14:paraId="4E020B2F"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811" w:type="pct"/>
            <w:tcBorders>
              <w:top w:val="nil"/>
              <w:left w:val="nil"/>
              <w:bottom w:val="nil"/>
              <w:right w:val="nil"/>
            </w:tcBorders>
            <w:shd w:val="clear" w:color="000000" w:fill="FFFFFF"/>
            <w:noWrap/>
            <w:vAlign w:val="center"/>
            <w:hideMark/>
          </w:tcPr>
          <w:p w14:paraId="3F73F5D2"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w:t>
            </w:r>
          </w:p>
        </w:tc>
        <w:tc>
          <w:tcPr>
            <w:tcW w:w="573" w:type="pct"/>
            <w:tcBorders>
              <w:top w:val="nil"/>
              <w:left w:val="nil"/>
              <w:bottom w:val="nil"/>
              <w:right w:val="nil"/>
            </w:tcBorders>
            <w:shd w:val="clear" w:color="000000" w:fill="FFFFFF"/>
            <w:noWrap/>
            <w:vAlign w:val="center"/>
            <w:hideMark/>
          </w:tcPr>
          <w:p w14:paraId="5EAA5AC5"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5</w:t>
            </w:r>
          </w:p>
        </w:tc>
        <w:tc>
          <w:tcPr>
            <w:tcW w:w="719" w:type="pct"/>
            <w:tcBorders>
              <w:top w:val="nil"/>
              <w:left w:val="nil"/>
              <w:bottom w:val="nil"/>
              <w:right w:val="nil"/>
            </w:tcBorders>
            <w:shd w:val="clear" w:color="000000" w:fill="FFFFFF"/>
            <w:noWrap/>
            <w:vAlign w:val="center"/>
            <w:hideMark/>
          </w:tcPr>
          <w:p w14:paraId="48691D7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w:t>
            </w:r>
          </w:p>
        </w:tc>
        <w:tc>
          <w:tcPr>
            <w:tcW w:w="581" w:type="pct"/>
            <w:tcBorders>
              <w:top w:val="nil"/>
              <w:left w:val="nil"/>
              <w:bottom w:val="nil"/>
              <w:right w:val="nil"/>
            </w:tcBorders>
            <w:shd w:val="clear" w:color="000000" w:fill="FFFFFF"/>
            <w:noWrap/>
            <w:vAlign w:val="center"/>
            <w:hideMark/>
          </w:tcPr>
          <w:p w14:paraId="039C5FA3"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3.7</w:t>
            </w:r>
          </w:p>
        </w:tc>
      </w:tr>
      <w:tr w:rsidR="00F77FE5" w:rsidRPr="00F77FE5" w14:paraId="6E780CDE" w14:textId="77777777" w:rsidTr="005A7CAD">
        <w:trPr>
          <w:trHeight w:val="300"/>
          <w:jc w:val="center"/>
        </w:trPr>
        <w:tc>
          <w:tcPr>
            <w:tcW w:w="1729" w:type="pct"/>
            <w:tcBorders>
              <w:top w:val="nil"/>
              <w:left w:val="nil"/>
              <w:bottom w:val="nil"/>
              <w:right w:val="nil"/>
            </w:tcBorders>
            <w:shd w:val="clear" w:color="000000" w:fill="FFFFFF"/>
            <w:noWrap/>
            <w:vAlign w:val="center"/>
            <w:hideMark/>
          </w:tcPr>
          <w:p w14:paraId="218A4347"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Indicadores</w:t>
            </w:r>
          </w:p>
        </w:tc>
        <w:tc>
          <w:tcPr>
            <w:tcW w:w="588" w:type="pct"/>
            <w:tcBorders>
              <w:top w:val="nil"/>
              <w:left w:val="nil"/>
              <w:bottom w:val="nil"/>
              <w:right w:val="nil"/>
            </w:tcBorders>
            <w:shd w:val="clear" w:color="000000" w:fill="FFFFFF"/>
            <w:noWrap/>
            <w:vAlign w:val="center"/>
            <w:hideMark/>
          </w:tcPr>
          <w:p w14:paraId="5043CF03"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w:t>
            </w:r>
          </w:p>
        </w:tc>
        <w:tc>
          <w:tcPr>
            <w:tcW w:w="811" w:type="pct"/>
            <w:tcBorders>
              <w:top w:val="nil"/>
              <w:left w:val="nil"/>
              <w:bottom w:val="nil"/>
              <w:right w:val="nil"/>
            </w:tcBorders>
            <w:shd w:val="clear" w:color="000000" w:fill="FFFFFF"/>
            <w:noWrap/>
            <w:vAlign w:val="center"/>
            <w:hideMark/>
          </w:tcPr>
          <w:p w14:paraId="5469863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9</w:t>
            </w:r>
          </w:p>
        </w:tc>
        <w:tc>
          <w:tcPr>
            <w:tcW w:w="573" w:type="pct"/>
            <w:tcBorders>
              <w:top w:val="nil"/>
              <w:left w:val="nil"/>
              <w:bottom w:val="nil"/>
              <w:right w:val="nil"/>
            </w:tcBorders>
            <w:shd w:val="clear" w:color="000000" w:fill="FFFFFF"/>
            <w:noWrap/>
            <w:vAlign w:val="center"/>
            <w:hideMark/>
          </w:tcPr>
          <w:p w14:paraId="6F4F1444"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w:t>
            </w:r>
          </w:p>
        </w:tc>
        <w:tc>
          <w:tcPr>
            <w:tcW w:w="719" w:type="pct"/>
            <w:tcBorders>
              <w:top w:val="nil"/>
              <w:left w:val="nil"/>
              <w:bottom w:val="nil"/>
              <w:right w:val="nil"/>
            </w:tcBorders>
            <w:shd w:val="clear" w:color="000000" w:fill="FFFFFF"/>
            <w:noWrap/>
            <w:vAlign w:val="center"/>
            <w:hideMark/>
          </w:tcPr>
          <w:p w14:paraId="47C9738E"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27</w:t>
            </w:r>
          </w:p>
        </w:tc>
        <w:tc>
          <w:tcPr>
            <w:tcW w:w="581" w:type="pct"/>
            <w:tcBorders>
              <w:top w:val="nil"/>
              <w:left w:val="nil"/>
              <w:bottom w:val="nil"/>
              <w:right w:val="nil"/>
            </w:tcBorders>
            <w:shd w:val="clear" w:color="000000" w:fill="FFFFFF"/>
            <w:noWrap/>
            <w:vAlign w:val="center"/>
            <w:hideMark/>
          </w:tcPr>
          <w:p w14:paraId="1662FC5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10.1</w:t>
            </w:r>
          </w:p>
        </w:tc>
      </w:tr>
      <w:tr w:rsidR="00F77FE5" w:rsidRPr="00F77FE5" w14:paraId="102CF21B" w14:textId="77777777" w:rsidTr="005A7CAD">
        <w:trPr>
          <w:trHeight w:val="300"/>
          <w:jc w:val="center"/>
        </w:trPr>
        <w:tc>
          <w:tcPr>
            <w:tcW w:w="1729" w:type="pct"/>
            <w:tcBorders>
              <w:top w:val="nil"/>
              <w:left w:val="nil"/>
              <w:bottom w:val="nil"/>
              <w:right w:val="nil"/>
            </w:tcBorders>
            <w:shd w:val="clear" w:color="000000" w:fill="FFFFFF"/>
            <w:noWrap/>
            <w:vAlign w:val="center"/>
            <w:hideMark/>
          </w:tcPr>
          <w:p w14:paraId="0E928A60"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Operación</w:t>
            </w:r>
          </w:p>
        </w:tc>
        <w:tc>
          <w:tcPr>
            <w:tcW w:w="588" w:type="pct"/>
            <w:tcBorders>
              <w:top w:val="nil"/>
              <w:left w:val="nil"/>
              <w:bottom w:val="nil"/>
              <w:right w:val="nil"/>
            </w:tcBorders>
            <w:shd w:val="clear" w:color="000000" w:fill="FFFFFF"/>
            <w:noWrap/>
            <w:vAlign w:val="center"/>
            <w:hideMark/>
          </w:tcPr>
          <w:p w14:paraId="26D343BE"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20</w:t>
            </w:r>
          </w:p>
        </w:tc>
        <w:tc>
          <w:tcPr>
            <w:tcW w:w="811" w:type="pct"/>
            <w:tcBorders>
              <w:top w:val="nil"/>
              <w:left w:val="nil"/>
              <w:bottom w:val="nil"/>
              <w:right w:val="nil"/>
            </w:tcBorders>
            <w:shd w:val="clear" w:color="000000" w:fill="FFFFFF"/>
            <w:noWrap/>
            <w:vAlign w:val="center"/>
            <w:hideMark/>
          </w:tcPr>
          <w:p w14:paraId="11DA92B6"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24</w:t>
            </w:r>
          </w:p>
        </w:tc>
        <w:tc>
          <w:tcPr>
            <w:tcW w:w="573" w:type="pct"/>
            <w:tcBorders>
              <w:top w:val="nil"/>
              <w:left w:val="nil"/>
              <w:bottom w:val="nil"/>
              <w:right w:val="nil"/>
            </w:tcBorders>
            <w:shd w:val="clear" w:color="000000" w:fill="FFFFFF"/>
            <w:noWrap/>
            <w:vAlign w:val="center"/>
            <w:hideMark/>
          </w:tcPr>
          <w:p w14:paraId="093B1CE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23</w:t>
            </w:r>
          </w:p>
        </w:tc>
        <w:tc>
          <w:tcPr>
            <w:tcW w:w="719" w:type="pct"/>
            <w:tcBorders>
              <w:top w:val="nil"/>
              <w:left w:val="nil"/>
              <w:bottom w:val="nil"/>
              <w:right w:val="nil"/>
            </w:tcBorders>
            <w:shd w:val="clear" w:color="000000" w:fill="FFFFFF"/>
            <w:noWrap/>
            <w:vAlign w:val="center"/>
            <w:hideMark/>
          </w:tcPr>
          <w:p w14:paraId="3BD1442E"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67</w:t>
            </w:r>
          </w:p>
        </w:tc>
        <w:tc>
          <w:tcPr>
            <w:tcW w:w="581" w:type="pct"/>
            <w:tcBorders>
              <w:top w:val="nil"/>
              <w:left w:val="nil"/>
              <w:bottom w:val="nil"/>
              <w:right w:val="nil"/>
            </w:tcBorders>
            <w:shd w:val="clear" w:color="000000" w:fill="FFFFFF"/>
            <w:noWrap/>
            <w:vAlign w:val="center"/>
            <w:hideMark/>
          </w:tcPr>
          <w:p w14:paraId="66316642"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25.0</w:t>
            </w:r>
          </w:p>
        </w:tc>
      </w:tr>
      <w:tr w:rsidR="00F77FE5" w:rsidRPr="00F77FE5" w14:paraId="364C9042" w14:textId="77777777" w:rsidTr="005A7CAD">
        <w:trPr>
          <w:trHeight w:val="300"/>
          <w:jc w:val="center"/>
        </w:trPr>
        <w:tc>
          <w:tcPr>
            <w:tcW w:w="1729" w:type="pct"/>
            <w:tcBorders>
              <w:top w:val="nil"/>
              <w:left w:val="nil"/>
              <w:bottom w:val="nil"/>
              <w:right w:val="nil"/>
            </w:tcBorders>
            <w:shd w:val="clear" w:color="000000" w:fill="FFFFFF"/>
            <w:noWrap/>
            <w:vAlign w:val="center"/>
            <w:hideMark/>
          </w:tcPr>
          <w:p w14:paraId="2750C084"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Planeación</w:t>
            </w:r>
          </w:p>
        </w:tc>
        <w:tc>
          <w:tcPr>
            <w:tcW w:w="588" w:type="pct"/>
            <w:tcBorders>
              <w:top w:val="nil"/>
              <w:left w:val="nil"/>
              <w:bottom w:val="nil"/>
              <w:right w:val="nil"/>
            </w:tcBorders>
            <w:shd w:val="clear" w:color="000000" w:fill="FFFFFF"/>
            <w:noWrap/>
            <w:vAlign w:val="center"/>
            <w:hideMark/>
          </w:tcPr>
          <w:p w14:paraId="5FF63F1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16</w:t>
            </w:r>
          </w:p>
        </w:tc>
        <w:tc>
          <w:tcPr>
            <w:tcW w:w="811" w:type="pct"/>
            <w:tcBorders>
              <w:top w:val="nil"/>
              <w:left w:val="nil"/>
              <w:bottom w:val="nil"/>
              <w:right w:val="nil"/>
            </w:tcBorders>
            <w:shd w:val="clear" w:color="000000" w:fill="FFFFFF"/>
            <w:noWrap/>
            <w:vAlign w:val="center"/>
            <w:hideMark/>
          </w:tcPr>
          <w:p w14:paraId="04DF964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5</w:t>
            </w:r>
          </w:p>
        </w:tc>
        <w:tc>
          <w:tcPr>
            <w:tcW w:w="573" w:type="pct"/>
            <w:tcBorders>
              <w:top w:val="nil"/>
              <w:left w:val="nil"/>
              <w:bottom w:val="nil"/>
              <w:right w:val="nil"/>
            </w:tcBorders>
            <w:shd w:val="clear" w:color="000000" w:fill="FFFFFF"/>
            <w:noWrap/>
            <w:vAlign w:val="center"/>
            <w:hideMark/>
          </w:tcPr>
          <w:p w14:paraId="1095B0E3"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6</w:t>
            </w:r>
          </w:p>
        </w:tc>
        <w:tc>
          <w:tcPr>
            <w:tcW w:w="719" w:type="pct"/>
            <w:tcBorders>
              <w:top w:val="nil"/>
              <w:left w:val="nil"/>
              <w:bottom w:val="nil"/>
              <w:right w:val="nil"/>
            </w:tcBorders>
            <w:shd w:val="clear" w:color="000000" w:fill="FFFFFF"/>
            <w:noWrap/>
            <w:vAlign w:val="center"/>
            <w:hideMark/>
          </w:tcPr>
          <w:p w14:paraId="59AFAEAF"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27</w:t>
            </w:r>
          </w:p>
        </w:tc>
        <w:tc>
          <w:tcPr>
            <w:tcW w:w="581" w:type="pct"/>
            <w:tcBorders>
              <w:top w:val="nil"/>
              <w:left w:val="nil"/>
              <w:bottom w:val="nil"/>
              <w:right w:val="nil"/>
            </w:tcBorders>
            <w:shd w:val="clear" w:color="000000" w:fill="FFFFFF"/>
            <w:noWrap/>
            <w:vAlign w:val="center"/>
            <w:hideMark/>
          </w:tcPr>
          <w:p w14:paraId="43CD4E95"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10.1</w:t>
            </w:r>
          </w:p>
        </w:tc>
      </w:tr>
      <w:tr w:rsidR="00F77FE5" w:rsidRPr="00F77FE5" w14:paraId="34FB5024" w14:textId="77777777" w:rsidTr="005A7CAD">
        <w:trPr>
          <w:trHeight w:val="300"/>
          <w:jc w:val="center"/>
        </w:trPr>
        <w:tc>
          <w:tcPr>
            <w:tcW w:w="1729" w:type="pct"/>
            <w:tcBorders>
              <w:top w:val="nil"/>
              <w:left w:val="nil"/>
              <w:bottom w:val="nil"/>
              <w:right w:val="nil"/>
            </w:tcBorders>
            <w:shd w:val="clear" w:color="000000" w:fill="FFFFFF"/>
            <w:noWrap/>
            <w:vAlign w:val="center"/>
            <w:hideMark/>
          </w:tcPr>
          <w:p w14:paraId="3246FD8F"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Productos</w:t>
            </w:r>
          </w:p>
        </w:tc>
        <w:tc>
          <w:tcPr>
            <w:tcW w:w="588" w:type="pct"/>
            <w:tcBorders>
              <w:top w:val="nil"/>
              <w:left w:val="nil"/>
              <w:bottom w:val="nil"/>
              <w:right w:val="nil"/>
            </w:tcBorders>
            <w:shd w:val="clear" w:color="000000" w:fill="FFFFFF"/>
            <w:noWrap/>
            <w:vAlign w:val="center"/>
            <w:hideMark/>
          </w:tcPr>
          <w:p w14:paraId="687A18A9"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811" w:type="pct"/>
            <w:tcBorders>
              <w:top w:val="nil"/>
              <w:left w:val="nil"/>
              <w:bottom w:val="nil"/>
              <w:right w:val="nil"/>
            </w:tcBorders>
            <w:shd w:val="clear" w:color="000000" w:fill="FFFFFF"/>
            <w:noWrap/>
            <w:vAlign w:val="center"/>
            <w:hideMark/>
          </w:tcPr>
          <w:p w14:paraId="2F10F0B3"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w:t>
            </w:r>
          </w:p>
        </w:tc>
        <w:tc>
          <w:tcPr>
            <w:tcW w:w="573" w:type="pct"/>
            <w:tcBorders>
              <w:top w:val="nil"/>
              <w:left w:val="nil"/>
              <w:bottom w:val="nil"/>
              <w:right w:val="nil"/>
            </w:tcBorders>
            <w:shd w:val="clear" w:color="000000" w:fill="FFFFFF"/>
            <w:noWrap/>
            <w:vAlign w:val="center"/>
            <w:hideMark/>
          </w:tcPr>
          <w:p w14:paraId="37EECCAF"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8</w:t>
            </w:r>
          </w:p>
        </w:tc>
        <w:tc>
          <w:tcPr>
            <w:tcW w:w="719" w:type="pct"/>
            <w:tcBorders>
              <w:top w:val="nil"/>
              <w:left w:val="nil"/>
              <w:bottom w:val="nil"/>
              <w:right w:val="nil"/>
            </w:tcBorders>
            <w:shd w:val="clear" w:color="000000" w:fill="FFFFFF"/>
            <w:noWrap/>
            <w:vAlign w:val="center"/>
            <w:hideMark/>
          </w:tcPr>
          <w:p w14:paraId="5F2F1E4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12</w:t>
            </w:r>
          </w:p>
        </w:tc>
        <w:tc>
          <w:tcPr>
            <w:tcW w:w="581" w:type="pct"/>
            <w:tcBorders>
              <w:top w:val="nil"/>
              <w:left w:val="nil"/>
              <w:bottom w:val="nil"/>
              <w:right w:val="nil"/>
            </w:tcBorders>
            <w:shd w:val="clear" w:color="000000" w:fill="FFFFFF"/>
            <w:noWrap/>
            <w:vAlign w:val="center"/>
            <w:hideMark/>
          </w:tcPr>
          <w:p w14:paraId="2DA884C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4.5</w:t>
            </w:r>
          </w:p>
        </w:tc>
      </w:tr>
      <w:tr w:rsidR="00F77FE5" w:rsidRPr="00F77FE5" w14:paraId="4F0BD2C4" w14:textId="77777777" w:rsidTr="005A7CAD">
        <w:trPr>
          <w:trHeight w:val="300"/>
          <w:jc w:val="center"/>
        </w:trPr>
        <w:tc>
          <w:tcPr>
            <w:tcW w:w="1729" w:type="pct"/>
            <w:tcBorders>
              <w:top w:val="nil"/>
              <w:left w:val="nil"/>
              <w:bottom w:val="nil"/>
              <w:right w:val="nil"/>
            </w:tcBorders>
            <w:shd w:val="clear" w:color="000000" w:fill="FFFFFF"/>
            <w:noWrap/>
            <w:vAlign w:val="center"/>
            <w:hideMark/>
          </w:tcPr>
          <w:p w14:paraId="283E3A3D"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Resultado</w:t>
            </w:r>
          </w:p>
        </w:tc>
        <w:tc>
          <w:tcPr>
            <w:tcW w:w="588" w:type="pct"/>
            <w:tcBorders>
              <w:top w:val="nil"/>
              <w:left w:val="nil"/>
              <w:bottom w:val="nil"/>
              <w:right w:val="nil"/>
            </w:tcBorders>
            <w:shd w:val="clear" w:color="000000" w:fill="FFFFFF"/>
            <w:noWrap/>
            <w:vAlign w:val="center"/>
            <w:hideMark/>
          </w:tcPr>
          <w:p w14:paraId="764D02B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3</w:t>
            </w:r>
          </w:p>
        </w:tc>
        <w:tc>
          <w:tcPr>
            <w:tcW w:w="811" w:type="pct"/>
            <w:tcBorders>
              <w:top w:val="nil"/>
              <w:left w:val="nil"/>
              <w:bottom w:val="nil"/>
              <w:right w:val="nil"/>
            </w:tcBorders>
            <w:shd w:val="clear" w:color="000000" w:fill="FFFFFF"/>
            <w:noWrap/>
            <w:vAlign w:val="center"/>
            <w:hideMark/>
          </w:tcPr>
          <w:p w14:paraId="036ED891"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0</w:t>
            </w:r>
          </w:p>
        </w:tc>
        <w:tc>
          <w:tcPr>
            <w:tcW w:w="573" w:type="pct"/>
            <w:tcBorders>
              <w:top w:val="nil"/>
              <w:left w:val="nil"/>
              <w:bottom w:val="nil"/>
              <w:right w:val="nil"/>
            </w:tcBorders>
            <w:shd w:val="clear" w:color="000000" w:fill="FFFFFF"/>
            <w:noWrap/>
            <w:vAlign w:val="center"/>
            <w:hideMark/>
          </w:tcPr>
          <w:p w14:paraId="4E76E64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719" w:type="pct"/>
            <w:tcBorders>
              <w:top w:val="nil"/>
              <w:left w:val="nil"/>
              <w:bottom w:val="nil"/>
              <w:right w:val="nil"/>
            </w:tcBorders>
            <w:shd w:val="clear" w:color="000000" w:fill="FFFFFF"/>
            <w:noWrap/>
            <w:vAlign w:val="center"/>
            <w:hideMark/>
          </w:tcPr>
          <w:p w14:paraId="426DF795"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7</w:t>
            </w:r>
          </w:p>
        </w:tc>
        <w:tc>
          <w:tcPr>
            <w:tcW w:w="581" w:type="pct"/>
            <w:tcBorders>
              <w:top w:val="nil"/>
              <w:left w:val="nil"/>
              <w:bottom w:val="nil"/>
              <w:right w:val="nil"/>
            </w:tcBorders>
            <w:shd w:val="clear" w:color="000000" w:fill="FFFFFF"/>
            <w:noWrap/>
            <w:vAlign w:val="center"/>
            <w:hideMark/>
          </w:tcPr>
          <w:p w14:paraId="0FBFE048"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2.6</w:t>
            </w:r>
          </w:p>
        </w:tc>
      </w:tr>
      <w:tr w:rsidR="00F77FE5" w:rsidRPr="00F77FE5" w14:paraId="3E6D67D8" w14:textId="77777777" w:rsidTr="005A7CAD">
        <w:trPr>
          <w:trHeight w:val="300"/>
          <w:jc w:val="center"/>
        </w:trPr>
        <w:tc>
          <w:tcPr>
            <w:tcW w:w="1729" w:type="pct"/>
            <w:tcBorders>
              <w:top w:val="nil"/>
              <w:left w:val="nil"/>
              <w:bottom w:val="nil"/>
              <w:right w:val="nil"/>
            </w:tcBorders>
            <w:shd w:val="clear" w:color="000000" w:fill="FFFFFF"/>
            <w:noWrap/>
            <w:vAlign w:val="center"/>
            <w:hideMark/>
          </w:tcPr>
          <w:p w14:paraId="13A19447"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Más de un Tema</w:t>
            </w:r>
          </w:p>
        </w:tc>
        <w:tc>
          <w:tcPr>
            <w:tcW w:w="588" w:type="pct"/>
            <w:tcBorders>
              <w:top w:val="nil"/>
              <w:left w:val="nil"/>
              <w:bottom w:val="nil"/>
              <w:right w:val="nil"/>
            </w:tcBorders>
            <w:shd w:val="clear" w:color="000000" w:fill="FFFFFF"/>
            <w:noWrap/>
            <w:vAlign w:val="center"/>
            <w:hideMark/>
          </w:tcPr>
          <w:p w14:paraId="38C230E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20</w:t>
            </w:r>
          </w:p>
        </w:tc>
        <w:tc>
          <w:tcPr>
            <w:tcW w:w="811" w:type="pct"/>
            <w:tcBorders>
              <w:top w:val="nil"/>
              <w:left w:val="nil"/>
              <w:bottom w:val="nil"/>
              <w:right w:val="nil"/>
            </w:tcBorders>
            <w:shd w:val="clear" w:color="000000" w:fill="FFFFFF"/>
            <w:noWrap/>
            <w:vAlign w:val="center"/>
            <w:hideMark/>
          </w:tcPr>
          <w:p w14:paraId="0CDBB25E"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w:t>
            </w:r>
          </w:p>
        </w:tc>
        <w:tc>
          <w:tcPr>
            <w:tcW w:w="573" w:type="pct"/>
            <w:tcBorders>
              <w:top w:val="nil"/>
              <w:left w:val="nil"/>
              <w:bottom w:val="nil"/>
              <w:right w:val="nil"/>
            </w:tcBorders>
            <w:shd w:val="clear" w:color="000000" w:fill="FFFFFF"/>
            <w:noWrap/>
            <w:vAlign w:val="center"/>
            <w:hideMark/>
          </w:tcPr>
          <w:p w14:paraId="63567173"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18</w:t>
            </w:r>
          </w:p>
        </w:tc>
        <w:tc>
          <w:tcPr>
            <w:tcW w:w="719" w:type="pct"/>
            <w:tcBorders>
              <w:top w:val="nil"/>
              <w:left w:val="nil"/>
              <w:bottom w:val="nil"/>
              <w:right w:val="nil"/>
            </w:tcBorders>
            <w:shd w:val="clear" w:color="000000" w:fill="FFFFFF"/>
            <w:noWrap/>
            <w:vAlign w:val="center"/>
            <w:hideMark/>
          </w:tcPr>
          <w:p w14:paraId="064B368D"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42</w:t>
            </w:r>
          </w:p>
        </w:tc>
        <w:tc>
          <w:tcPr>
            <w:tcW w:w="581" w:type="pct"/>
            <w:tcBorders>
              <w:top w:val="nil"/>
              <w:left w:val="nil"/>
              <w:bottom w:val="nil"/>
              <w:right w:val="nil"/>
            </w:tcBorders>
            <w:shd w:val="clear" w:color="000000" w:fill="FFFFFF"/>
            <w:noWrap/>
            <w:vAlign w:val="center"/>
            <w:hideMark/>
          </w:tcPr>
          <w:p w14:paraId="0E7876AC" w14:textId="77777777" w:rsidR="00F77FE5" w:rsidRPr="00F77FE5" w:rsidRDefault="00F77FE5" w:rsidP="00F77FE5">
            <w:pPr>
              <w:spacing w:after="0"/>
              <w:jc w:val="center"/>
              <w:rPr>
                <w:rFonts w:eastAsia="Times New Roman" w:cs="Calibri"/>
                <w:color w:val="000000"/>
                <w:sz w:val="12"/>
                <w:szCs w:val="12"/>
                <w:lang w:val="es-MX" w:eastAsia="es-MX"/>
              </w:rPr>
            </w:pPr>
            <w:r w:rsidRPr="00F77FE5">
              <w:rPr>
                <w:rFonts w:eastAsia="Times New Roman" w:cs="Calibri"/>
                <w:color w:val="000000"/>
                <w:sz w:val="12"/>
                <w:szCs w:val="12"/>
                <w:lang w:val="es-MX" w:eastAsia="es-MX"/>
              </w:rPr>
              <w:t>15.7</w:t>
            </w:r>
          </w:p>
        </w:tc>
      </w:tr>
      <w:tr w:rsidR="00F77FE5" w:rsidRPr="00F77FE5" w14:paraId="41088249" w14:textId="77777777" w:rsidTr="005A7CAD">
        <w:trPr>
          <w:trHeight w:val="300"/>
          <w:jc w:val="center"/>
        </w:trPr>
        <w:tc>
          <w:tcPr>
            <w:tcW w:w="1729" w:type="pct"/>
            <w:tcBorders>
              <w:top w:val="nil"/>
              <w:left w:val="nil"/>
              <w:bottom w:val="nil"/>
              <w:right w:val="nil"/>
            </w:tcBorders>
            <w:shd w:val="clear" w:color="000000" w:fill="FFFFFF"/>
            <w:noWrap/>
            <w:vAlign w:val="center"/>
            <w:hideMark/>
          </w:tcPr>
          <w:p w14:paraId="0635AEA0" w14:textId="77777777" w:rsidR="00F77FE5" w:rsidRPr="00F77FE5" w:rsidRDefault="00F77FE5" w:rsidP="00F77FE5">
            <w:pPr>
              <w:spacing w:after="0"/>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Total</w:t>
            </w:r>
          </w:p>
        </w:tc>
        <w:tc>
          <w:tcPr>
            <w:tcW w:w="588" w:type="pct"/>
            <w:tcBorders>
              <w:top w:val="nil"/>
              <w:left w:val="nil"/>
              <w:bottom w:val="nil"/>
              <w:right w:val="nil"/>
            </w:tcBorders>
            <w:shd w:val="clear" w:color="000000" w:fill="FFFFFF"/>
            <w:noWrap/>
            <w:vAlign w:val="center"/>
            <w:hideMark/>
          </w:tcPr>
          <w:p w14:paraId="5478EBD8"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106</w:t>
            </w:r>
          </w:p>
        </w:tc>
        <w:tc>
          <w:tcPr>
            <w:tcW w:w="811" w:type="pct"/>
            <w:tcBorders>
              <w:top w:val="nil"/>
              <w:left w:val="nil"/>
              <w:bottom w:val="nil"/>
              <w:right w:val="nil"/>
            </w:tcBorders>
            <w:shd w:val="clear" w:color="000000" w:fill="FFFFFF"/>
            <w:noWrap/>
            <w:vAlign w:val="center"/>
            <w:hideMark/>
          </w:tcPr>
          <w:p w14:paraId="3DFC8E64"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64</w:t>
            </w:r>
          </w:p>
        </w:tc>
        <w:tc>
          <w:tcPr>
            <w:tcW w:w="573" w:type="pct"/>
            <w:tcBorders>
              <w:top w:val="nil"/>
              <w:left w:val="nil"/>
              <w:bottom w:val="nil"/>
              <w:right w:val="nil"/>
            </w:tcBorders>
            <w:shd w:val="clear" w:color="000000" w:fill="FFFFFF"/>
            <w:noWrap/>
            <w:vAlign w:val="center"/>
            <w:hideMark/>
          </w:tcPr>
          <w:p w14:paraId="1CEF72C3"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98</w:t>
            </w:r>
          </w:p>
        </w:tc>
        <w:tc>
          <w:tcPr>
            <w:tcW w:w="719" w:type="pct"/>
            <w:tcBorders>
              <w:top w:val="nil"/>
              <w:left w:val="nil"/>
              <w:bottom w:val="nil"/>
              <w:right w:val="nil"/>
            </w:tcBorders>
            <w:shd w:val="clear" w:color="000000" w:fill="FFFFFF"/>
            <w:noWrap/>
            <w:vAlign w:val="center"/>
            <w:hideMark/>
          </w:tcPr>
          <w:p w14:paraId="291273EA"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268</w:t>
            </w:r>
          </w:p>
        </w:tc>
        <w:tc>
          <w:tcPr>
            <w:tcW w:w="581" w:type="pct"/>
            <w:tcBorders>
              <w:top w:val="nil"/>
              <w:left w:val="nil"/>
              <w:bottom w:val="nil"/>
              <w:right w:val="nil"/>
            </w:tcBorders>
            <w:shd w:val="clear" w:color="000000" w:fill="FFFFFF"/>
            <w:noWrap/>
            <w:vAlign w:val="center"/>
            <w:hideMark/>
          </w:tcPr>
          <w:p w14:paraId="43F5A004" w14:textId="77777777" w:rsidR="00F77FE5" w:rsidRPr="00F77FE5" w:rsidRDefault="00F77FE5" w:rsidP="00F77FE5">
            <w:pPr>
              <w:spacing w:after="0"/>
              <w:jc w:val="center"/>
              <w:rPr>
                <w:rFonts w:eastAsia="Times New Roman" w:cs="Calibri"/>
                <w:b/>
                <w:color w:val="000000"/>
                <w:sz w:val="12"/>
                <w:szCs w:val="12"/>
                <w:lang w:val="es-MX" w:eastAsia="es-MX"/>
              </w:rPr>
            </w:pPr>
            <w:r w:rsidRPr="00F77FE5">
              <w:rPr>
                <w:rFonts w:eastAsia="Times New Roman" w:cs="Calibri"/>
                <w:b/>
                <w:color w:val="000000"/>
                <w:sz w:val="12"/>
                <w:szCs w:val="12"/>
                <w:lang w:val="es-MX" w:eastAsia="es-MX"/>
              </w:rPr>
              <w:t>100</w:t>
            </w:r>
          </w:p>
        </w:tc>
      </w:tr>
      <w:tr w:rsidR="00F77FE5" w:rsidRPr="00F77FE5" w14:paraId="7BF3C0C0" w14:textId="77777777" w:rsidTr="005A7CAD">
        <w:trPr>
          <w:trHeight w:val="315"/>
          <w:jc w:val="center"/>
        </w:trPr>
        <w:tc>
          <w:tcPr>
            <w:tcW w:w="1729" w:type="pct"/>
            <w:tcBorders>
              <w:top w:val="nil"/>
              <w:left w:val="nil"/>
              <w:bottom w:val="single" w:sz="12" w:space="0" w:color="auto"/>
              <w:right w:val="nil"/>
            </w:tcBorders>
            <w:shd w:val="clear" w:color="000000" w:fill="FFFFFF"/>
            <w:noWrap/>
            <w:vAlign w:val="center"/>
            <w:hideMark/>
          </w:tcPr>
          <w:p w14:paraId="7E7AF345" w14:textId="77777777" w:rsidR="00F77FE5" w:rsidRPr="00F77FE5" w:rsidRDefault="00F77FE5" w:rsidP="00F77FE5">
            <w:pPr>
              <w:spacing w:after="0"/>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 del Total</w:t>
            </w:r>
          </w:p>
        </w:tc>
        <w:tc>
          <w:tcPr>
            <w:tcW w:w="588" w:type="pct"/>
            <w:tcBorders>
              <w:top w:val="nil"/>
              <w:left w:val="nil"/>
              <w:bottom w:val="single" w:sz="12" w:space="0" w:color="auto"/>
              <w:right w:val="nil"/>
            </w:tcBorders>
            <w:shd w:val="clear" w:color="000000" w:fill="FFFFFF"/>
            <w:noWrap/>
            <w:vAlign w:val="center"/>
            <w:hideMark/>
          </w:tcPr>
          <w:p w14:paraId="4DD3AC94"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39.5</w:t>
            </w:r>
          </w:p>
        </w:tc>
        <w:tc>
          <w:tcPr>
            <w:tcW w:w="811" w:type="pct"/>
            <w:tcBorders>
              <w:top w:val="nil"/>
              <w:left w:val="nil"/>
              <w:bottom w:val="single" w:sz="12" w:space="0" w:color="auto"/>
              <w:right w:val="nil"/>
            </w:tcBorders>
            <w:shd w:val="clear" w:color="000000" w:fill="FFFFFF"/>
            <w:noWrap/>
            <w:vAlign w:val="center"/>
            <w:hideMark/>
          </w:tcPr>
          <w:p w14:paraId="4C909630"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23.9</w:t>
            </w:r>
          </w:p>
        </w:tc>
        <w:tc>
          <w:tcPr>
            <w:tcW w:w="573" w:type="pct"/>
            <w:tcBorders>
              <w:top w:val="nil"/>
              <w:left w:val="nil"/>
              <w:bottom w:val="single" w:sz="12" w:space="0" w:color="auto"/>
              <w:right w:val="nil"/>
            </w:tcBorders>
            <w:shd w:val="clear" w:color="000000" w:fill="FFFFFF"/>
            <w:noWrap/>
            <w:vAlign w:val="center"/>
            <w:hideMark/>
          </w:tcPr>
          <w:p w14:paraId="61DE82E8"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36.6</w:t>
            </w:r>
          </w:p>
        </w:tc>
        <w:tc>
          <w:tcPr>
            <w:tcW w:w="719" w:type="pct"/>
            <w:tcBorders>
              <w:top w:val="nil"/>
              <w:left w:val="nil"/>
              <w:bottom w:val="single" w:sz="12" w:space="0" w:color="auto"/>
              <w:right w:val="nil"/>
            </w:tcBorders>
            <w:shd w:val="clear" w:color="000000" w:fill="FFFFFF"/>
            <w:noWrap/>
            <w:vAlign w:val="center"/>
            <w:hideMark/>
          </w:tcPr>
          <w:p w14:paraId="3050E575" w14:textId="77777777" w:rsidR="00F77FE5" w:rsidRPr="00F77FE5" w:rsidRDefault="00F77FE5" w:rsidP="00F77FE5">
            <w:pPr>
              <w:spacing w:after="0"/>
              <w:jc w:val="center"/>
              <w:rPr>
                <w:rFonts w:eastAsia="Times New Roman" w:cs="Calibri"/>
                <w:b/>
                <w:color w:val="000000"/>
                <w:sz w:val="12"/>
                <w:szCs w:val="12"/>
                <w:lang w:val="es-MX" w:eastAsia="es-MX"/>
              </w:rPr>
            </w:pPr>
            <w:r w:rsidRPr="00F77FE5">
              <w:rPr>
                <w:rFonts w:eastAsia="Times New Roman" w:cs="Calibri"/>
                <w:b/>
                <w:color w:val="000000"/>
                <w:sz w:val="12"/>
                <w:szCs w:val="12"/>
                <w:lang w:val="es-MX" w:eastAsia="es-MX"/>
              </w:rPr>
              <w:t>100</w:t>
            </w:r>
          </w:p>
        </w:tc>
        <w:tc>
          <w:tcPr>
            <w:tcW w:w="581" w:type="pct"/>
            <w:tcBorders>
              <w:top w:val="nil"/>
              <w:left w:val="nil"/>
              <w:bottom w:val="single" w:sz="12" w:space="0" w:color="auto"/>
              <w:right w:val="nil"/>
            </w:tcBorders>
            <w:shd w:val="clear" w:color="000000" w:fill="FFFFFF"/>
            <w:noWrap/>
            <w:vAlign w:val="center"/>
            <w:hideMark/>
          </w:tcPr>
          <w:p w14:paraId="2A7F97EA" w14:textId="77777777" w:rsidR="00F77FE5" w:rsidRPr="00F77FE5" w:rsidRDefault="00F77FE5" w:rsidP="00F77FE5">
            <w:pPr>
              <w:spacing w:after="0"/>
              <w:jc w:val="center"/>
              <w:rPr>
                <w:rFonts w:eastAsia="Times New Roman" w:cs="Calibri"/>
                <w:b/>
                <w:bCs/>
                <w:color w:val="000000"/>
                <w:sz w:val="12"/>
                <w:szCs w:val="12"/>
                <w:lang w:val="es-MX" w:eastAsia="es-MX"/>
              </w:rPr>
            </w:pPr>
            <w:r w:rsidRPr="00F77FE5">
              <w:rPr>
                <w:rFonts w:eastAsia="Times New Roman" w:cs="Calibri"/>
                <w:b/>
                <w:bCs/>
                <w:color w:val="000000"/>
                <w:sz w:val="12"/>
                <w:szCs w:val="12"/>
                <w:lang w:val="es-MX" w:eastAsia="es-MX"/>
              </w:rPr>
              <w:t> </w:t>
            </w:r>
          </w:p>
        </w:tc>
      </w:tr>
      <w:tr w:rsidR="00F77FE5" w:rsidRPr="00F77FE5" w14:paraId="307EF8D7" w14:textId="77777777" w:rsidTr="005A7CAD">
        <w:trPr>
          <w:trHeight w:val="315"/>
          <w:jc w:val="center"/>
        </w:trPr>
        <w:tc>
          <w:tcPr>
            <w:tcW w:w="5000" w:type="pct"/>
            <w:gridSpan w:val="6"/>
            <w:tcBorders>
              <w:top w:val="single" w:sz="12" w:space="0" w:color="auto"/>
              <w:left w:val="nil"/>
              <w:bottom w:val="nil"/>
              <w:right w:val="nil"/>
            </w:tcBorders>
            <w:shd w:val="clear" w:color="000000" w:fill="FFFFFF"/>
            <w:vAlign w:val="center"/>
            <w:hideMark/>
          </w:tcPr>
          <w:p w14:paraId="5136704C" w14:textId="77777777" w:rsidR="00F77FE5" w:rsidRPr="00F77FE5" w:rsidRDefault="00F77FE5" w:rsidP="00F77FE5">
            <w:pPr>
              <w:spacing w:after="0"/>
              <w:rPr>
                <w:rFonts w:eastAsia="Times New Roman" w:cs="Calibri"/>
                <w:color w:val="000000"/>
                <w:sz w:val="12"/>
                <w:szCs w:val="12"/>
                <w:lang w:val="es-MX" w:eastAsia="es-MX"/>
              </w:rPr>
            </w:pPr>
            <w:r w:rsidRPr="00F77FE5">
              <w:rPr>
                <w:rFonts w:eastAsia="Times New Roman" w:cs="Calibri"/>
                <w:color w:val="000000"/>
                <w:sz w:val="12"/>
                <w:szCs w:val="12"/>
                <w:lang w:val="es-MX" w:eastAsia="es-MX"/>
              </w:rPr>
              <w:t>Fuente: Unidad de Evaluación del Desempeño, con información proporcionada por las dependencias y entidades de la APF al CONEVAL.</w:t>
            </w:r>
          </w:p>
        </w:tc>
      </w:tr>
    </w:tbl>
    <w:p w14:paraId="121D12CB" w14:textId="77777777" w:rsidR="00F77FE5" w:rsidRPr="00F77FE5" w:rsidRDefault="00F77FE5" w:rsidP="00F77FE5">
      <w:pPr>
        <w:keepNext/>
        <w:keepLines/>
        <w:outlineLvl w:val="0"/>
        <w:rPr>
          <w:sz w:val="20"/>
          <w:lang w:val="es-MX"/>
        </w:rPr>
      </w:pPr>
    </w:p>
    <w:p w14:paraId="0066C28D" w14:textId="77777777" w:rsidR="00F77FE5" w:rsidRPr="00F77FE5" w:rsidRDefault="00F77FE5" w:rsidP="00F77FE5">
      <w:pPr>
        <w:keepNext/>
        <w:keepLines/>
        <w:outlineLvl w:val="0"/>
        <w:rPr>
          <w:sz w:val="20"/>
        </w:rPr>
      </w:pPr>
    </w:p>
    <w:p w14:paraId="014255AC" w14:textId="77777777" w:rsidR="00F77FE5" w:rsidRPr="00F77FE5" w:rsidRDefault="00F77FE5" w:rsidP="00F77FE5">
      <w:pPr>
        <w:keepNext/>
        <w:keepLines/>
        <w:outlineLvl w:val="0"/>
        <w:rPr>
          <w:sz w:val="20"/>
        </w:rPr>
      </w:pPr>
    </w:p>
    <w:p w14:paraId="68DD4EAC" w14:textId="77777777" w:rsidR="00F77FE5" w:rsidRPr="00F77FE5" w:rsidRDefault="00F77FE5" w:rsidP="00F77FE5">
      <w:pPr>
        <w:keepNext/>
        <w:keepLines/>
        <w:outlineLvl w:val="0"/>
        <w:rPr>
          <w:sz w:val="20"/>
        </w:rPr>
      </w:pPr>
    </w:p>
    <w:p w14:paraId="0D2004A0" w14:textId="77777777" w:rsidR="00F77FE5" w:rsidRPr="00F77FE5" w:rsidRDefault="00F77FE5" w:rsidP="00F77FE5">
      <w:pPr>
        <w:keepNext/>
        <w:keepLines/>
        <w:outlineLvl w:val="0"/>
        <w:rPr>
          <w:sz w:val="20"/>
        </w:rPr>
      </w:pPr>
    </w:p>
    <w:p w14:paraId="205E28A5" w14:textId="77777777" w:rsidR="00F77FE5" w:rsidRPr="00F77FE5" w:rsidRDefault="00F77FE5" w:rsidP="00F77FE5">
      <w:pPr>
        <w:keepNext/>
        <w:keepLines/>
        <w:outlineLvl w:val="0"/>
        <w:rPr>
          <w:sz w:val="20"/>
        </w:rPr>
      </w:pPr>
    </w:p>
    <w:p w14:paraId="574A1676" w14:textId="77777777" w:rsidR="00F77FE5" w:rsidRPr="00F77FE5" w:rsidRDefault="00F77FE5" w:rsidP="00F77FE5">
      <w:pPr>
        <w:keepNext/>
        <w:keepLines/>
        <w:outlineLvl w:val="0"/>
        <w:rPr>
          <w:sz w:val="20"/>
        </w:rPr>
      </w:pPr>
    </w:p>
    <w:p w14:paraId="504C8282" w14:textId="77777777" w:rsidR="00F77FE5" w:rsidRDefault="00F77FE5">
      <w:pPr>
        <w:spacing w:after="0"/>
        <w:rPr>
          <w:rFonts w:ascii="Soberana Titular" w:eastAsia="MS Gothic" w:hAnsi="Soberana Titular"/>
          <w:b/>
          <w:bCs/>
          <w:sz w:val="24"/>
          <w:szCs w:val="26"/>
        </w:rPr>
      </w:pPr>
    </w:p>
    <w:p w14:paraId="2237A6AC" w14:textId="77777777" w:rsidR="00F77FE5" w:rsidRDefault="00F77FE5">
      <w:pPr>
        <w:spacing w:after="0"/>
        <w:rPr>
          <w:rFonts w:ascii="Soberana Titular" w:eastAsia="MS Gothic" w:hAnsi="Soberana Titular"/>
          <w:b/>
          <w:bCs/>
          <w:sz w:val="24"/>
          <w:szCs w:val="26"/>
        </w:rPr>
      </w:pPr>
    </w:p>
    <w:sectPr w:rsidR="00F77FE5" w:rsidSect="008E5805">
      <w:headerReference w:type="even" r:id="rId17"/>
      <w:headerReference w:type="default" r:id="rId18"/>
      <w:footerReference w:type="even" r:id="rId19"/>
      <w:footerReference w:type="default" r:id="rId20"/>
      <w:type w:val="nextColumn"/>
      <w:pgSz w:w="12240" w:h="15840" w:code="1"/>
      <w:pgMar w:top="992" w:right="1134" w:bottom="1247" w:left="1134" w:header="567" w:footer="709" w:gutter="0"/>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AE47E" w14:textId="77777777" w:rsidR="00263B55" w:rsidRDefault="00263B55" w:rsidP="008A5271">
      <w:r>
        <w:separator/>
      </w:r>
    </w:p>
  </w:endnote>
  <w:endnote w:type="continuationSeparator" w:id="0">
    <w:p w14:paraId="1BFC3AFC" w14:textId="77777777" w:rsidR="00263B55" w:rsidRDefault="00263B55"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PresidenciaFuert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oberana Sans">
    <w:altName w:val="Times New Roman"/>
    <w:panose1 w:val="02000000000000000000"/>
    <w:charset w:val="00"/>
    <w:family w:val="modern"/>
    <w:notTrueType/>
    <w:pitch w:val="variable"/>
    <w:sig w:usb0="800000AF" w:usb1="4000204B" w:usb2="00000000" w:usb3="00000000" w:csb0="00000001" w:csb1="00000000"/>
  </w:font>
  <w:font w:name="Soberana Titular">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dobe Caslon Pro">
    <w:altName w:val="Palatino Linotype"/>
    <w:panose1 w:val="0205050205050A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Presidencia Base">
    <w:altName w:val="Cambria"/>
    <w:panose1 w:val="00000000000000000000"/>
    <w:charset w:val="00"/>
    <w:family w:val="modern"/>
    <w:notTrueType/>
    <w:pitch w:val="variable"/>
    <w:sig w:usb0="800000AF" w:usb1="4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Sans Light">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C2DEF" w14:textId="77777777" w:rsidR="00304A38" w:rsidRPr="004A0C69" w:rsidRDefault="00304A38" w:rsidP="00D900BA">
    <w:pPr>
      <w:pStyle w:val="Piedepgina"/>
      <w:framePr w:wrap="around" w:vAnchor="text" w:hAnchor="margin" w:xAlign="center" w:y="1"/>
      <w:rPr>
        <w:rStyle w:val="Nmerodepgina"/>
        <w:sz w:val="20"/>
        <w:szCs w:val="20"/>
      </w:rPr>
    </w:pPr>
    <w:r w:rsidRPr="004A0C69">
      <w:rPr>
        <w:rStyle w:val="Nmerodepgina"/>
        <w:sz w:val="20"/>
        <w:szCs w:val="20"/>
      </w:rPr>
      <w:fldChar w:fldCharType="begin"/>
    </w:r>
    <w:r w:rsidRPr="004A0C69">
      <w:rPr>
        <w:rStyle w:val="Nmerodepgina"/>
        <w:sz w:val="20"/>
        <w:szCs w:val="20"/>
      </w:rPr>
      <w:instrText xml:space="preserve">PAGE  </w:instrText>
    </w:r>
    <w:r w:rsidRPr="004A0C69">
      <w:rPr>
        <w:rStyle w:val="Nmerodepgina"/>
        <w:sz w:val="20"/>
        <w:szCs w:val="20"/>
      </w:rPr>
      <w:fldChar w:fldCharType="separate"/>
    </w:r>
    <w:r w:rsidR="00EC4960">
      <w:rPr>
        <w:rStyle w:val="Nmerodepgina"/>
        <w:noProof/>
        <w:sz w:val="20"/>
        <w:szCs w:val="20"/>
      </w:rPr>
      <w:t>20</w:t>
    </w:r>
    <w:r w:rsidRPr="004A0C69">
      <w:rPr>
        <w:rStyle w:val="Nmerodepgina"/>
        <w:sz w:val="20"/>
        <w:szCs w:val="20"/>
      </w:rPr>
      <w:fldChar w:fldCharType="end"/>
    </w:r>
  </w:p>
  <w:p w14:paraId="339B13A0" w14:textId="77777777" w:rsidR="00304A38" w:rsidRDefault="00304A3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D825C" w14:textId="77777777" w:rsidR="00304A38" w:rsidRPr="004A0C69" w:rsidRDefault="00304A38" w:rsidP="00D900BA">
    <w:pPr>
      <w:pStyle w:val="Piedepgina"/>
      <w:framePr w:wrap="around" w:vAnchor="text" w:hAnchor="margin" w:xAlign="center" w:y="1"/>
      <w:rPr>
        <w:rStyle w:val="Nmerodepgina"/>
        <w:sz w:val="20"/>
        <w:szCs w:val="20"/>
      </w:rPr>
    </w:pPr>
    <w:r w:rsidRPr="004A0C69">
      <w:rPr>
        <w:rStyle w:val="Nmerodepgina"/>
        <w:sz w:val="20"/>
        <w:szCs w:val="20"/>
      </w:rPr>
      <w:fldChar w:fldCharType="begin"/>
    </w:r>
    <w:r w:rsidRPr="004A0C69">
      <w:rPr>
        <w:rStyle w:val="Nmerodepgina"/>
        <w:sz w:val="20"/>
        <w:szCs w:val="20"/>
      </w:rPr>
      <w:instrText xml:space="preserve">PAGE  </w:instrText>
    </w:r>
    <w:r w:rsidRPr="004A0C69">
      <w:rPr>
        <w:rStyle w:val="Nmerodepgina"/>
        <w:sz w:val="20"/>
        <w:szCs w:val="20"/>
      </w:rPr>
      <w:fldChar w:fldCharType="separate"/>
    </w:r>
    <w:r w:rsidR="00EC4960">
      <w:rPr>
        <w:rStyle w:val="Nmerodepgina"/>
        <w:noProof/>
        <w:sz w:val="20"/>
        <w:szCs w:val="20"/>
      </w:rPr>
      <w:t>1</w:t>
    </w:r>
    <w:r w:rsidRPr="004A0C69">
      <w:rPr>
        <w:rStyle w:val="Nmerodepgina"/>
        <w:sz w:val="20"/>
        <w:szCs w:val="20"/>
      </w:rPr>
      <w:fldChar w:fldCharType="end"/>
    </w:r>
  </w:p>
  <w:p w14:paraId="6D1ED58A" w14:textId="77777777" w:rsidR="00304A38" w:rsidRDefault="00304A38" w:rsidP="009215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6300C" w14:textId="77777777" w:rsidR="00263B55" w:rsidRDefault="00263B55" w:rsidP="008A5271">
      <w:r>
        <w:separator/>
      </w:r>
    </w:p>
  </w:footnote>
  <w:footnote w:type="continuationSeparator" w:id="0">
    <w:p w14:paraId="15F5FC26" w14:textId="77777777" w:rsidR="00263B55" w:rsidRDefault="00263B55" w:rsidP="008A5271">
      <w:r>
        <w:continuationSeparator/>
      </w:r>
    </w:p>
  </w:footnote>
  <w:footnote w:id="1">
    <w:p w14:paraId="72D4EBD4" w14:textId="77777777" w:rsidR="00304A38" w:rsidRPr="006A6F5E" w:rsidRDefault="00304A38" w:rsidP="00104B3E">
      <w:pPr>
        <w:pStyle w:val="Textonotapie"/>
        <w:ind w:left="284" w:hanging="284"/>
        <w:jc w:val="both"/>
      </w:pPr>
      <w:r>
        <w:rPr>
          <w:rStyle w:val="Refdenotaalpie"/>
        </w:rPr>
        <w:footnoteRef/>
      </w:r>
      <w:r w:rsidRPr="00ED7357">
        <w:rPr>
          <w:sz w:val="16"/>
          <w:szCs w:val="16"/>
          <w:vertAlign w:val="superscript"/>
        </w:rPr>
        <w:t>_/</w:t>
      </w:r>
      <w:r>
        <w:rPr>
          <w:sz w:val="16"/>
          <w:szCs w:val="16"/>
          <w:vertAlign w:val="superscript"/>
        </w:rPr>
        <w:tab/>
      </w:r>
      <w:r w:rsidRPr="005E1534">
        <w:rPr>
          <w:sz w:val="16"/>
          <w:szCs w:val="16"/>
          <w:lang w:val="es-MX"/>
        </w:rPr>
        <w:t xml:space="preserve">Para </w:t>
      </w:r>
      <w:r>
        <w:rPr>
          <w:sz w:val="16"/>
          <w:szCs w:val="16"/>
          <w:lang w:val="es-MX"/>
        </w:rPr>
        <w:t>consulta</w:t>
      </w:r>
      <w:r w:rsidRPr="005E1534">
        <w:rPr>
          <w:sz w:val="16"/>
          <w:szCs w:val="16"/>
          <w:lang w:val="es-MX"/>
        </w:rPr>
        <w:t xml:space="preserve"> de los </w:t>
      </w:r>
      <w:r>
        <w:rPr>
          <w:sz w:val="16"/>
          <w:szCs w:val="16"/>
          <w:lang w:val="es-MX"/>
        </w:rPr>
        <w:t>i</w:t>
      </w:r>
      <w:r w:rsidRPr="005E1534">
        <w:rPr>
          <w:sz w:val="16"/>
          <w:szCs w:val="16"/>
          <w:lang w:val="es-MX"/>
        </w:rPr>
        <w:t xml:space="preserve">nformes </w:t>
      </w:r>
      <w:r>
        <w:rPr>
          <w:sz w:val="16"/>
          <w:szCs w:val="16"/>
          <w:lang w:val="es-MX"/>
        </w:rPr>
        <w:t>f</w:t>
      </w:r>
      <w:r w:rsidRPr="005E1534">
        <w:rPr>
          <w:sz w:val="16"/>
          <w:szCs w:val="16"/>
          <w:lang w:val="es-MX"/>
        </w:rPr>
        <w:t xml:space="preserve">inales relativos a las </w:t>
      </w:r>
      <w:r>
        <w:rPr>
          <w:sz w:val="16"/>
          <w:szCs w:val="16"/>
          <w:lang w:val="es-MX"/>
        </w:rPr>
        <w:t>e</w:t>
      </w:r>
      <w:r w:rsidRPr="005E1534">
        <w:rPr>
          <w:sz w:val="16"/>
          <w:szCs w:val="16"/>
          <w:lang w:val="es-MX"/>
        </w:rPr>
        <w:t>valuaciones de</w:t>
      </w:r>
      <w:r>
        <w:rPr>
          <w:sz w:val="16"/>
          <w:szCs w:val="16"/>
          <w:lang w:val="es-MX"/>
        </w:rPr>
        <w:t>s</w:t>
      </w:r>
      <w:r w:rsidRPr="005E1534">
        <w:rPr>
          <w:sz w:val="16"/>
          <w:szCs w:val="16"/>
          <w:lang w:val="es-MX"/>
        </w:rPr>
        <w:t xml:space="preserve">critas en la Tabla 1, </w:t>
      </w:r>
      <w:r>
        <w:rPr>
          <w:sz w:val="16"/>
          <w:szCs w:val="16"/>
          <w:lang w:val="es-MX"/>
        </w:rPr>
        <w:t>acceder a</w:t>
      </w:r>
      <w:r w:rsidRPr="005E1534">
        <w:rPr>
          <w:sz w:val="16"/>
          <w:szCs w:val="16"/>
          <w:lang w:val="es-MX"/>
        </w:rPr>
        <w:t xml:space="preserve">: </w:t>
      </w:r>
      <w:hyperlink r:id="rId1" w:history="1">
        <w:r w:rsidRPr="005E1534">
          <w:rPr>
            <w:rStyle w:val="Hipervnculo"/>
            <w:sz w:val="16"/>
            <w:szCs w:val="16"/>
            <w:lang w:val="es-MX"/>
          </w:rPr>
          <w:t>http://www.transparenciapresupuestaria.gob.mx/es/PTP/evaluaciones</w:t>
        </w:r>
      </w:hyperlink>
      <w:r>
        <w:rPr>
          <w:rStyle w:val="Hipervnculo"/>
          <w:sz w:val="16"/>
          <w:szCs w:val="16"/>
          <w:lang w:val="es-MX"/>
        </w:rPr>
        <w:t>.</w:t>
      </w:r>
    </w:p>
  </w:footnote>
  <w:footnote w:id="2">
    <w:p w14:paraId="6D681A7A" w14:textId="77777777" w:rsidR="00304A38" w:rsidRPr="008C03DD" w:rsidRDefault="00304A38" w:rsidP="008C03DD">
      <w:pPr>
        <w:pStyle w:val="Textonotapie"/>
        <w:ind w:left="284" w:hanging="284"/>
        <w:jc w:val="both"/>
        <w:rPr>
          <w:sz w:val="16"/>
          <w:szCs w:val="16"/>
          <w:lang w:val="es-MX"/>
        </w:rPr>
      </w:pPr>
      <w:r w:rsidRPr="00107872">
        <w:rPr>
          <w:rStyle w:val="Refdenotaalpie"/>
          <w:sz w:val="16"/>
          <w:szCs w:val="16"/>
        </w:rPr>
        <w:footnoteRef/>
      </w:r>
      <w:r w:rsidRPr="00107872">
        <w:rPr>
          <w:sz w:val="16"/>
          <w:szCs w:val="16"/>
          <w:vertAlign w:val="superscript"/>
        </w:rPr>
        <w:t>_/</w:t>
      </w:r>
      <w:r w:rsidRPr="00107872">
        <w:rPr>
          <w:sz w:val="16"/>
          <w:szCs w:val="16"/>
        </w:rPr>
        <w:tab/>
      </w:r>
      <w:r w:rsidRPr="00107872">
        <w:rPr>
          <w:sz w:val="16"/>
          <w:szCs w:val="16"/>
          <w:lang w:val="es-MX"/>
        </w:rPr>
        <w:t>En el informe fin</w:t>
      </w:r>
      <w:r w:rsidRPr="008C03DD">
        <w:rPr>
          <w:sz w:val="16"/>
          <w:szCs w:val="16"/>
          <w:lang w:val="es-MX"/>
        </w:rPr>
        <w:t>al de la evaluación no se especificó la forma de contratación de la evaluación, únicamente se señaló lo siguiente: “Convenio”.</w:t>
      </w:r>
    </w:p>
  </w:footnote>
  <w:footnote w:id="3">
    <w:p w14:paraId="4DCCB1D5" w14:textId="77777777" w:rsidR="00304A38" w:rsidRPr="00107872" w:rsidRDefault="00304A38" w:rsidP="008C03DD">
      <w:pPr>
        <w:pStyle w:val="Textonotapie"/>
        <w:ind w:left="284" w:hanging="284"/>
        <w:jc w:val="both"/>
        <w:rPr>
          <w:sz w:val="16"/>
          <w:szCs w:val="16"/>
          <w:lang w:val="es-MX"/>
        </w:rPr>
      </w:pPr>
      <w:r w:rsidRPr="00107872">
        <w:rPr>
          <w:rStyle w:val="Refdenotaalpie"/>
          <w:sz w:val="16"/>
          <w:szCs w:val="16"/>
        </w:rPr>
        <w:footnoteRef/>
      </w:r>
      <w:r w:rsidRPr="00107872">
        <w:rPr>
          <w:sz w:val="16"/>
          <w:szCs w:val="16"/>
          <w:vertAlign w:val="superscript"/>
        </w:rPr>
        <w:t>_/</w:t>
      </w:r>
      <w:r w:rsidRPr="00107872">
        <w:rPr>
          <w:sz w:val="16"/>
          <w:szCs w:val="16"/>
          <w:vertAlign w:val="superscript"/>
        </w:rPr>
        <w:tab/>
      </w:r>
      <w:r w:rsidRPr="00107872">
        <w:rPr>
          <w:sz w:val="16"/>
          <w:szCs w:val="16"/>
        </w:rPr>
        <w:t>En el informe final de la evaluación n</w:t>
      </w:r>
      <w:r w:rsidRPr="00107872">
        <w:rPr>
          <w:rFonts w:eastAsia="Times New Roman"/>
          <w:sz w:val="16"/>
          <w:szCs w:val="16"/>
          <w:lang w:val="es-MX" w:eastAsia="en-US"/>
        </w:rPr>
        <w:t>o se especifica la información de todos los titulares de las UR.</w:t>
      </w:r>
    </w:p>
  </w:footnote>
  <w:footnote w:id="4">
    <w:p w14:paraId="40CF076E" w14:textId="77777777" w:rsidR="00304A38" w:rsidRPr="006F4AD5" w:rsidRDefault="00304A38" w:rsidP="00107872">
      <w:pPr>
        <w:pStyle w:val="Textonotapie"/>
        <w:ind w:left="284" w:hanging="284"/>
      </w:pPr>
      <w:r w:rsidRPr="00107872">
        <w:rPr>
          <w:rStyle w:val="Refdenotaalpie"/>
          <w:sz w:val="16"/>
          <w:szCs w:val="16"/>
        </w:rPr>
        <w:footnoteRef/>
      </w:r>
      <w:r w:rsidRPr="00107872">
        <w:rPr>
          <w:sz w:val="16"/>
          <w:szCs w:val="16"/>
          <w:vertAlign w:val="superscript"/>
        </w:rPr>
        <w:t>_/</w:t>
      </w:r>
      <w:r w:rsidRPr="00107872">
        <w:rPr>
          <w:sz w:val="16"/>
          <w:szCs w:val="16"/>
          <w:vertAlign w:val="superscript"/>
        </w:rPr>
        <w:tab/>
      </w:r>
      <w:r w:rsidRPr="00107872">
        <w:rPr>
          <w:sz w:val="16"/>
          <w:szCs w:val="16"/>
        </w:rPr>
        <w:t>En el inform</w:t>
      </w:r>
      <w:r w:rsidRPr="00053B45">
        <w:rPr>
          <w:sz w:val="16"/>
          <w:szCs w:val="16"/>
        </w:rPr>
        <w:t>e final de la evaluación no se especificó la forma de contratación de la evaluación, únicamente se señaló lo siguiente:</w:t>
      </w:r>
      <w:r>
        <w:rPr>
          <w:sz w:val="16"/>
          <w:szCs w:val="16"/>
        </w:rPr>
        <w:t xml:space="preserve"> “Convenio”.</w:t>
      </w:r>
    </w:p>
  </w:footnote>
  <w:footnote w:id="5">
    <w:p w14:paraId="615CD2A3" w14:textId="77777777" w:rsidR="00304A38" w:rsidRPr="002F2915" w:rsidRDefault="00304A38" w:rsidP="00107872">
      <w:pPr>
        <w:pStyle w:val="Textonotapie"/>
        <w:ind w:left="284" w:hanging="284"/>
        <w:rPr>
          <w:lang w:val="es-MX"/>
        </w:rPr>
      </w:pPr>
      <w:r w:rsidRPr="00107872">
        <w:rPr>
          <w:rStyle w:val="Refdenotaalpie"/>
          <w:sz w:val="16"/>
          <w:szCs w:val="16"/>
        </w:rPr>
        <w:footnoteRef/>
      </w:r>
      <w:r w:rsidRPr="00107872">
        <w:rPr>
          <w:sz w:val="16"/>
          <w:szCs w:val="16"/>
          <w:vertAlign w:val="superscript"/>
        </w:rPr>
        <w:t>_/</w:t>
      </w:r>
      <w:r w:rsidRPr="00107872">
        <w:rPr>
          <w:sz w:val="16"/>
          <w:szCs w:val="16"/>
        </w:rPr>
        <w:tab/>
        <w:t xml:space="preserve">En el informe final de la </w:t>
      </w:r>
      <w:r w:rsidRPr="00162911">
        <w:rPr>
          <w:sz w:val="16"/>
          <w:szCs w:val="16"/>
        </w:rPr>
        <w:t>evaluación n</w:t>
      </w:r>
      <w:r w:rsidRPr="00162911">
        <w:rPr>
          <w:rFonts w:eastAsia="Times New Roman"/>
          <w:sz w:val="16"/>
          <w:szCs w:val="16"/>
          <w:lang w:val="es-MX" w:eastAsia="en-US"/>
        </w:rPr>
        <w:t xml:space="preserve">o se </w:t>
      </w:r>
      <w:r>
        <w:rPr>
          <w:rFonts w:eastAsia="Times New Roman"/>
          <w:sz w:val="16"/>
          <w:szCs w:val="16"/>
          <w:lang w:val="es-MX" w:eastAsia="en-US"/>
        </w:rPr>
        <w:t>especifica la información de todos los titulares de las UR.</w:t>
      </w:r>
    </w:p>
  </w:footnote>
  <w:footnote w:id="6">
    <w:p w14:paraId="4109A296" w14:textId="77777777" w:rsidR="00304A38" w:rsidRPr="0067196D" w:rsidRDefault="00304A38" w:rsidP="00107872">
      <w:pPr>
        <w:pStyle w:val="Textonotapie"/>
        <w:ind w:left="284" w:hanging="284"/>
      </w:pPr>
      <w:r w:rsidRPr="00107872">
        <w:rPr>
          <w:rStyle w:val="Refdenotaalpie"/>
          <w:sz w:val="16"/>
          <w:szCs w:val="16"/>
        </w:rPr>
        <w:footnoteRef/>
      </w:r>
      <w:r w:rsidRPr="00ED7357">
        <w:rPr>
          <w:sz w:val="16"/>
          <w:szCs w:val="16"/>
          <w:vertAlign w:val="superscript"/>
        </w:rPr>
        <w:t>_/</w:t>
      </w:r>
      <w:r>
        <w:rPr>
          <w:sz w:val="16"/>
          <w:szCs w:val="16"/>
          <w:vertAlign w:val="superscript"/>
        </w:rPr>
        <w:tab/>
      </w:r>
      <w:r w:rsidRPr="00107872">
        <w:rPr>
          <w:sz w:val="16"/>
          <w:szCs w:val="16"/>
        </w:rPr>
        <w:t>En e</w:t>
      </w:r>
      <w:r w:rsidRPr="00053B45">
        <w:rPr>
          <w:sz w:val="16"/>
          <w:szCs w:val="16"/>
        </w:rPr>
        <w:t>l informe final de la evaluación no se especificó la forma de contratación de la evaluación, únicamente se señaló lo siguiente:</w:t>
      </w:r>
      <w:r>
        <w:rPr>
          <w:sz w:val="16"/>
          <w:szCs w:val="16"/>
        </w:rPr>
        <w:t xml:space="preserve"> “Convenio”.</w:t>
      </w:r>
    </w:p>
  </w:footnote>
  <w:footnote w:id="7">
    <w:p w14:paraId="29AF397F" w14:textId="77777777" w:rsidR="00304A38" w:rsidRPr="00321AA7" w:rsidRDefault="00304A38" w:rsidP="00107872">
      <w:pPr>
        <w:pStyle w:val="Textonotapie"/>
        <w:ind w:left="284" w:hanging="284"/>
      </w:pPr>
      <w:r w:rsidRPr="00107872">
        <w:rPr>
          <w:rStyle w:val="Refdenotaalpie"/>
          <w:sz w:val="16"/>
          <w:szCs w:val="16"/>
        </w:rPr>
        <w:footnoteRef/>
      </w:r>
      <w:r w:rsidRPr="00107872">
        <w:rPr>
          <w:sz w:val="16"/>
          <w:szCs w:val="16"/>
          <w:vertAlign w:val="superscript"/>
        </w:rPr>
        <w:t>_/</w:t>
      </w:r>
      <w:r>
        <w:rPr>
          <w:sz w:val="16"/>
          <w:szCs w:val="16"/>
        </w:rPr>
        <w:tab/>
      </w:r>
      <w:r w:rsidRPr="00107872">
        <w:rPr>
          <w:sz w:val="16"/>
          <w:szCs w:val="16"/>
        </w:rPr>
        <w:t>En</w:t>
      </w:r>
      <w:r w:rsidRPr="00162911">
        <w:rPr>
          <w:sz w:val="16"/>
          <w:szCs w:val="16"/>
        </w:rPr>
        <w:t xml:space="preserve"> el informe final de la evaluación n</w:t>
      </w:r>
      <w:r w:rsidRPr="00162911">
        <w:rPr>
          <w:rFonts w:eastAsia="Times New Roman"/>
          <w:sz w:val="16"/>
          <w:szCs w:val="16"/>
          <w:lang w:val="es-MX" w:eastAsia="en-US"/>
        </w:rPr>
        <w:t xml:space="preserve">o se </w:t>
      </w:r>
      <w:r>
        <w:rPr>
          <w:rFonts w:eastAsia="Times New Roman"/>
          <w:sz w:val="16"/>
          <w:szCs w:val="16"/>
          <w:lang w:val="es-MX" w:eastAsia="en-US"/>
        </w:rPr>
        <w:t>especifica la información de los titulares de las UR.</w:t>
      </w:r>
    </w:p>
  </w:footnote>
  <w:footnote w:id="8">
    <w:p w14:paraId="423D9148" w14:textId="77777777" w:rsidR="00304A38" w:rsidRPr="00E9702B" w:rsidRDefault="00304A38" w:rsidP="00107872">
      <w:pPr>
        <w:pStyle w:val="Textonotapie"/>
        <w:ind w:left="284" w:hanging="284"/>
        <w:rPr>
          <w:lang w:val="es-MX"/>
        </w:rPr>
      </w:pPr>
      <w:r w:rsidRPr="00107872">
        <w:rPr>
          <w:rStyle w:val="Refdenotaalpie"/>
          <w:sz w:val="16"/>
          <w:szCs w:val="16"/>
        </w:rPr>
        <w:footnoteRef/>
      </w:r>
      <w:r w:rsidRPr="00107872">
        <w:rPr>
          <w:sz w:val="16"/>
          <w:szCs w:val="16"/>
          <w:vertAlign w:val="superscript"/>
        </w:rPr>
        <w:t>_/</w:t>
      </w:r>
      <w:r>
        <w:rPr>
          <w:sz w:val="16"/>
          <w:szCs w:val="16"/>
        </w:rPr>
        <w:tab/>
      </w:r>
      <w:r w:rsidRPr="00107872">
        <w:rPr>
          <w:sz w:val="16"/>
          <w:szCs w:val="16"/>
        </w:rPr>
        <w:t>En el informe final de</w:t>
      </w:r>
      <w:r w:rsidRPr="00162911">
        <w:rPr>
          <w:sz w:val="16"/>
          <w:szCs w:val="16"/>
        </w:rPr>
        <w:t xml:space="preserve"> la evaluación n</w:t>
      </w:r>
      <w:r w:rsidRPr="00162911">
        <w:rPr>
          <w:rFonts w:eastAsia="Times New Roman"/>
          <w:sz w:val="16"/>
          <w:szCs w:val="16"/>
          <w:lang w:val="es-MX" w:eastAsia="en-US"/>
        </w:rPr>
        <w:t xml:space="preserve">o se </w:t>
      </w:r>
      <w:r>
        <w:rPr>
          <w:rFonts w:eastAsia="Times New Roman"/>
          <w:sz w:val="16"/>
          <w:szCs w:val="16"/>
          <w:lang w:val="es-MX" w:eastAsia="en-US"/>
        </w:rPr>
        <w:t>especifica la información de todos los titulares de las UR.</w:t>
      </w:r>
    </w:p>
  </w:footnote>
  <w:footnote w:id="9">
    <w:p w14:paraId="4EFB5052" w14:textId="77777777" w:rsidR="00304A38" w:rsidRPr="00456005" w:rsidRDefault="00304A38" w:rsidP="00107872">
      <w:pPr>
        <w:pStyle w:val="Textonotapie"/>
        <w:ind w:left="284" w:hanging="284"/>
        <w:jc w:val="both"/>
      </w:pPr>
      <w:r w:rsidRPr="00107872">
        <w:rPr>
          <w:rStyle w:val="Refdenotaalpie"/>
          <w:sz w:val="16"/>
          <w:szCs w:val="16"/>
        </w:rPr>
        <w:footnoteRef/>
      </w:r>
      <w:r w:rsidRPr="00107872">
        <w:rPr>
          <w:sz w:val="16"/>
          <w:szCs w:val="16"/>
          <w:vertAlign w:val="superscript"/>
        </w:rPr>
        <w:t>_/</w:t>
      </w:r>
      <w:r>
        <w:rPr>
          <w:sz w:val="16"/>
          <w:szCs w:val="16"/>
          <w:vertAlign w:val="superscript"/>
        </w:rPr>
        <w:tab/>
      </w:r>
      <w:r w:rsidRPr="00107872">
        <w:rPr>
          <w:sz w:val="16"/>
          <w:szCs w:val="16"/>
        </w:rPr>
        <w:t>En el informe final de la evaluación no se especificó la forma de contratación de la evaluación, únicamente se señaló lo siguiente: “</w:t>
      </w:r>
      <w:r w:rsidRPr="00107872">
        <w:rPr>
          <w:sz w:val="16"/>
          <w:szCs w:val="16"/>
          <w:lang w:val="es-ES"/>
        </w:rPr>
        <w:t>Convenio con Institución</w:t>
      </w:r>
      <w:r>
        <w:rPr>
          <w:sz w:val="16"/>
          <w:lang w:val="es-ES"/>
        </w:rPr>
        <w:t xml:space="preserve"> </w:t>
      </w:r>
      <w:r w:rsidRPr="00612723">
        <w:rPr>
          <w:sz w:val="16"/>
          <w:lang w:val="es-ES"/>
        </w:rPr>
        <w:t>Académica</w:t>
      </w:r>
      <w:r>
        <w:rPr>
          <w:sz w:val="16"/>
          <w:lang w:val="es-ES"/>
        </w:rPr>
        <w:t xml:space="preserve"> </w:t>
      </w:r>
      <w:r w:rsidRPr="00612723">
        <w:rPr>
          <w:sz w:val="16"/>
          <w:lang w:val="es-ES"/>
        </w:rPr>
        <w:t>subsidiada</w:t>
      </w:r>
      <w:r>
        <w:rPr>
          <w:sz w:val="16"/>
          <w:lang w:val="es-ES"/>
        </w:rPr>
        <w:t xml:space="preserve"> </w:t>
      </w:r>
      <w:r w:rsidRPr="00612723">
        <w:rPr>
          <w:sz w:val="16"/>
          <w:lang w:val="es-ES"/>
        </w:rPr>
        <w:t>con</w:t>
      </w:r>
      <w:r>
        <w:rPr>
          <w:sz w:val="16"/>
          <w:lang w:val="es-ES"/>
        </w:rPr>
        <w:t xml:space="preserve"> </w:t>
      </w:r>
      <w:r w:rsidRPr="00612723">
        <w:rPr>
          <w:sz w:val="16"/>
          <w:lang w:val="es-ES"/>
        </w:rPr>
        <w:t>Recursos</w:t>
      </w:r>
      <w:r>
        <w:rPr>
          <w:sz w:val="16"/>
          <w:lang w:val="es-ES"/>
        </w:rPr>
        <w:t xml:space="preserve"> </w:t>
      </w:r>
      <w:r w:rsidRPr="00612723">
        <w:rPr>
          <w:sz w:val="16"/>
          <w:lang w:val="es-ES"/>
        </w:rPr>
        <w:t>Púb</w:t>
      </w:r>
      <w:r>
        <w:rPr>
          <w:sz w:val="16"/>
          <w:lang w:val="es-ES"/>
        </w:rPr>
        <w:t>licos”.</w:t>
      </w:r>
    </w:p>
  </w:footnote>
  <w:footnote w:id="10">
    <w:p w14:paraId="1A45397A" w14:textId="77777777" w:rsidR="00304A38" w:rsidRPr="00D82633" w:rsidRDefault="00304A38" w:rsidP="001B12A5">
      <w:pPr>
        <w:pStyle w:val="Textonotapie"/>
        <w:ind w:left="284" w:hanging="284"/>
        <w:rPr>
          <w:lang w:val="es-MX"/>
        </w:rPr>
      </w:pPr>
      <w:r w:rsidRPr="001B12A5">
        <w:rPr>
          <w:rStyle w:val="Refdenotaalpie"/>
          <w:sz w:val="16"/>
          <w:szCs w:val="16"/>
        </w:rPr>
        <w:footnoteRef/>
      </w:r>
      <w:r w:rsidRPr="001B12A5">
        <w:rPr>
          <w:sz w:val="16"/>
          <w:szCs w:val="16"/>
          <w:vertAlign w:val="superscript"/>
        </w:rPr>
        <w:t>_/</w:t>
      </w:r>
      <w:r>
        <w:rPr>
          <w:sz w:val="16"/>
          <w:szCs w:val="16"/>
        </w:rPr>
        <w:tab/>
      </w:r>
      <w:r w:rsidRPr="001B12A5">
        <w:rPr>
          <w:sz w:val="16"/>
          <w:szCs w:val="16"/>
        </w:rPr>
        <w:t>En el informe fi</w:t>
      </w:r>
      <w:r w:rsidRPr="00162911">
        <w:rPr>
          <w:sz w:val="16"/>
          <w:szCs w:val="16"/>
        </w:rPr>
        <w:t>nal de la evaluación n</w:t>
      </w:r>
      <w:r w:rsidRPr="00162911">
        <w:rPr>
          <w:rFonts w:eastAsia="Times New Roman"/>
          <w:sz w:val="16"/>
          <w:szCs w:val="16"/>
          <w:lang w:val="es-MX" w:eastAsia="en-US"/>
        </w:rPr>
        <w:t xml:space="preserve">o se </w:t>
      </w:r>
      <w:r>
        <w:rPr>
          <w:rFonts w:eastAsia="Times New Roman"/>
          <w:sz w:val="16"/>
          <w:szCs w:val="16"/>
          <w:lang w:val="es-MX" w:eastAsia="en-US"/>
        </w:rPr>
        <w:t>especifica la información de todos los titulares de las UR.</w:t>
      </w:r>
    </w:p>
  </w:footnote>
  <w:footnote w:id="11">
    <w:p w14:paraId="6CBAAF12" w14:textId="77777777" w:rsidR="00304A38" w:rsidRPr="00274DF7" w:rsidRDefault="00304A38" w:rsidP="001B12A5">
      <w:pPr>
        <w:pStyle w:val="Textonotapie"/>
        <w:ind w:left="284" w:hanging="284"/>
        <w:rPr>
          <w:lang w:val="es-MX"/>
        </w:rPr>
      </w:pPr>
      <w:r w:rsidRPr="001B12A5">
        <w:rPr>
          <w:rStyle w:val="Refdenotaalpie"/>
          <w:sz w:val="16"/>
          <w:szCs w:val="16"/>
        </w:rPr>
        <w:footnoteRef/>
      </w:r>
      <w:r w:rsidRPr="001B12A5">
        <w:rPr>
          <w:sz w:val="16"/>
          <w:szCs w:val="16"/>
          <w:vertAlign w:val="superscript"/>
        </w:rPr>
        <w:t>_/</w:t>
      </w:r>
      <w:r>
        <w:rPr>
          <w:sz w:val="16"/>
          <w:szCs w:val="16"/>
        </w:rPr>
        <w:tab/>
      </w:r>
      <w:r w:rsidRPr="001B12A5">
        <w:rPr>
          <w:sz w:val="16"/>
          <w:szCs w:val="16"/>
        </w:rPr>
        <w:t xml:space="preserve">En el informe </w:t>
      </w:r>
      <w:r w:rsidRPr="00162911">
        <w:rPr>
          <w:sz w:val="16"/>
          <w:szCs w:val="16"/>
        </w:rPr>
        <w:t>final de la evaluación n</w:t>
      </w:r>
      <w:r w:rsidRPr="00162911">
        <w:rPr>
          <w:rFonts w:eastAsia="Times New Roman"/>
          <w:sz w:val="16"/>
          <w:szCs w:val="16"/>
          <w:lang w:val="es-MX" w:eastAsia="en-US"/>
        </w:rPr>
        <w:t xml:space="preserve">o se </w:t>
      </w:r>
      <w:r>
        <w:rPr>
          <w:rFonts w:eastAsia="Times New Roman"/>
          <w:sz w:val="16"/>
          <w:szCs w:val="16"/>
          <w:lang w:val="es-MX" w:eastAsia="en-US"/>
        </w:rPr>
        <w:t>especifica la información de todos los titulares de las UR.</w:t>
      </w:r>
    </w:p>
  </w:footnote>
  <w:footnote w:id="12">
    <w:p w14:paraId="50DB36C1" w14:textId="77777777" w:rsidR="00304A38" w:rsidRPr="00500D3E" w:rsidRDefault="00304A38" w:rsidP="001B12A5">
      <w:pPr>
        <w:pStyle w:val="Textonotapie"/>
        <w:ind w:left="284" w:hanging="284"/>
        <w:rPr>
          <w:lang w:val="es-MX"/>
        </w:rPr>
      </w:pPr>
      <w:r w:rsidRPr="001B12A5">
        <w:rPr>
          <w:rStyle w:val="Refdenotaalpie"/>
          <w:sz w:val="16"/>
          <w:szCs w:val="16"/>
        </w:rPr>
        <w:footnoteRef/>
      </w:r>
      <w:r w:rsidRPr="001B12A5">
        <w:rPr>
          <w:sz w:val="16"/>
          <w:szCs w:val="16"/>
          <w:vertAlign w:val="superscript"/>
        </w:rPr>
        <w:t>_/</w:t>
      </w:r>
      <w:r>
        <w:rPr>
          <w:sz w:val="16"/>
          <w:szCs w:val="16"/>
        </w:rPr>
        <w:tab/>
      </w:r>
      <w:r w:rsidRPr="001B12A5">
        <w:rPr>
          <w:sz w:val="16"/>
          <w:szCs w:val="16"/>
        </w:rPr>
        <w:t>En</w:t>
      </w:r>
      <w:r w:rsidRPr="00162911">
        <w:rPr>
          <w:sz w:val="16"/>
          <w:szCs w:val="16"/>
        </w:rPr>
        <w:t xml:space="preserve"> el informe final de la evaluación n</w:t>
      </w:r>
      <w:r w:rsidRPr="00162911">
        <w:rPr>
          <w:rFonts w:eastAsia="Times New Roman"/>
          <w:sz w:val="16"/>
          <w:szCs w:val="16"/>
          <w:lang w:val="es-MX" w:eastAsia="en-US"/>
        </w:rPr>
        <w:t xml:space="preserve">o se </w:t>
      </w:r>
      <w:r>
        <w:rPr>
          <w:rFonts w:eastAsia="Times New Roman"/>
          <w:sz w:val="16"/>
          <w:szCs w:val="16"/>
          <w:lang w:val="es-MX" w:eastAsia="en-US"/>
        </w:rPr>
        <w:t>especifica la información de todos los titulares de las UR.</w:t>
      </w:r>
    </w:p>
  </w:footnote>
  <w:footnote w:id="13">
    <w:p w14:paraId="04D075A4" w14:textId="77777777" w:rsidR="00304A38" w:rsidRPr="001B12A5" w:rsidRDefault="00304A38" w:rsidP="001B12A5">
      <w:pPr>
        <w:pStyle w:val="Textonotapie"/>
        <w:ind w:left="284" w:hanging="284"/>
        <w:jc w:val="both"/>
        <w:rPr>
          <w:sz w:val="16"/>
          <w:szCs w:val="16"/>
        </w:rPr>
      </w:pPr>
      <w:r w:rsidRPr="001B12A5">
        <w:rPr>
          <w:rStyle w:val="Refdenotaalpie"/>
          <w:sz w:val="16"/>
          <w:szCs w:val="16"/>
        </w:rPr>
        <w:footnoteRef/>
      </w:r>
      <w:r w:rsidRPr="001B12A5">
        <w:rPr>
          <w:sz w:val="16"/>
          <w:szCs w:val="16"/>
          <w:vertAlign w:val="superscript"/>
        </w:rPr>
        <w:t>_/</w:t>
      </w:r>
      <w:r>
        <w:rPr>
          <w:sz w:val="16"/>
          <w:szCs w:val="16"/>
        </w:rPr>
        <w:tab/>
      </w:r>
      <w:r w:rsidRPr="001B12A5">
        <w:rPr>
          <w:sz w:val="16"/>
          <w:szCs w:val="16"/>
        </w:rPr>
        <w:t>En el informe final de la evaluación no se especificó la forma de contratación de la evaluación, únicamente se señaló lo siguiente: “Convenio de Colaboración con la UNAM”.</w:t>
      </w:r>
    </w:p>
  </w:footnote>
  <w:footnote w:id="14">
    <w:p w14:paraId="4C3DBACB" w14:textId="77777777" w:rsidR="00304A38" w:rsidRPr="00FA6BAF" w:rsidRDefault="00304A38" w:rsidP="00266A9F">
      <w:pPr>
        <w:pStyle w:val="Textonotapie"/>
        <w:jc w:val="both"/>
        <w:rPr>
          <w:lang w:val="es-MX"/>
        </w:rPr>
      </w:pPr>
      <w:r>
        <w:rPr>
          <w:rStyle w:val="Refdenotaalpie"/>
        </w:rPr>
        <w:footnoteRef/>
      </w:r>
      <w:r w:rsidRPr="00266A9F">
        <w:rPr>
          <w:vertAlign w:val="superscript"/>
        </w:rPr>
        <w:t>_/</w:t>
      </w:r>
      <w:r>
        <w:t xml:space="preserve"> </w:t>
      </w:r>
      <w:r w:rsidRPr="00266A9F">
        <w:rPr>
          <w:sz w:val="16"/>
          <w:szCs w:val="16"/>
        </w:rPr>
        <w:t>El artículo Sexto Transitorio del Decreto por el que se reforman y adicionan diversas disposiciones a la Ley General de Contabilidad Gubernamental y a la Ley Federal de Presupuesto y Responsabilidad Hacendaria publicado en el Diario Oficial de la Federación el 30 de diciembre de 2015, establece que los trámites que se hayan iniciado ante la SFP en materia del SED serán concluidos por la SHCP, por lo que en este Informe se consideran exclusivamente a la SHCP y al CONEVAL como instancias coordinadoras del seguimiento a los ASM.</w:t>
      </w:r>
    </w:p>
  </w:footnote>
  <w:footnote w:id="15">
    <w:p w14:paraId="7733C9A5" w14:textId="77777777" w:rsidR="00304A38" w:rsidRPr="00266A9F" w:rsidRDefault="00304A38">
      <w:pPr>
        <w:pStyle w:val="Textonotapie"/>
        <w:rPr>
          <w:lang w:val="es-MX"/>
        </w:rPr>
      </w:pPr>
      <w:r>
        <w:rPr>
          <w:rStyle w:val="Refdenotaalpie"/>
        </w:rPr>
        <w:footnoteRef/>
      </w:r>
      <w:r w:rsidRPr="00266A9F">
        <w:rPr>
          <w:vertAlign w:val="superscript"/>
        </w:rPr>
        <w:t>_/</w:t>
      </w:r>
      <w:r>
        <w:t xml:space="preserve"> </w:t>
      </w:r>
      <w:r w:rsidRPr="00021D2A">
        <w:rPr>
          <w:sz w:val="16"/>
        </w:rPr>
        <w:t>En esta categoría se encuentran los ASM que reportaron avance de 0%.</w:t>
      </w:r>
    </w:p>
  </w:footnote>
  <w:footnote w:id="16">
    <w:p w14:paraId="18CBBF39" w14:textId="77777777" w:rsidR="00304A38" w:rsidRPr="00266A9F" w:rsidRDefault="00304A38">
      <w:pPr>
        <w:pStyle w:val="Textonotapie"/>
        <w:rPr>
          <w:lang w:val="es-MX"/>
        </w:rPr>
      </w:pPr>
      <w:r>
        <w:rPr>
          <w:rStyle w:val="Refdenotaalpie"/>
        </w:rPr>
        <w:footnoteRef/>
      </w:r>
      <w:r w:rsidRPr="00266A9F">
        <w:rPr>
          <w:vertAlign w:val="superscript"/>
        </w:rPr>
        <w:t>_/</w:t>
      </w:r>
      <w:r>
        <w:t xml:space="preserve"> </w:t>
      </w:r>
      <w:r w:rsidRPr="00021D2A">
        <w:rPr>
          <w:sz w:val="16"/>
        </w:rPr>
        <w:t xml:space="preserve">Estos ASM son resultado de las Fichas de Monitoreo y Evaluación; asimismo, se incluyen ASM derivados de otros ejercicios de evaluación, tales como Evaluación de Satisfacción de Usuarios, Actualizaciones al Diagnóstico de los </w:t>
      </w:r>
      <w:proofErr w:type="spellStart"/>
      <w:r w:rsidRPr="00021D2A">
        <w:rPr>
          <w:sz w:val="16"/>
        </w:rPr>
        <w:t>Pp</w:t>
      </w:r>
      <w:proofErr w:type="spellEnd"/>
      <w:r w:rsidRPr="00021D2A">
        <w:rPr>
          <w:sz w:val="16"/>
        </w:rPr>
        <w:t>, Estudios de cobertura, etc., que coordinó el CONEVAL.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6261A" w14:textId="77777777" w:rsidR="00304A38" w:rsidRDefault="00304A38" w:rsidP="00984F29">
    <w:pPr>
      <w:pStyle w:val="Encabezado"/>
      <w:tabs>
        <w:tab w:val="left" w:pos="9781"/>
      </w:tabs>
    </w:pPr>
    <w:r>
      <w:rPr>
        <w:noProof/>
        <w:lang w:val="es-MX" w:eastAsia="es-MX"/>
      </w:rPr>
      <w:drawing>
        <wp:inline distT="0" distB="0" distL="0" distR="0" wp14:anchorId="432B80E5" wp14:editId="76FCAA47">
          <wp:extent cx="1276350" cy="390525"/>
          <wp:effectExtent l="19050" t="0" r="0" b="0"/>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276350" cy="390525"/>
                  </a:xfrm>
                  <a:prstGeom prst="rect">
                    <a:avLst/>
                  </a:prstGeom>
                  <a:noFill/>
                  <a:ln w="9525">
                    <a:noFill/>
                    <a:miter lim="800000"/>
                    <a:headEnd/>
                    <a:tailEnd/>
                  </a:ln>
                </pic:spPr>
              </pic:pic>
            </a:graphicData>
          </a:graphic>
        </wp:inline>
      </w:drawing>
    </w:r>
  </w:p>
  <w:p w14:paraId="20C09A79" w14:textId="77777777" w:rsidR="00304A38" w:rsidRDefault="00304A38"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6704" behindDoc="0" locked="0" layoutInCell="1" allowOverlap="1" wp14:anchorId="561D64DF" wp14:editId="40B39B40">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7FA0766"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22CF2" w14:textId="77777777" w:rsidR="00304A38" w:rsidRDefault="00304A38" w:rsidP="008E5805">
    <w:pPr>
      <w:pStyle w:val="Encabezado"/>
      <w:spacing w:after="0"/>
    </w:pPr>
    <w:r>
      <w:rPr>
        <w:noProof/>
        <w:lang w:val="es-MX" w:eastAsia="es-MX"/>
      </w:rPr>
      <mc:AlternateContent>
        <mc:Choice Requires="wps">
          <w:drawing>
            <wp:anchor distT="0" distB="0" distL="114300" distR="114300" simplePos="0" relativeHeight="251657216" behindDoc="0" locked="0" layoutInCell="1" allowOverlap="1" wp14:anchorId="4557B0BB" wp14:editId="5023BE8A">
              <wp:simplePos x="0" y="0"/>
              <wp:positionH relativeFrom="column">
                <wp:posOffset>3724910</wp:posOffset>
              </wp:positionH>
              <wp:positionV relativeFrom="paragraph">
                <wp:posOffset>-26035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7DCD5BD0" w14:textId="77777777" w:rsidR="00304A38" w:rsidRPr="004A0C69" w:rsidRDefault="00304A38" w:rsidP="00FB2904">
                          <w:pPr>
                            <w:pStyle w:val="Encabezado"/>
                            <w:jc w:val="center"/>
                          </w:pPr>
                          <w:r w:rsidRPr="004A0C69">
                            <w:t>Informes sobre la Situación</w:t>
                          </w:r>
                          <w:r>
                            <w:t xml:space="preserve"> </w:t>
                          </w:r>
                          <w:r w:rsidRPr="004A0C69">
                            <w:t>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7B0BB" id="_x0000_t202" coordsize="21600,21600" o:spt="202" path="m,l,21600r21600,l21600,xe">
              <v:stroke joinstyle="miter"/>
              <v:path gradientshapeok="t" o:connecttype="rect"/>
            </v:shapetype>
            <v:shape id="Cuadro de texto 15" o:spid="_x0000_s1026" type="#_x0000_t202" style="position:absolute;margin-left:293.3pt;margin-top:-2.05pt;width:227pt;height:5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" filled="f" stroked="f">
              <v:path arrowok="t"/>
              <v:textbox>
                <w:txbxContent>
                  <w:p w14:paraId="7DCD5BD0" w14:textId="77777777" w:rsidR="00304A38" w:rsidRPr="004A0C69" w:rsidRDefault="00304A38" w:rsidP="00FB2904">
                    <w:pPr>
                      <w:pStyle w:val="Encabezado"/>
                      <w:jc w:val="center"/>
                    </w:pPr>
                    <w:r w:rsidRPr="004A0C69">
                      <w:t>Informes sobre la Situación</w:t>
                    </w:r>
                    <w:r>
                      <w:t xml:space="preserve"> </w:t>
                    </w:r>
                    <w:r w:rsidRPr="004A0C69">
                      <w:t>Económica, las Finanzas Públicas y la Deuda Pública</w:t>
                    </w:r>
                  </w:p>
                </w:txbxContent>
              </v:textbox>
            </v:shape>
          </w:pict>
        </mc:Fallback>
      </mc:AlternateContent>
    </w:r>
  </w:p>
  <w:p w14:paraId="0BF329B7" w14:textId="77777777" w:rsidR="00304A38" w:rsidRDefault="00304A38" w:rsidP="008E5805">
    <w:pPr>
      <w:pStyle w:val="Encabezado"/>
      <w:spacing w:after="0"/>
    </w:pPr>
    <w:r>
      <w:t xml:space="preserve">Primer </w:t>
    </w:r>
    <w:r w:rsidRPr="00FB2904">
      <w:t>Trimestre</w:t>
    </w:r>
    <w:r w:rsidRPr="004A0C69">
      <w:t xml:space="preserve"> de 201</w:t>
    </w:r>
    <w:r>
      <w:t>8</w:t>
    </w:r>
  </w:p>
  <w:p w14:paraId="0A94173E" w14:textId="77777777" w:rsidR="00304A38" w:rsidRDefault="00304A38" w:rsidP="008E5805">
    <w:pPr>
      <w:pStyle w:val="Encabezado"/>
      <w:spacing w:after="0"/>
    </w:pPr>
  </w:p>
  <w:p w14:paraId="6E4C5D1E" w14:textId="77777777" w:rsidR="00304A38" w:rsidRDefault="00304A38" w:rsidP="008E5805">
    <w:pPr>
      <w:pStyle w:val="Encabezado"/>
      <w:spacing w:after="0"/>
    </w:pPr>
    <w:r>
      <w:rPr>
        <w:noProof/>
        <w:lang w:val="es-MX" w:eastAsia="es-MX"/>
      </w:rPr>
      <mc:AlternateContent>
        <mc:Choice Requires="wps">
          <w:drawing>
            <wp:anchor distT="4294967295" distB="4294967295" distL="114300" distR="114300" simplePos="0" relativeHeight="251660288" behindDoc="1" locked="0" layoutInCell="1" allowOverlap="1" wp14:anchorId="06518E5A" wp14:editId="01CEBA7D">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bodyPr/>
                  </wps:wsp>
                </a:graphicData>
              </a:graphic>
              <wp14:sizeRelH relativeFrom="margin">
                <wp14:pctWidth>0</wp14:pctWidth>
              </wp14:sizeRelH>
              <wp14:sizeRelV relativeFrom="margin">
                <wp14:pctHeight>0</wp14:pctHeight>
              </wp14:sizeRelV>
            </wp:anchor>
          </w:drawing>
        </mc:Choice>
        <mc:Fallback>
          <w:pict>
            <v:line w14:anchorId="5D7BADE7" id="Conector recto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convietas"/>
      <w:lvlText w:val="*"/>
      <w:lvlJc w:val="left"/>
    </w:lvl>
  </w:abstractNum>
  <w:abstractNum w:abstractNumId="1" w15:restartNumberingAfterBreak="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 w15:restartNumberingAfterBreak="0">
    <w:nsid w:val="03A637D8"/>
    <w:multiLevelType w:val="hybridMultilevel"/>
    <w:tmpl w:val="4270306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3" w15:restartNumberingAfterBreak="0">
    <w:nsid w:val="0C1237CE"/>
    <w:multiLevelType w:val="hybridMultilevel"/>
    <w:tmpl w:val="4F0620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9433B6"/>
    <w:multiLevelType w:val="hybridMultilevel"/>
    <w:tmpl w:val="0108E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061696"/>
    <w:multiLevelType w:val="hybridMultilevel"/>
    <w:tmpl w:val="90C2EEF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02125D"/>
    <w:multiLevelType w:val="hybridMultilevel"/>
    <w:tmpl w:val="4DE84514"/>
    <w:lvl w:ilvl="0" w:tplc="0C0A0019">
      <w:start w:val="1"/>
      <w:numFmt w:val="lowerLetter"/>
      <w:lvlText w:val="%1."/>
      <w:lvlJc w:val="left"/>
      <w:pPr>
        <w:ind w:left="1069" w:hanging="360"/>
      </w:p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670E7D"/>
    <w:multiLevelType w:val="multilevel"/>
    <w:tmpl w:val="FED6EC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30C4A2A"/>
    <w:multiLevelType w:val="hybridMultilevel"/>
    <w:tmpl w:val="EBA01A9E"/>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36E59ED"/>
    <w:multiLevelType w:val="hybridMultilevel"/>
    <w:tmpl w:val="63702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D6F73"/>
    <w:multiLevelType w:val="hybridMultilevel"/>
    <w:tmpl w:val="DD50F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2C4269"/>
    <w:multiLevelType w:val="multilevel"/>
    <w:tmpl w:val="B332296A"/>
    <w:styleLink w:val="Estilo1"/>
    <w:lvl w:ilvl="0">
      <w:start w:val="1"/>
      <w:numFmt w:val="decimal"/>
      <w:lvlText w:val="%1"/>
      <w:lvlJc w:val="left"/>
      <w:pPr>
        <w:tabs>
          <w:tab w:val="num" w:pos="720"/>
        </w:tabs>
        <w:ind w:left="1068" w:hanging="360"/>
      </w:pPr>
      <w:rPr>
        <w:rFonts w:ascii="Arial" w:hAnsi="Arial" w:hint="default"/>
        <w:b/>
        <w:sz w:val="24"/>
      </w:rPr>
    </w:lvl>
    <w:lvl w:ilvl="1">
      <w:start w:val="1"/>
      <w:numFmt w:val="decimal"/>
      <w:lvlText w:val="%2."/>
      <w:lvlJc w:val="left"/>
      <w:pPr>
        <w:tabs>
          <w:tab w:val="num" w:pos="734"/>
        </w:tabs>
        <w:ind w:left="734" w:hanging="284"/>
      </w:pPr>
      <w:rPr>
        <w:rFonts w:ascii="Arial" w:hAnsi="Arial" w:hint="default"/>
        <w:b/>
        <w:i w:val="0"/>
        <w:sz w:val="24"/>
      </w:rPr>
    </w:lvl>
    <w:lvl w:ilvl="2">
      <w:start w:val="4"/>
      <w:numFmt w:val="decimal"/>
      <w:isLgl/>
      <w:lvlText w:val="%3.1"/>
      <w:lvlJc w:val="left"/>
      <w:pPr>
        <w:tabs>
          <w:tab w:val="num" w:pos="2197"/>
        </w:tabs>
        <w:ind w:left="3772" w:hanging="1972"/>
      </w:pPr>
      <w:rPr>
        <w:rFonts w:ascii="PresidenciaFuerte" w:hAnsi="PresidenciaFuerte" w:cs="PresidenciaFuerte"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5" w15:restartNumberingAfterBreak="0">
    <w:nsid w:val="30BA0C70"/>
    <w:multiLevelType w:val="hybridMultilevel"/>
    <w:tmpl w:val="CBF85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C70F32"/>
    <w:multiLevelType w:val="hybridMultilevel"/>
    <w:tmpl w:val="32009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0F3E6D"/>
    <w:multiLevelType w:val="hybridMultilevel"/>
    <w:tmpl w:val="4940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E01CDE"/>
    <w:multiLevelType w:val="hybridMultilevel"/>
    <w:tmpl w:val="538A652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644"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378766CD"/>
    <w:multiLevelType w:val="hybridMultilevel"/>
    <w:tmpl w:val="272AF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5D0B96"/>
    <w:multiLevelType w:val="hybridMultilevel"/>
    <w:tmpl w:val="791CB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AD6A4A"/>
    <w:multiLevelType w:val="hybridMultilevel"/>
    <w:tmpl w:val="ECC6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4B4A56"/>
    <w:multiLevelType w:val="hybridMultilevel"/>
    <w:tmpl w:val="F6688E9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48187F9F"/>
    <w:multiLevelType w:val="hybridMultilevel"/>
    <w:tmpl w:val="1D20C00A"/>
    <w:lvl w:ilvl="0" w:tplc="4722347E">
      <w:start w:val="1"/>
      <w:numFmt w:val="decimal"/>
      <w:lvlText w:val="%1)"/>
      <w:lvlJc w:val="left"/>
      <w:pPr>
        <w:ind w:left="570" w:hanging="57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4BF832F5"/>
    <w:multiLevelType w:val="hybridMultilevel"/>
    <w:tmpl w:val="56B82FBC"/>
    <w:name w:val="Lista de titulos23233"/>
    <w:lvl w:ilvl="0" w:tplc="3FD67BD8">
      <w:start w:val="1"/>
      <w:numFmt w:val="decimal"/>
      <w:lvlText w:val="%1_/"/>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08017D"/>
    <w:multiLevelType w:val="hybridMultilevel"/>
    <w:tmpl w:val="94D2A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50079B"/>
    <w:multiLevelType w:val="hybridMultilevel"/>
    <w:tmpl w:val="272E632C"/>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49B02C6"/>
    <w:multiLevelType w:val="hybridMultilevel"/>
    <w:tmpl w:val="5008C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034279"/>
    <w:multiLevelType w:val="hybridMultilevel"/>
    <w:tmpl w:val="CF7E8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BA62A7"/>
    <w:multiLevelType w:val="hybridMultilevel"/>
    <w:tmpl w:val="15DC00D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33" w15:restartNumberingAfterBreak="0">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34" w15:restartNumberingAfterBreak="0">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35" w15:restartNumberingAfterBreak="0">
    <w:nsid w:val="6EBC04D6"/>
    <w:multiLevelType w:val="hybridMultilevel"/>
    <w:tmpl w:val="680E73AA"/>
    <w:lvl w:ilvl="0" w:tplc="AFF8342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FD336C8"/>
    <w:multiLevelType w:val="hybridMultilevel"/>
    <w:tmpl w:val="A55A1D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70651523"/>
    <w:multiLevelType w:val="hybridMultilevel"/>
    <w:tmpl w:val="1D4E7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39" w15:restartNumberingAfterBreak="0">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40" w15:restartNumberingAfterBreak="0">
    <w:nsid w:val="7AB13D61"/>
    <w:multiLevelType w:val="hybridMultilevel"/>
    <w:tmpl w:val="BF86F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BDA2A4A"/>
    <w:multiLevelType w:val="hybridMultilevel"/>
    <w:tmpl w:val="385C9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AB2A73"/>
    <w:multiLevelType w:val="hybridMultilevel"/>
    <w:tmpl w:val="56CAF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35"/>
  </w:num>
  <w:num w:numId="2">
    <w:abstractNumId w:val="33"/>
  </w:num>
  <w:num w:numId="3">
    <w:abstractNumId w:val="19"/>
  </w:num>
  <w:num w:numId="4">
    <w:abstractNumId w:val="38"/>
  </w:num>
  <w:num w:numId="5">
    <w:abstractNumId w:val="32"/>
  </w:num>
  <w:num w:numId="6">
    <w:abstractNumId w:val="29"/>
  </w:num>
  <w:num w:numId="7">
    <w:abstractNumId w:val="1"/>
  </w:num>
  <w:num w:numId="8">
    <w:abstractNumId w:val="34"/>
  </w:num>
  <w:num w:numId="9">
    <w:abstractNumId w:val="43"/>
  </w:num>
  <w:num w:numId="10">
    <w:abstractNumId w:val="39"/>
  </w:num>
  <w:num w:numId="11">
    <w:abstractNumId w:val="14"/>
  </w:num>
  <w:num w:numId="12">
    <w:abstractNumId w:val="5"/>
  </w:num>
  <w:num w:numId="13">
    <w:abstractNumId w:val="13"/>
  </w:num>
  <w:num w:numId="14">
    <w:abstractNumId w:val="0"/>
    <w:lvlOverride w:ilvl="0">
      <w:lvl w:ilvl="0">
        <w:start w:val="1"/>
        <w:numFmt w:val="bullet"/>
        <w:pStyle w:val="Listaconvietas"/>
        <w:lvlText w:val=""/>
        <w:legacy w:legacy="1" w:legacySpace="0" w:legacyIndent="360"/>
        <w:lvlJc w:val="left"/>
        <w:pPr>
          <w:ind w:left="720" w:hanging="360"/>
        </w:pPr>
        <w:rPr>
          <w:rFonts w:ascii="Wingdings" w:hAnsi="Wingdings" w:hint="default"/>
          <w:sz w:val="12"/>
        </w:rPr>
      </w:lvl>
    </w:lvlOverride>
  </w:num>
  <w:num w:numId="15">
    <w:abstractNumId w:val="8"/>
  </w:num>
  <w:num w:numId="16">
    <w:abstractNumId w:val="26"/>
  </w:num>
  <w:num w:numId="17">
    <w:abstractNumId w:val="11"/>
  </w:num>
  <w:num w:numId="18">
    <w:abstractNumId w:val="40"/>
  </w:num>
  <w:num w:numId="19">
    <w:abstractNumId w:val="23"/>
  </w:num>
  <w:num w:numId="20">
    <w:abstractNumId w:val="16"/>
  </w:num>
  <w:num w:numId="21">
    <w:abstractNumId w:val="15"/>
  </w:num>
  <w:num w:numId="22">
    <w:abstractNumId w:val="28"/>
  </w:num>
  <w:num w:numId="23">
    <w:abstractNumId w:val="20"/>
  </w:num>
  <w:num w:numId="24">
    <w:abstractNumId w:val="17"/>
  </w:num>
  <w:num w:numId="25">
    <w:abstractNumId w:val="37"/>
  </w:num>
  <w:num w:numId="26">
    <w:abstractNumId w:val="3"/>
  </w:num>
  <w:num w:numId="27">
    <w:abstractNumId w:val="24"/>
  </w:num>
  <w:num w:numId="28">
    <w:abstractNumId w:val="31"/>
  </w:num>
  <w:num w:numId="29">
    <w:abstractNumId w:val="6"/>
  </w:num>
  <w:num w:numId="30">
    <w:abstractNumId w:val="10"/>
  </w:num>
  <w:num w:numId="31">
    <w:abstractNumId w:val="7"/>
  </w:num>
  <w:num w:numId="32">
    <w:abstractNumId w:val="18"/>
  </w:num>
  <w:num w:numId="33">
    <w:abstractNumId w:val="27"/>
  </w:num>
  <w:num w:numId="34">
    <w:abstractNumId w:val="36"/>
  </w:num>
  <w:num w:numId="35">
    <w:abstractNumId w:val="21"/>
  </w:num>
  <w:num w:numId="36">
    <w:abstractNumId w:val="30"/>
  </w:num>
  <w:num w:numId="37">
    <w:abstractNumId w:val="9"/>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12"/>
  </w:num>
  <w:num w:numId="41">
    <w:abstractNumId w:val="42"/>
  </w:num>
  <w:num w:numId="42">
    <w:abstractNumId w:val="22"/>
  </w:num>
  <w:num w:numId="43">
    <w:abstractNumId w:val="4"/>
  </w:num>
  <w:num w:numId="44">
    <w:abstractNumId w:val="25"/>
  </w:num>
  <w:num w:numId="4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E7"/>
    <w:rsid w:val="00000CD2"/>
    <w:rsid w:val="00003049"/>
    <w:rsid w:val="00003182"/>
    <w:rsid w:val="00003190"/>
    <w:rsid w:val="0000320E"/>
    <w:rsid w:val="000036E8"/>
    <w:rsid w:val="00003948"/>
    <w:rsid w:val="0000403B"/>
    <w:rsid w:val="00005297"/>
    <w:rsid w:val="00005367"/>
    <w:rsid w:val="000059FA"/>
    <w:rsid w:val="00010095"/>
    <w:rsid w:val="0001280B"/>
    <w:rsid w:val="00012899"/>
    <w:rsid w:val="000144BD"/>
    <w:rsid w:val="000153C4"/>
    <w:rsid w:val="000163AB"/>
    <w:rsid w:val="00016C05"/>
    <w:rsid w:val="00017F28"/>
    <w:rsid w:val="000203DE"/>
    <w:rsid w:val="0002293A"/>
    <w:rsid w:val="00023138"/>
    <w:rsid w:val="0002356A"/>
    <w:rsid w:val="00025684"/>
    <w:rsid w:val="00025C5A"/>
    <w:rsid w:val="000262BD"/>
    <w:rsid w:val="000274AC"/>
    <w:rsid w:val="00027633"/>
    <w:rsid w:val="00027F12"/>
    <w:rsid w:val="000300DD"/>
    <w:rsid w:val="000307D9"/>
    <w:rsid w:val="000318EE"/>
    <w:rsid w:val="000321D9"/>
    <w:rsid w:val="000326BC"/>
    <w:rsid w:val="00032730"/>
    <w:rsid w:val="0003285C"/>
    <w:rsid w:val="00032CB1"/>
    <w:rsid w:val="000338CB"/>
    <w:rsid w:val="000345A1"/>
    <w:rsid w:val="000347E0"/>
    <w:rsid w:val="00035158"/>
    <w:rsid w:val="00035BF4"/>
    <w:rsid w:val="00036023"/>
    <w:rsid w:val="000373CE"/>
    <w:rsid w:val="000403FA"/>
    <w:rsid w:val="00041882"/>
    <w:rsid w:val="000425AA"/>
    <w:rsid w:val="000428EB"/>
    <w:rsid w:val="00043120"/>
    <w:rsid w:val="00044CB7"/>
    <w:rsid w:val="000466D0"/>
    <w:rsid w:val="0005039D"/>
    <w:rsid w:val="00051BED"/>
    <w:rsid w:val="000524E0"/>
    <w:rsid w:val="000530D7"/>
    <w:rsid w:val="000530E2"/>
    <w:rsid w:val="00053B45"/>
    <w:rsid w:val="00053D90"/>
    <w:rsid w:val="00053F52"/>
    <w:rsid w:val="00053F58"/>
    <w:rsid w:val="00057CFF"/>
    <w:rsid w:val="00060260"/>
    <w:rsid w:val="00062D79"/>
    <w:rsid w:val="00067651"/>
    <w:rsid w:val="0007066C"/>
    <w:rsid w:val="000708E4"/>
    <w:rsid w:val="00070E0B"/>
    <w:rsid w:val="00070FA4"/>
    <w:rsid w:val="000735B0"/>
    <w:rsid w:val="00073753"/>
    <w:rsid w:val="00073EF4"/>
    <w:rsid w:val="00074A8B"/>
    <w:rsid w:val="00074B02"/>
    <w:rsid w:val="00075E81"/>
    <w:rsid w:val="00076E24"/>
    <w:rsid w:val="00080633"/>
    <w:rsid w:val="00080A52"/>
    <w:rsid w:val="0008121B"/>
    <w:rsid w:val="000818F4"/>
    <w:rsid w:val="00081F74"/>
    <w:rsid w:val="00082478"/>
    <w:rsid w:val="00082BD8"/>
    <w:rsid w:val="0008339F"/>
    <w:rsid w:val="00083A32"/>
    <w:rsid w:val="00084B32"/>
    <w:rsid w:val="000853A3"/>
    <w:rsid w:val="00086540"/>
    <w:rsid w:val="00086E17"/>
    <w:rsid w:val="00086F73"/>
    <w:rsid w:val="00087B0F"/>
    <w:rsid w:val="00087CC8"/>
    <w:rsid w:val="00090372"/>
    <w:rsid w:val="000922E2"/>
    <w:rsid w:val="00093458"/>
    <w:rsid w:val="0009357A"/>
    <w:rsid w:val="000957EE"/>
    <w:rsid w:val="00097679"/>
    <w:rsid w:val="00097FB9"/>
    <w:rsid w:val="000A0B5E"/>
    <w:rsid w:val="000A0E46"/>
    <w:rsid w:val="000A1A82"/>
    <w:rsid w:val="000A22C6"/>
    <w:rsid w:val="000A2419"/>
    <w:rsid w:val="000A2E2A"/>
    <w:rsid w:val="000A46A9"/>
    <w:rsid w:val="000A4DDE"/>
    <w:rsid w:val="000A5093"/>
    <w:rsid w:val="000B0D73"/>
    <w:rsid w:val="000B30B9"/>
    <w:rsid w:val="000B343A"/>
    <w:rsid w:val="000B34A4"/>
    <w:rsid w:val="000B360E"/>
    <w:rsid w:val="000B4F86"/>
    <w:rsid w:val="000B526A"/>
    <w:rsid w:val="000B66D1"/>
    <w:rsid w:val="000B6970"/>
    <w:rsid w:val="000B698A"/>
    <w:rsid w:val="000B7774"/>
    <w:rsid w:val="000C08EA"/>
    <w:rsid w:val="000C1019"/>
    <w:rsid w:val="000C1CF5"/>
    <w:rsid w:val="000C404D"/>
    <w:rsid w:val="000C4BCD"/>
    <w:rsid w:val="000C5666"/>
    <w:rsid w:val="000D06D9"/>
    <w:rsid w:val="000D10A4"/>
    <w:rsid w:val="000D117D"/>
    <w:rsid w:val="000D1E23"/>
    <w:rsid w:val="000D37F3"/>
    <w:rsid w:val="000D43CE"/>
    <w:rsid w:val="000D4995"/>
    <w:rsid w:val="000D6039"/>
    <w:rsid w:val="000D65C7"/>
    <w:rsid w:val="000D7553"/>
    <w:rsid w:val="000E05A7"/>
    <w:rsid w:val="000E49AF"/>
    <w:rsid w:val="000E49D1"/>
    <w:rsid w:val="000E50B6"/>
    <w:rsid w:val="000E6F9C"/>
    <w:rsid w:val="000F12FC"/>
    <w:rsid w:val="000F1448"/>
    <w:rsid w:val="000F3AFD"/>
    <w:rsid w:val="000F4352"/>
    <w:rsid w:val="000F4559"/>
    <w:rsid w:val="000F4FA8"/>
    <w:rsid w:val="000F5F74"/>
    <w:rsid w:val="00100D6D"/>
    <w:rsid w:val="001015F7"/>
    <w:rsid w:val="00101671"/>
    <w:rsid w:val="0010178A"/>
    <w:rsid w:val="00101E42"/>
    <w:rsid w:val="0010214C"/>
    <w:rsid w:val="00102EAF"/>
    <w:rsid w:val="00103563"/>
    <w:rsid w:val="00104B3E"/>
    <w:rsid w:val="00107564"/>
    <w:rsid w:val="0010768F"/>
    <w:rsid w:val="00107872"/>
    <w:rsid w:val="0011100D"/>
    <w:rsid w:val="00112102"/>
    <w:rsid w:val="0011245B"/>
    <w:rsid w:val="00112C46"/>
    <w:rsid w:val="00112E56"/>
    <w:rsid w:val="00112F76"/>
    <w:rsid w:val="00113C05"/>
    <w:rsid w:val="001148A8"/>
    <w:rsid w:val="00114D06"/>
    <w:rsid w:val="001150F9"/>
    <w:rsid w:val="0011592C"/>
    <w:rsid w:val="00115A2A"/>
    <w:rsid w:val="00115E1E"/>
    <w:rsid w:val="001178A4"/>
    <w:rsid w:val="00121109"/>
    <w:rsid w:val="001246FF"/>
    <w:rsid w:val="00124AB0"/>
    <w:rsid w:val="00125689"/>
    <w:rsid w:val="00126730"/>
    <w:rsid w:val="0013001B"/>
    <w:rsid w:val="00132336"/>
    <w:rsid w:val="00133758"/>
    <w:rsid w:val="00135237"/>
    <w:rsid w:val="001356D5"/>
    <w:rsid w:val="00135B92"/>
    <w:rsid w:val="001376B9"/>
    <w:rsid w:val="00137AB0"/>
    <w:rsid w:val="0014054A"/>
    <w:rsid w:val="00140B4B"/>
    <w:rsid w:val="0014148F"/>
    <w:rsid w:val="001419D4"/>
    <w:rsid w:val="0014266C"/>
    <w:rsid w:val="0014275D"/>
    <w:rsid w:val="00143339"/>
    <w:rsid w:val="001441AF"/>
    <w:rsid w:val="00145922"/>
    <w:rsid w:val="00147D36"/>
    <w:rsid w:val="0015284D"/>
    <w:rsid w:val="00155450"/>
    <w:rsid w:val="00155538"/>
    <w:rsid w:val="001557E0"/>
    <w:rsid w:val="00156574"/>
    <w:rsid w:val="001567C8"/>
    <w:rsid w:val="00156A6D"/>
    <w:rsid w:val="00156C6C"/>
    <w:rsid w:val="00157434"/>
    <w:rsid w:val="00157994"/>
    <w:rsid w:val="0016160B"/>
    <w:rsid w:val="0016244E"/>
    <w:rsid w:val="00162911"/>
    <w:rsid w:val="00163151"/>
    <w:rsid w:val="001652BB"/>
    <w:rsid w:val="00165447"/>
    <w:rsid w:val="001657E2"/>
    <w:rsid w:val="001671FF"/>
    <w:rsid w:val="001706E8"/>
    <w:rsid w:val="001712BC"/>
    <w:rsid w:val="00173E4D"/>
    <w:rsid w:val="001740EC"/>
    <w:rsid w:val="00174AAE"/>
    <w:rsid w:val="0017565F"/>
    <w:rsid w:val="0018096A"/>
    <w:rsid w:val="001838CB"/>
    <w:rsid w:val="0018514E"/>
    <w:rsid w:val="00186BFE"/>
    <w:rsid w:val="001878A0"/>
    <w:rsid w:val="00187E08"/>
    <w:rsid w:val="00190204"/>
    <w:rsid w:val="001903FC"/>
    <w:rsid w:val="001942E4"/>
    <w:rsid w:val="00194644"/>
    <w:rsid w:val="00195E83"/>
    <w:rsid w:val="001A03EB"/>
    <w:rsid w:val="001A078A"/>
    <w:rsid w:val="001A13BF"/>
    <w:rsid w:val="001A183E"/>
    <w:rsid w:val="001A2A70"/>
    <w:rsid w:val="001A3219"/>
    <w:rsid w:val="001A454F"/>
    <w:rsid w:val="001A4921"/>
    <w:rsid w:val="001A7EED"/>
    <w:rsid w:val="001B0B93"/>
    <w:rsid w:val="001B12A5"/>
    <w:rsid w:val="001B173C"/>
    <w:rsid w:val="001B1859"/>
    <w:rsid w:val="001B210A"/>
    <w:rsid w:val="001B30B9"/>
    <w:rsid w:val="001B345D"/>
    <w:rsid w:val="001B3A33"/>
    <w:rsid w:val="001B3A9C"/>
    <w:rsid w:val="001B4C5C"/>
    <w:rsid w:val="001B4E75"/>
    <w:rsid w:val="001B5D34"/>
    <w:rsid w:val="001C10FE"/>
    <w:rsid w:val="001C159D"/>
    <w:rsid w:val="001C1B42"/>
    <w:rsid w:val="001C2554"/>
    <w:rsid w:val="001C2718"/>
    <w:rsid w:val="001C31F4"/>
    <w:rsid w:val="001C3FD4"/>
    <w:rsid w:val="001C5AF5"/>
    <w:rsid w:val="001C60C2"/>
    <w:rsid w:val="001C63A9"/>
    <w:rsid w:val="001C7C20"/>
    <w:rsid w:val="001D0517"/>
    <w:rsid w:val="001D1B5D"/>
    <w:rsid w:val="001D4427"/>
    <w:rsid w:val="001D7584"/>
    <w:rsid w:val="001E11FF"/>
    <w:rsid w:val="001E1744"/>
    <w:rsid w:val="001E2465"/>
    <w:rsid w:val="001E2A81"/>
    <w:rsid w:val="001E2F10"/>
    <w:rsid w:val="001E3859"/>
    <w:rsid w:val="001E4543"/>
    <w:rsid w:val="001E4E6C"/>
    <w:rsid w:val="001E518E"/>
    <w:rsid w:val="001E54FD"/>
    <w:rsid w:val="001E58AC"/>
    <w:rsid w:val="001E6023"/>
    <w:rsid w:val="001E6370"/>
    <w:rsid w:val="001E694C"/>
    <w:rsid w:val="001E74D1"/>
    <w:rsid w:val="001E77B7"/>
    <w:rsid w:val="001F0537"/>
    <w:rsid w:val="001F09DA"/>
    <w:rsid w:val="001F3824"/>
    <w:rsid w:val="001F57BA"/>
    <w:rsid w:val="001F5821"/>
    <w:rsid w:val="00200269"/>
    <w:rsid w:val="00200EA3"/>
    <w:rsid w:val="00200F0E"/>
    <w:rsid w:val="00201400"/>
    <w:rsid w:val="00201A91"/>
    <w:rsid w:val="00202224"/>
    <w:rsid w:val="00202CA6"/>
    <w:rsid w:val="00204218"/>
    <w:rsid w:val="00204F14"/>
    <w:rsid w:val="0020654C"/>
    <w:rsid w:val="00207573"/>
    <w:rsid w:val="002075A1"/>
    <w:rsid w:val="00210434"/>
    <w:rsid w:val="00210CC2"/>
    <w:rsid w:val="00211789"/>
    <w:rsid w:val="00212234"/>
    <w:rsid w:val="00213DCF"/>
    <w:rsid w:val="00214792"/>
    <w:rsid w:val="002151EA"/>
    <w:rsid w:val="00215BE8"/>
    <w:rsid w:val="00215D98"/>
    <w:rsid w:val="002160D4"/>
    <w:rsid w:val="002162D4"/>
    <w:rsid w:val="002166EF"/>
    <w:rsid w:val="00216CC1"/>
    <w:rsid w:val="00216DD1"/>
    <w:rsid w:val="002172E7"/>
    <w:rsid w:val="00217C81"/>
    <w:rsid w:val="00220ADE"/>
    <w:rsid w:val="00221BC3"/>
    <w:rsid w:val="002222A9"/>
    <w:rsid w:val="00222D16"/>
    <w:rsid w:val="00222D26"/>
    <w:rsid w:val="002232AF"/>
    <w:rsid w:val="00224A8F"/>
    <w:rsid w:val="0022508B"/>
    <w:rsid w:val="002251B3"/>
    <w:rsid w:val="0022528B"/>
    <w:rsid w:val="002275A4"/>
    <w:rsid w:val="00227C83"/>
    <w:rsid w:val="00232567"/>
    <w:rsid w:val="0023505C"/>
    <w:rsid w:val="0023547E"/>
    <w:rsid w:val="002359FC"/>
    <w:rsid w:val="00235C31"/>
    <w:rsid w:val="002375D8"/>
    <w:rsid w:val="00237ECD"/>
    <w:rsid w:val="002409D9"/>
    <w:rsid w:val="002424F1"/>
    <w:rsid w:val="002434F1"/>
    <w:rsid w:val="002442A9"/>
    <w:rsid w:val="00246F33"/>
    <w:rsid w:val="00247225"/>
    <w:rsid w:val="00250E04"/>
    <w:rsid w:val="002520CA"/>
    <w:rsid w:val="00252504"/>
    <w:rsid w:val="0025662A"/>
    <w:rsid w:val="002567FD"/>
    <w:rsid w:val="002574FB"/>
    <w:rsid w:val="00257F01"/>
    <w:rsid w:val="002605B7"/>
    <w:rsid w:val="00260717"/>
    <w:rsid w:val="002631E7"/>
    <w:rsid w:val="00263287"/>
    <w:rsid w:val="00263B55"/>
    <w:rsid w:val="00264874"/>
    <w:rsid w:val="00266A04"/>
    <w:rsid w:val="00266A9F"/>
    <w:rsid w:val="00267C9C"/>
    <w:rsid w:val="00270A30"/>
    <w:rsid w:val="002726DE"/>
    <w:rsid w:val="0027424B"/>
    <w:rsid w:val="00274DF7"/>
    <w:rsid w:val="002751B5"/>
    <w:rsid w:val="00276AA6"/>
    <w:rsid w:val="00276BB3"/>
    <w:rsid w:val="00277086"/>
    <w:rsid w:val="00280F60"/>
    <w:rsid w:val="00282095"/>
    <w:rsid w:val="00282BF8"/>
    <w:rsid w:val="00282C72"/>
    <w:rsid w:val="002832AC"/>
    <w:rsid w:val="00284CB4"/>
    <w:rsid w:val="00284F04"/>
    <w:rsid w:val="00286D1E"/>
    <w:rsid w:val="0028718E"/>
    <w:rsid w:val="00292063"/>
    <w:rsid w:val="00292F2D"/>
    <w:rsid w:val="0029384A"/>
    <w:rsid w:val="00293B22"/>
    <w:rsid w:val="00294333"/>
    <w:rsid w:val="0029693C"/>
    <w:rsid w:val="00297B5E"/>
    <w:rsid w:val="002A01D0"/>
    <w:rsid w:val="002A0797"/>
    <w:rsid w:val="002A1791"/>
    <w:rsid w:val="002A1AB1"/>
    <w:rsid w:val="002A2C05"/>
    <w:rsid w:val="002A2DE8"/>
    <w:rsid w:val="002A3555"/>
    <w:rsid w:val="002A3BF8"/>
    <w:rsid w:val="002A43B6"/>
    <w:rsid w:val="002A5BC0"/>
    <w:rsid w:val="002A5F10"/>
    <w:rsid w:val="002A700B"/>
    <w:rsid w:val="002B09D4"/>
    <w:rsid w:val="002B1578"/>
    <w:rsid w:val="002B1D22"/>
    <w:rsid w:val="002B1D83"/>
    <w:rsid w:val="002B28C0"/>
    <w:rsid w:val="002B34B3"/>
    <w:rsid w:val="002B4E8B"/>
    <w:rsid w:val="002B55F2"/>
    <w:rsid w:val="002B5693"/>
    <w:rsid w:val="002B6684"/>
    <w:rsid w:val="002B76F9"/>
    <w:rsid w:val="002C0C1D"/>
    <w:rsid w:val="002C334B"/>
    <w:rsid w:val="002C4207"/>
    <w:rsid w:val="002C6A61"/>
    <w:rsid w:val="002C7878"/>
    <w:rsid w:val="002D08D4"/>
    <w:rsid w:val="002D171C"/>
    <w:rsid w:val="002D1791"/>
    <w:rsid w:val="002D1ED2"/>
    <w:rsid w:val="002D1ED3"/>
    <w:rsid w:val="002D2256"/>
    <w:rsid w:val="002D2B7E"/>
    <w:rsid w:val="002D4831"/>
    <w:rsid w:val="002D51C0"/>
    <w:rsid w:val="002D6180"/>
    <w:rsid w:val="002D6584"/>
    <w:rsid w:val="002D7F6C"/>
    <w:rsid w:val="002E2AC7"/>
    <w:rsid w:val="002E36C8"/>
    <w:rsid w:val="002E391D"/>
    <w:rsid w:val="002E4E24"/>
    <w:rsid w:val="002E61C1"/>
    <w:rsid w:val="002E6F03"/>
    <w:rsid w:val="002E76C0"/>
    <w:rsid w:val="002E77EA"/>
    <w:rsid w:val="002F01D8"/>
    <w:rsid w:val="002F080B"/>
    <w:rsid w:val="002F26E8"/>
    <w:rsid w:val="002F2915"/>
    <w:rsid w:val="002F2E48"/>
    <w:rsid w:val="002F3992"/>
    <w:rsid w:val="002F6030"/>
    <w:rsid w:val="002F7ED2"/>
    <w:rsid w:val="003021D2"/>
    <w:rsid w:val="003028EA"/>
    <w:rsid w:val="003031D5"/>
    <w:rsid w:val="00304A38"/>
    <w:rsid w:val="00304F3D"/>
    <w:rsid w:val="00305016"/>
    <w:rsid w:val="00305E0F"/>
    <w:rsid w:val="0030752B"/>
    <w:rsid w:val="00307532"/>
    <w:rsid w:val="003075D0"/>
    <w:rsid w:val="00311741"/>
    <w:rsid w:val="0031225A"/>
    <w:rsid w:val="0031319C"/>
    <w:rsid w:val="00314F63"/>
    <w:rsid w:val="00317484"/>
    <w:rsid w:val="00320B91"/>
    <w:rsid w:val="00321152"/>
    <w:rsid w:val="00321AA7"/>
    <w:rsid w:val="00322E28"/>
    <w:rsid w:val="003234BD"/>
    <w:rsid w:val="00323771"/>
    <w:rsid w:val="00327A4A"/>
    <w:rsid w:val="00330A71"/>
    <w:rsid w:val="00330C0D"/>
    <w:rsid w:val="00332FE9"/>
    <w:rsid w:val="0033312C"/>
    <w:rsid w:val="00333660"/>
    <w:rsid w:val="0033405F"/>
    <w:rsid w:val="00335155"/>
    <w:rsid w:val="00335691"/>
    <w:rsid w:val="00335B08"/>
    <w:rsid w:val="00335B9D"/>
    <w:rsid w:val="0033642D"/>
    <w:rsid w:val="00340873"/>
    <w:rsid w:val="00341D1E"/>
    <w:rsid w:val="0034200D"/>
    <w:rsid w:val="00342AE6"/>
    <w:rsid w:val="00344164"/>
    <w:rsid w:val="003443AD"/>
    <w:rsid w:val="00345171"/>
    <w:rsid w:val="00346079"/>
    <w:rsid w:val="00347428"/>
    <w:rsid w:val="00347634"/>
    <w:rsid w:val="0035142F"/>
    <w:rsid w:val="00351EE2"/>
    <w:rsid w:val="00353D90"/>
    <w:rsid w:val="003542A3"/>
    <w:rsid w:val="00355FB5"/>
    <w:rsid w:val="00356194"/>
    <w:rsid w:val="003562B5"/>
    <w:rsid w:val="00357252"/>
    <w:rsid w:val="00357AA3"/>
    <w:rsid w:val="00360659"/>
    <w:rsid w:val="00363D07"/>
    <w:rsid w:val="003640DB"/>
    <w:rsid w:val="003658C6"/>
    <w:rsid w:val="003669B8"/>
    <w:rsid w:val="00370818"/>
    <w:rsid w:val="00370FB5"/>
    <w:rsid w:val="0037109B"/>
    <w:rsid w:val="003722B9"/>
    <w:rsid w:val="00372C2D"/>
    <w:rsid w:val="00375030"/>
    <w:rsid w:val="003751F0"/>
    <w:rsid w:val="00375D37"/>
    <w:rsid w:val="0037606D"/>
    <w:rsid w:val="00376588"/>
    <w:rsid w:val="0037724B"/>
    <w:rsid w:val="00380784"/>
    <w:rsid w:val="00380DDE"/>
    <w:rsid w:val="003810A2"/>
    <w:rsid w:val="00382849"/>
    <w:rsid w:val="00383447"/>
    <w:rsid w:val="00383ABF"/>
    <w:rsid w:val="003844F5"/>
    <w:rsid w:val="0038500C"/>
    <w:rsid w:val="00385143"/>
    <w:rsid w:val="003857B0"/>
    <w:rsid w:val="00385FA6"/>
    <w:rsid w:val="00386A1C"/>
    <w:rsid w:val="00386FC7"/>
    <w:rsid w:val="00391CCC"/>
    <w:rsid w:val="003929C7"/>
    <w:rsid w:val="00392AE0"/>
    <w:rsid w:val="00394883"/>
    <w:rsid w:val="00394B66"/>
    <w:rsid w:val="00394C52"/>
    <w:rsid w:val="00394E3B"/>
    <w:rsid w:val="003955DD"/>
    <w:rsid w:val="00396ED9"/>
    <w:rsid w:val="003A1343"/>
    <w:rsid w:val="003A3073"/>
    <w:rsid w:val="003A3384"/>
    <w:rsid w:val="003A33C4"/>
    <w:rsid w:val="003A47D7"/>
    <w:rsid w:val="003A4937"/>
    <w:rsid w:val="003A4C39"/>
    <w:rsid w:val="003A4D14"/>
    <w:rsid w:val="003A5C9F"/>
    <w:rsid w:val="003A6ABA"/>
    <w:rsid w:val="003A6D03"/>
    <w:rsid w:val="003A7244"/>
    <w:rsid w:val="003A7451"/>
    <w:rsid w:val="003A7ECB"/>
    <w:rsid w:val="003B0D1E"/>
    <w:rsid w:val="003B2882"/>
    <w:rsid w:val="003B2E05"/>
    <w:rsid w:val="003B3155"/>
    <w:rsid w:val="003B32AD"/>
    <w:rsid w:val="003B3DE6"/>
    <w:rsid w:val="003B570D"/>
    <w:rsid w:val="003B5C45"/>
    <w:rsid w:val="003B6012"/>
    <w:rsid w:val="003C036C"/>
    <w:rsid w:val="003C0CD6"/>
    <w:rsid w:val="003C0F8A"/>
    <w:rsid w:val="003C1053"/>
    <w:rsid w:val="003C1811"/>
    <w:rsid w:val="003C2FFF"/>
    <w:rsid w:val="003C4016"/>
    <w:rsid w:val="003D057A"/>
    <w:rsid w:val="003D092E"/>
    <w:rsid w:val="003D1896"/>
    <w:rsid w:val="003D1FC6"/>
    <w:rsid w:val="003D2B0B"/>
    <w:rsid w:val="003D317D"/>
    <w:rsid w:val="003D43E9"/>
    <w:rsid w:val="003D47D8"/>
    <w:rsid w:val="003D512C"/>
    <w:rsid w:val="003D5506"/>
    <w:rsid w:val="003D5E78"/>
    <w:rsid w:val="003D6217"/>
    <w:rsid w:val="003D6BCE"/>
    <w:rsid w:val="003E1758"/>
    <w:rsid w:val="003E2105"/>
    <w:rsid w:val="003E243A"/>
    <w:rsid w:val="003E2810"/>
    <w:rsid w:val="003E2AD5"/>
    <w:rsid w:val="003E33E1"/>
    <w:rsid w:val="003E3CF5"/>
    <w:rsid w:val="003E3DB4"/>
    <w:rsid w:val="003E56BA"/>
    <w:rsid w:val="003E6168"/>
    <w:rsid w:val="003E625A"/>
    <w:rsid w:val="003E7ED2"/>
    <w:rsid w:val="003F2490"/>
    <w:rsid w:val="003F3AFF"/>
    <w:rsid w:val="003F4F76"/>
    <w:rsid w:val="003F5CAE"/>
    <w:rsid w:val="003F63ED"/>
    <w:rsid w:val="003F79FD"/>
    <w:rsid w:val="003F7B95"/>
    <w:rsid w:val="00401190"/>
    <w:rsid w:val="00402061"/>
    <w:rsid w:val="004020D4"/>
    <w:rsid w:val="004029ED"/>
    <w:rsid w:val="00402B8B"/>
    <w:rsid w:val="00402EB9"/>
    <w:rsid w:val="0040342F"/>
    <w:rsid w:val="00404822"/>
    <w:rsid w:val="00405457"/>
    <w:rsid w:val="00405F4B"/>
    <w:rsid w:val="004071DE"/>
    <w:rsid w:val="0041045E"/>
    <w:rsid w:val="00411767"/>
    <w:rsid w:val="004167B0"/>
    <w:rsid w:val="00420F48"/>
    <w:rsid w:val="00421102"/>
    <w:rsid w:val="0042172F"/>
    <w:rsid w:val="004217B7"/>
    <w:rsid w:val="004232CF"/>
    <w:rsid w:val="004236A3"/>
    <w:rsid w:val="00423CD2"/>
    <w:rsid w:val="00424E2F"/>
    <w:rsid w:val="00425875"/>
    <w:rsid w:val="0042741F"/>
    <w:rsid w:val="00427760"/>
    <w:rsid w:val="004316D2"/>
    <w:rsid w:val="00431906"/>
    <w:rsid w:val="00433719"/>
    <w:rsid w:val="004337B9"/>
    <w:rsid w:val="00433CE3"/>
    <w:rsid w:val="00433F96"/>
    <w:rsid w:val="004350B8"/>
    <w:rsid w:val="00440606"/>
    <w:rsid w:val="0044120C"/>
    <w:rsid w:val="0044156B"/>
    <w:rsid w:val="00446504"/>
    <w:rsid w:val="00447BC6"/>
    <w:rsid w:val="00450F7C"/>
    <w:rsid w:val="00452383"/>
    <w:rsid w:val="00452B99"/>
    <w:rsid w:val="00455207"/>
    <w:rsid w:val="004555FB"/>
    <w:rsid w:val="00456005"/>
    <w:rsid w:val="004563A1"/>
    <w:rsid w:val="0045730D"/>
    <w:rsid w:val="00457D64"/>
    <w:rsid w:val="00460689"/>
    <w:rsid w:val="004609F7"/>
    <w:rsid w:val="004611CE"/>
    <w:rsid w:val="004612D1"/>
    <w:rsid w:val="0046179B"/>
    <w:rsid w:val="00461D04"/>
    <w:rsid w:val="00461F58"/>
    <w:rsid w:val="00461FB0"/>
    <w:rsid w:val="00461FCC"/>
    <w:rsid w:val="0046259B"/>
    <w:rsid w:val="00463D25"/>
    <w:rsid w:val="00465A92"/>
    <w:rsid w:val="00466389"/>
    <w:rsid w:val="00466EAF"/>
    <w:rsid w:val="00470445"/>
    <w:rsid w:val="004713B5"/>
    <w:rsid w:val="0047378F"/>
    <w:rsid w:val="00474343"/>
    <w:rsid w:val="00475131"/>
    <w:rsid w:val="00476089"/>
    <w:rsid w:val="00476762"/>
    <w:rsid w:val="00477A84"/>
    <w:rsid w:val="00477F42"/>
    <w:rsid w:val="0048043D"/>
    <w:rsid w:val="00480C0F"/>
    <w:rsid w:val="00480E84"/>
    <w:rsid w:val="0048208E"/>
    <w:rsid w:val="0048257C"/>
    <w:rsid w:val="0048319A"/>
    <w:rsid w:val="00483907"/>
    <w:rsid w:val="00484088"/>
    <w:rsid w:val="00484450"/>
    <w:rsid w:val="004849DA"/>
    <w:rsid w:val="00484AAB"/>
    <w:rsid w:val="004858F1"/>
    <w:rsid w:val="00486537"/>
    <w:rsid w:val="004868C0"/>
    <w:rsid w:val="00487E95"/>
    <w:rsid w:val="004907F3"/>
    <w:rsid w:val="004926A2"/>
    <w:rsid w:val="0049274A"/>
    <w:rsid w:val="00494C22"/>
    <w:rsid w:val="004962F4"/>
    <w:rsid w:val="00496FDD"/>
    <w:rsid w:val="00497EC2"/>
    <w:rsid w:val="004A0C69"/>
    <w:rsid w:val="004A2C25"/>
    <w:rsid w:val="004A2F9E"/>
    <w:rsid w:val="004A3318"/>
    <w:rsid w:val="004A36A2"/>
    <w:rsid w:val="004A3E79"/>
    <w:rsid w:val="004A4FBB"/>
    <w:rsid w:val="004A67A7"/>
    <w:rsid w:val="004A7513"/>
    <w:rsid w:val="004A7995"/>
    <w:rsid w:val="004B00B5"/>
    <w:rsid w:val="004B0197"/>
    <w:rsid w:val="004B056D"/>
    <w:rsid w:val="004B1395"/>
    <w:rsid w:val="004B1418"/>
    <w:rsid w:val="004B23FC"/>
    <w:rsid w:val="004B35DD"/>
    <w:rsid w:val="004B418F"/>
    <w:rsid w:val="004B533A"/>
    <w:rsid w:val="004B5937"/>
    <w:rsid w:val="004B73A5"/>
    <w:rsid w:val="004C02E8"/>
    <w:rsid w:val="004C0521"/>
    <w:rsid w:val="004C16E0"/>
    <w:rsid w:val="004C24AF"/>
    <w:rsid w:val="004C263C"/>
    <w:rsid w:val="004C32A4"/>
    <w:rsid w:val="004C33C9"/>
    <w:rsid w:val="004C3647"/>
    <w:rsid w:val="004C57E4"/>
    <w:rsid w:val="004C5984"/>
    <w:rsid w:val="004C5B68"/>
    <w:rsid w:val="004C5D8C"/>
    <w:rsid w:val="004C60D4"/>
    <w:rsid w:val="004C6D18"/>
    <w:rsid w:val="004C6F6E"/>
    <w:rsid w:val="004C77BC"/>
    <w:rsid w:val="004D0325"/>
    <w:rsid w:val="004D0AB8"/>
    <w:rsid w:val="004D3B5F"/>
    <w:rsid w:val="004D4531"/>
    <w:rsid w:val="004D751F"/>
    <w:rsid w:val="004D7B9E"/>
    <w:rsid w:val="004E1C33"/>
    <w:rsid w:val="004E4784"/>
    <w:rsid w:val="004E4CB0"/>
    <w:rsid w:val="004E5F52"/>
    <w:rsid w:val="004E605B"/>
    <w:rsid w:val="004E609D"/>
    <w:rsid w:val="004E6B3B"/>
    <w:rsid w:val="004E767F"/>
    <w:rsid w:val="004E774F"/>
    <w:rsid w:val="004E7AF6"/>
    <w:rsid w:val="004F0509"/>
    <w:rsid w:val="004F0D55"/>
    <w:rsid w:val="004F0FA3"/>
    <w:rsid w:val="004F14A0"/>
    <w:rsid w:val="004F2D08"/>
    <w:rsid w:val="004F2E66"/>
    <w:rsid w:val="004F34C1"/>
    <w:rsid w:val="004F34CC"/>
    <w:rsid w:val="004F3872"/>
    <w:rsid w:val="004F38F5"/>
    <w:rsid w:val="004F4A76"/>
    <w:rsid w:val="004F5D6A"/>
    <w:rsid w:val="004F6C93"/>
    <w:rsid w:val="004F720D"/>
    <w:rsid w:val="004F7BA1"/>
    <w:rsid w:val="005005BC"/>
    <w:rsid w:val="00500D3E"/>
    <w:rsid w:val="00503632"/>
    <w:rsid w:val="0050494B"/>
    <w:rsid w:val="00504FFB"/>
    <w:rsid w:val="005052FB"/>
    <w:rsid w:val="0050583E"/>
    <w:rsid w:val="0050613A"/>
    <w:rsid w:val="00507755"/>
    <w:rsid w:val="00511187"/>
    <w:rsid w:val="005112F0"/>
    <w:rsid w:val="005116D7"/>
    <w:rsid w:val="00513DBD"/>
    <w:rsid w:val="00513F21"/>
    <w:rsid w:val="00514437"/>
    <w:rsid w:val="00514CB4"/>
    <w:rsid w:val="00514F8D"/>
    <w:rsid w:val="00515265"/>
    <w:rsid w:val="005156D7"/>
    <w:rsid w:val="0051589C"/>
    <w:rsid w:val="005202DE"/>
    <w:rsid w:val="00520434"/>
    <w:rsid w:val="00520AE8"/>
    <w:rsid w:val="00520B29"/>
    <w:rsid w:val="005224E4"/>
    <w:rsid w:val="00522A74"/>
    <w:rsid w:val="00523212"/>
    <w:rsid w:val="00523DD6"/>
    <w:rsid w:val="00530B45"/>
    <w:rsid w:val="00530B5B"/>
    <w:rsid w:val="00531530"/>
    <w:rsid w:val="00531ACD"/>
    <w:rsid w:val="00532963"/>
    <w:rsid w:val="00532AC8"/>
    <w:rsid w:val="005373B1"/>
    <w:rsid w:val="00537E8D"/>
    <w:rsid w:val="005408B0"/>
    <w:rsid w:val="00543153"/>
    <w:rsid w:val="00543B27"/>
    <w:rsid w:val="00545577"/>
    <w:rsid w:val="00545B23"/>
    <w:rsid w:val="0054693F"/>
    <w:rsid w:val="005477B5"/>
    <w:rsid w:val="00547DC9"/>
    <w:rsid w:val="005502D7"/>
    <w:rsid w:val="00552C32"/>
    <w:rsid w:val="00553376"/>
    <w:rsid w:val="00556B03"/>
    <w:rsid w:val="00557C23"/>
    <w:rsid w:val="00557CD8"/>
    <w:rsid w:val="00560902"/>
    <w:rsid w:val="00560AE9"/>
    <w:rsid w:val="00561108"/>
    <w:rsid w:val="0056197E"/>
    <w:rsid w:val="005656B9"/>
    <w:rsid w:val="0056595B"/>
    <w:rsid w:val="00565A82"/>
    <w:rsid w:val="00565BE2"/>
    <w:rsid w:val="0056613F"/>
    <w:rsid w:val="0056660E"/>
    <w:rsid w:val="00566A24"/>
    <w:rsid w:val="00566CE2"/>
    <w:rsid w:val="005679AC"/>
    <w:rsid w:val="00571011"/>
    <w:rsid w:val="005711A3"/>
    <w:rsid w:val="00572FFB"/>
    <w:rsid w:val="00573BCA"/>
    <w:rsid w:val="0057487B"/>
    <w:rsid w:val="00575A9C"/>
    <w:rsid w:val="00576DB2"/>
    <w:rsid w:val="00577122"/>
    <w:rsid w:val="00577CF4"/>
    <w:rsid w:val="00582DDD"/>
    <w:rsid w:val="00582E06"/>
    <w:rsid w:val="0058300E"/>
    <w:rsid w:val="00583186"/>
    <w:rsid w:val="005831DD"/>
    <w:rsid w:val="005854F3"/>
    <w:rsid w:val="00585664"/>
    <w:rsid w:val="00586C4B"/>
    <w:rsid w:val="005878B4"/>
    <w:rsid w:val="005903C7"/>
    <w:rsid w:val="00590907"/>
    <w:rsid w:val="00594284"/>
    <w:rsid w:val="005A1D8F"/>
    <w:rsid w:val="005A3461"/>
    <w:rsid w:val="005A3A16"/>
    <w:rsid w:val="005A3B26"/>
    <w:rsid w:val="005A4159"/>
    <w:rsid w:val="005A4E28"/>
    <w:rsid w:val="005A634D"/>
    <w:rsid w:val="005A7047"/>
    <w:rsid w:val="005A7CAD"/>
    <w:rsid w:val="005B0812"/>
    <w:rsid w:val="005B1F9C"/>
    <w:rsid w:val="005B355B"/>
    <w:rsid w:val="005B5871"/>
    <w:rsid w:val="005B58A3"/>
    <w:rsid w:val="005B6268"/>
    <w:rsid w:val="005B6D8D"/>
    <w:rsid w:val="005B73CF"/>
    <w:rsid w:val="005B7793"/>
    <w:rsid w:val="005C24DB"/>
    <w:rsid w:val="005C4244"/>
    <w:rsid w:val="005C5C06"/>
    <w:rsid w:val="005C61CE"/>
    <w:rsid w:val="005D044D"/>
    <w:rsid w:val="005D2618"/>
    <w:rsid w:val="005D416D"/>
    <w:rsid w:val="005D4C2B"/>
    <w:rsid w:val="005D60E8"/>
    <w:rsid w:val="005D6459"/>
    <w:rsid w:val="005D691A"/>
    <w:rsid w:val="005D759D"/>
    <w:rsid w:val="005E0824"/>
    <w:rsid w:val="005E184F"/>
    <w:rsid w:val="005E2AAE"/>
    <w:rsid w:val="005E42E3"/>
    <w:rsid w:val="005E483C"/>
    <w:rsid w:val="005E4A3E"/>
    <w:rsid w:val="005E4D3A"/>
    <w:rsid w:val="005E58A4"/>
    <w:rsid w:val="005E697A"/>
    <w:rsid w:val="005E7C46"/>
    <w:rsid w:val="005E7E14"/>
    <w:rsid w:val="005F00AF"/>
    <w:rsid w:val="005F1420"/>
    <w:rsid w:val="005F4C79"/>
    <w:rsid w:val="005F4D24"/>
    <w:rsid w:val="005F4E1C"/>
    <w:rsid w:val="005F5CD6"/>
    <w:rsid w:val="005F6173"/>
    <w:rsid w:val="005F6466"/>
    <w:rsid w:val="005F6968"/>
    <w:rsid w:val="005F6996"/>
    <w:rsid w:val="005F6A50"/>
    <w:rsid w:val="005F7378"/>
    <w:rsid w:val="00600EC7"/>
    <w:rsid w:val="0060446E"/>
    <w:rsid w:val="006061B4"/>
    <w:rsid w:val="00610F00"/>
    <w:rsid w:val="00611E19"/>
    <w:rsid w:val="00612723"/>
    <w:rsid w:val="006141D6"/>
    <w:rsid w:val="0061451A"/>
    <w:rsid w:val="00614B34"/>
    <w:rsid w:val="00615B0E"/>
    <w:rsid w:val="006165F5"/>
    <w:rsid w:val="0061688B"/>
    <w:rsid w:val="006201AE"/>
    <w:rsid w:val="00622A17"/>
    <w:rsid w:val="00623014"/>
    <w:rsid w:val="006241BE"/>
    <w:rsid w:val="00627A2F"/>
    <w:rsid w:val="00630036"/>
    <w:rsid w:val="00630C40"/>
    <w:rsid w:val="00631081"/>
    <w:rsid w:val="00631960"/>
    <w:rsid w:val="0063274E"/>
    <w:rsid w:val="006339B7"/>
    <w:rsid w:val="006348F2"/>
    <w:rsid w:val="0063554E"/>
    <w:rsid w:val="006357B0"/>
    <w:rsid w:val="00636C06"/>
    <w:rsid w:val="006415C2"/>
    <w:rsid w:val="00642D73"/>
    <w:rsid w:val="00642F85"/>
    <w:rsid w:val="006435C0"/>
    <w:rsid w:val="00643661"/>
    <w:rsid w:val="00645276"/>
    <w:rsid w:val="006463F4"/>
    <w:rsid w:val="00647BAE"/>
    <w:rsid w:val="006507BF"/>
    <w:rsid w:val="006602B9"/>
    <w:rsid w:val="00660439"/>
    <w:rsid w:val="006613CD"/>
    <w:rsid w:val="00661729"/>
    <w:rsid w:val="0066350A"/>
    <w:rsid w:val="00664AEB"/>
    <w:rsid w:val="00664CC6"/>
    <w:rsid w:val="00664F86"/>
    <w:rsid w:val="00665B75"/>
    <w:rsid w:val="00665C42"/>
    <w:rsid w:val="0066735C"/>
    <w:rsid w:val="00667624"/>
    <w:rsid w:val="00670360"/>
    <w:rsid w:val="006715F2"/>
    <w:rsid w:val="0067196D"/>
    <w:rsid w:val="006720C3"/>
    <w:rsid w:val="0067311A"/>
    <w:rsid w:val="00673AB6"/>
    <w:rsid w:val="00674375"/>
    <w:rsid w:val="00676603"/>
    <w:rsid w:val="00676D98"/>
    <w:rsid w:val="006770B7"/>
    <w:rsid w:val="00677A94"/>
    <w:rsid w:val="00680E3F"/>
    <w:rsid w:val="006811F7"/>
    <w:rsid w:val="00681E81"/>
    <w:rsid w:val="00682AF4"/>
    <w:rsid w:val="00682D65"/>
    <w:rsid w:val="00683980"/>
    <w:rsid w:val="00683D35"/>
    <w:rsid w:val="00683EAD"/>
    <w:rsid w:val="0068486E"/>
    <w:rsid w:val="00684AC7"/>
    <w:rsid w:val="00684E33"/>
    <w:rsid w:val="00685E70"/>
    <w:rsid w:val="00685E78"/>
    <w:rsid w:val="00685F10"/>
    <w:rsid w:val="00687709"/>
    <w:rsid w:val="00687B66"/>
    <w:rsid w:val="00690D8D"/>
    <w:rsid w:val="00691F5D"/>
    <w:rsid w:val="0069277D"/>
    <w:rsid w:val="00693E1D"/>
    <w:rsid w:val="00694064"/>
    <w:rsid w:val="006940AE"/>
    <w:rsid w:val="0069446F"/>
    <w:rsid w:val="00694729"/>
    <w:rsid w:val="00695D93"/>
    <w:rsid w:val="00695F5B"/>
    <w:rsid w:val="00696424"/>
    <w:rsid w:val="0069677C"/>
    <w:rsid w:val="00696F3A"/>
    <w:rsid w:val="00697DEE"/>
    <w:rsid w:val="006A03A5"/>
    <w:rsid w:val="006A074C"/>
    <w:rsid w:val="006A0C8C"/>
    <w:rsid w:val="006A257E"/>
    <w:rsid w:val="006A2EB1"/>
    <w:rsid w:val="006A2F65"/>
    <w:rsid w:val="006A3E21"/>
    <w:rsid w:val="006A4FB9"/>
    <w:rsid w:val="006A501E"/>
    <w:rsid w:val="006A524A"/>
    <w:rsid w:val="006A5BE6"/>
    <w:rsid w:val="006A5BFA"/>
    <w:rsid w:val="006A6F5E"/>
    <w:rsid w:val="006A7C6B"/>
    <w:rsid w:val="006B0F18"/>
    <w:rsid w:val="006B289F"/>
    <w:rsid w:val="006B2A9E"/>
    <w:rsid w:val="006B4E5F"/>
    <w:rsid w:val="006B532E"/>
    <w:rsid w:val="006B6916"/>
    <w:rsid w:val="006B6992"/>
    <w:rsid w:val="006B6BD2"/>
    <w:rsid w:val="006C1309"/>
    <w:rsid w:val="006C18AC"/>
    <w:rsid w:val="006C18D5"/>
    <w:rsid w:val="006C2077"/>
    <w:rsid w:val="006C2D35"/>
    <w:rsid w:val="006C43EE"/>
    <w:rsid w:val="006C48F6"/>
    <w:rsid w:val="006C58EB"/>
    <w:rsid w:val="006C5C3E"/>
    <w:rsid w:val="006C656D"/>
    <w:rsid w:val="006D0666"/>
    <w:rsid w:val="006D0C4B"/>
    <w:rsid w:val="006D135B"/>
    <w:rsid w:val="006D23A7"/>
    <w:rsid w:val="006D27CC"/>
    <w:rsid w:val="006D3AB5"/>
    <w:rsid w:val="006D7BC1"/>
    <w:rsid w:val="006E069C"/>
    <w:rsid w:val="006E2957"/>
    <w:rsid w:val="006E3A85"/>
    <w:rsid w:val="006E3B9C"/>
    <w:rsid w:val="006E4C63"/>
    <w:rsid w:val="006E5354"/>
    <w:rsid w:val="006E583F"/>
    <w:rsid w:val="006E5B39"/>
    <w:rsid w:val="006E5BA2"/>
    <w:rsid w:val="006E621B"/>
    <w:rsid w:val="006E79E8"/>
    <w:rsid w:val="006F1D6F"/>
    <w:rsid w:val="006F2261"/>
    <w:rsid w:val="006F32C0"/>
    <w:rsid w:val="006F32D4"/>
    <w:rsid w:val="006F43FB"/>
    <w:rsid w:val="006F4565"/>
    <w:rsid w:val="006F4A52"/>
    <w:rsid w:val="006F4AD5"/>
    <w:rsid w:val="006F67D3"/>
    <w:rsid w:val="006F68B5"/>
    <w:rsid w:val="006F701F"/>
    <w:rsid w:val="007027E8"/>
    <w:rsid w:val="00703BBF"/>
    <w:rsid w:val="00704130"/>
    <w:rsid w:val="0070582A"/>
    <w:rsid w:val="0070694D"/>
    <w:rsid w:val="0070748E"/>
    <w:rsid w:val="00710A04"/>
    <w:rsid w:val="0071126D"/>
    <w:rsid w:val="00711787"/>
    <w:rsid w:val="007139B9"/>
    <w:rsid w:val="00713E16"/>
    <w:rsid w:val="00713E87"/>
    <w:rsid w:val="00714E99"/>
    <w:rsid w:val="00714E9A"/>
    <w:rsid w:val="007155DB"/>
    <w:rsid w:val="007173E3"/>
    <w:rsid w:val="00720391"/>
    <w:rsid w:val="007203ED"/>
    <w:rsid w:val="007205F3"/>
    <w:rsid w:val="00720CBD"/>
    <w:rsid w:val="00720CCA"/>
    <w:rsid w:val="007237AA"/>
    <w:rsid w:val="00723CCA"/>
    <w:rsid w:val="00723DCB"/>
    <w:rsid w:val="007245BA"/>
    <w:rsid w:val="00724ABE"/>
    <w:rsid w:val="00724FB9"/>
    <w:rsid w:val="0072570A"/>
    <w:rsid w:val="007259BA"/>
    <w:rsid w:val="00726990"/>
    <w:rsid w:val="00726A48"/>
    <w:rsid w:val="0072767B"/>
    <w:rsid w:val="00730C98"/>
    <w:rsid w:val="007311C6"/>
    <w:rsid w:val="007329DF"/>
    <w:rsid w:val="00732D05"/>
    <w:rsid w:val="007338C6"/>
    <w:rsid w:val="007342BC"/>
    <w:rsid w:val="00734546"/>
    <w:rsid w:val="00734C30"/>
    <w:rsid w:val="007353A3"/>
    <w:rsid w:val="00735B6E"/>
    <w:rsid w:val="007366E8"/>
    <w:rsid w:val="007406FC"/>
    <w:rsid w:val="0074162C"/>
    <w:rsid w:val="007419C6"/>
    <w:rsid w:val="00742348"/>
    <w:rsid w:val="007447E8"/>
    <w:rsid w:val="00745908"/>
    <w:rsid w:val="00745D1F"/>
    <w:rsid w:val="00746007"/>
    <w:rsid w:val="00746343"/>
    <w:rsid w:val="00746657"/>
    <w:rsid w:val="00747F63"/>
    <w:rsid w:val="007506FB"/>
    <w:rsid w:val="00752C5B"/>
    <w:rsid w:val="00752F06"/>
    <w:rsid w:val="007532E0"/>
    <w:rsid w:val="007533E9"/>
    <w:rsid w:val="007534E0"/>
    <w:rsid w:val="0075378F"/>
    <w:rsid w:val="00760199"/>
    <w:rsid w:val="0076079C"/>
    <w:rsid w:val="00760B3F"/>
    <w:rsid w:val="0076127F"/>
    <w:rsid w:val="00761346"/>
    <w:rsid w:val="007620E8"/>
    <w:rsid w:val="00762737"/>
    <w:rsid w:val="00762B1C"/>
    <w:rsid w:val="00762E2A"/>
    <w:rsid w:val="00764639"/>
    <w:rsid w:val="00764BFE"/>
    <w:rsid w:val="0076597E"/>
    <w:rsid w:val="00765D71"/>
    <w:rsid w:val="007705D4"/>
    <w:rsid w:val="00771705"/>
    <w:rsid w:val="00773438"/>
    <w:rsid w:val="007737C5"/>
    <w:rsid w:val="00774FA9"/>
    <w:rsid w:val="00775055"/>
    <w:rsid w:val="00775E04"/>
    <w:rsid w:val="007773BD"/>
    <w:rsid w:val="00780846"/>
    <w:rsid w:val="007816BF"/>
    <w:rsid w:val="00783405"/>
    <w:rsid w:val="00783596"/>
    <w:rsid w:val="0078366B"/>
    <w:rsid w:val="00783704"/>
    <w:rsid w:val="00784CA0"/>
    <w:rsid w:val="00785282"/>
    <w:rsid w:val="0078633A"/>
    <w:rsid w:val="00787C4A"/>
    <w:rsid w:val="00787D18"/>
    <w:rsid w:val="00787F4D"/>
    <w:rsid w:val="00787F5D"/>
    <w:rsid w:val="00787FAA"/>
    <w:rsid w:val="0079023D"/>
    <w:rsid w:val="0079110F"/>
    <w:rsid w:val="00791A92"/>
    <w:rsid w:val="007928FC"/>
    <w:rsid w:val="007931EF"/>
    <w:rsid w:val="007958DE"/>
    <w:rsid w:val="00795A09"/>
    <w:rsid w:val="00797C66"/>
    <w:rsid w:val="007A019D"/>
    <w:rsid w:val="007A2317"/>
    <w:rsid w:val="007A258C"/>
    <w:rsid w:val="007A4451"/>
    <w:rsid w:val="007A4C34"/>
    <w:rsid w:val="007A4F85"/>
    <w:rsid w:val="007A53AA"/>
    <w:rsid w:val="007A5826"/>
    <w:rsid w:val="007A6BF0"/>
    <w:rsid w:val="007A6E77"/>
    <w:rsid w:val="007A7752"/>
    <w:rsid w:val="007B0C38"/>
    <w:rsid w:val="007B245B"/>
    <w:rsid w:val="007B41EB"/>
    <w:rsid w:val="007B433A"/>
    <w:rsid w:val="007B4814"/>
    <w:rsid w:val="007B4ADA"/>
    <w:rsid w:val="007B4FE9"/>
    <w:rsid w:val="007B5B63"/>
    <w:rsid w:val="007B6212"/>
    <w:rsid w:val="007B6276"/>
    <w:rsid w:val="007B6538"/>
    <w:rsid w:val="007B7B4C"/>
    <w:rsid w:val="007C3F77"/>
    <w:rsid w:val="007C41C7"/>
    <w:rsid w:val="007C5B72"/>
    <w:rsid w:val="007C7790"/>
    <w:rsid w:val="007D05E1"/>
    <w:rsid w:val="007D0AB4"/>
    <w:rsid w:val="007D0E11"/>
    <w:rsid w:val="007D124C"/>
    <w:rsid w:val="007D152E"/>
    <w:rsid w:val="007D1A78"/>
    <w:rsid w:val="007D1DD5"/>
    <w:rsid w:val="007D214A"/>
    <w:rsid w:val="007D2FBB"/>
    <w:rsid w:val="007D3129"/>
    <w:rsid w:val="007D62CE"/>
    <w:rsid w:val="007D662F"/>
    <w:rsid w:val="007D7C95"/>
    <w:rsid w:val="007E0CA7"/>
    <w:rsid w:val="007E1361"/>
    <w:rsid w:val="007E1D45"/>
    <w:rsid w:val="007E273A"/>
    <w:rsid w:val="007E2E08"/>
    <w:rsid w:val="007E3C7F"/>
    <w:rsid w:val="007E43F0"/>
    <w:rsid w:val="007E594B"/>
    <w:rsid w:val="007E6755"/>
    <w:rsid w:val="007E782E"/>
    <w:rsid w:val="007E7DA0"/>
    <w:rsid w:val="007F11AD"/>
    <w:rsid w:val="007F2550"/>
    <w:rsid w:val="007F27D8"/>
    <w:rsid w:val="007F2938"/>
    <w:rsid w:val="007F45CE"/>
    <w:rsid w:val="007F50F0"/>
    <w:rsid w:val="007F7C25"/>
    <w:rsid w:val="008002FF"/>
    <w:rsid w:val="0080074E"/>
    <w:rsid w:val="0080164B"/>
    <w:rsid w:val="008016B2"/>
    <w:rsid w:val="008019A5"/>
    <w:rsid w:val="00805B08"/>
    <w:rsid w:val="00807A92"/>
    <w:rsid w:val="008108DD"/>
    <w:rsid w:val="0081357D"/>
    <w:rsid w:val="0081372C"/>
    <w:rsid w:val="0081435F"/>
    <w:rsid w:val="00814636"/>
    <w:rsid w:val="008152E9"/>
    <w:rsid w:val="008167AF"/>
    <w:rsid w:val="00816EA8"/>
    <w:rsid w:val="0081770B"/>
    <w:rsid w:val="008177AC"/>
    <w:rsid w:val="00820919"/>
    <w:rsid w:val="0082140E"/>
    <w:rsid w:val="008216DB"/>
    <w:rsid w:val="00821829"/>
    <w:rsid w:val="0082212A"/>
    <w:rsid w:val="00822574"/>
    <w:rsid w:val="008229FD"/>
    <w:rsid w:val="00822D11"/>
    <w:rsid w:val="00823092"/>
    <w:rsid w:val="00824135"/>
    <w:rsid w:val="0082417D"/>
    <w:rsid w:val="00824301"/>
    <w:rsid w:val="00824ED2"/>
    <w:rsid w:val="00824F1B"/>
    <w:rsid w:val="00825973"/>
    <w:rsid w:val="0083025A"/>
    <w:rsid w:val="00831B65"/>
    <w:rsid w:val="00832004"/>
    <w:rsid w:val="00832F7A"/>
    <w:rsid w:val="008340EF"/>
    <w:rsid w:val="008353DB"/>
    <w:rsid w:val="00835755"/>
    <w:rsid w:val="00835E33"/>
    <w:rsid w:val="008366D5"/>
    <w:rsid w:val="0083742A"/>
    <w:rsid w:val="00840979"/>
    <w:rsid w:val="00840C8F"/>
    <w:rsid w:val="008414EC"/>
    <w:rsid w:val="0084275D"/>
    <w:rsid w:val="00843B5B"/>
    <w:rsid w:val="00843CEA"/>
    <w:rsid w:val="00843DDC"/>
    <w:rsid w:val="008464AC"/>
    <w:rsid w:val="008472B0"/>
    <w:rsid w:val="00847684"/>
    <w:rsid w:val="00850219"/>
    <w:rsid w:val="00850438"/>
    <w:rsid w:val="0085138B"/>
    <w:rsid w:val="00852B6E"/>
    <w:rsid w:val="0085320B"/>
    <w:rsid w:val="00854CE4"/>
    <w:rsid w:val="008568B3"/>
    <w:rsid w:val="008569F7"/>
    <w:rsid w:val="008606E4"/>
    <w:rsid w:val="00860B3B"/>
    <w:rsid w:val="00861209"/>
    <w:rsid w:val="00861D00"/>
    <w:rsid w:val="00864466"/>
    <w:rsid w:val="008655E9"/>
    <w:rsid w:val="00866167"/>
    <w:rsid w:val="00866204"/>
    <w:rsid w:val="008667CA"/>
    <w:rsid w:val="0086709E"/>
    <w:rsid w:val="0086731C"/>
    <w:rsid w:val="008674B1"/>
    <w:rsid w:val="008679DE"/>
    <w:rsid w:val="00870459"/>
    <w:rsid w:val="0087217E"/>
    <w:rsid w:val="00873485"/>
    <w:rsid w:val="00873B11"/>
    <w:rsid w:val="00873E46"/>
    <w:rsid w:val="008746FF"/>
    <w:rsid w:val="00875859"/>
    <w:rsid w:val="00876614"/>
    <w:rsid w:val="008768F2"/>
    <w:rsid w:val="0088099F"/>
    <w:rsid w:val="00881F37"/>
    <w:rsid w:val="008822DF"/>
    <w:rsid w:val="00883083"/>
    <w:rsid w:val="008834D9"/>
    <w:rsid w:val="00884105"/>
    <w:rsid w:val="00884206"/>
    <w:rsid w:val="00884494"/>
    <w:rsid w:val="008846BA"/>
    <w:rsid w:val="008853EC"/>
    <w:rsid w:val="0088549A"/>
    <w:rsid w:val="008872F0"/>
    <w:rsid w:val="00890631"/>
    <w:rsid w:val="008907C6"/>
    <w:rsid w:val="0089143E"/>
    <w:rsid w:val="00892EBD"/>
    <w:rsid w:val="00893AF8"/>
    <w:rsid w:val="00893BAB"/>
    <w:rsid w:val="00895177"/>
    <w:rsid w:val="00896C6C"/>
    <w:rsid w:val="008A00F3"/>
    <w:rsid w:val="008A184E"/>
    <w:rsid w:val="008A18E5"/>
    <w:rsid w:val="008A1DB4"/>
    <w:rsid w:val="008A30E4"/>
    <w:rsid w:val="008A30ED"/>
    <w:rsid w:val="008A4227"/>
    <w:rsid w:val="008A45C7"/>
    <w:rsid w:val="008A4C87"/>
    <w:rsid w:val="008A4CE0"/>
    <w:rsid w:val="008A501F"/>
    <w:rsid w:val="008A5271"/>
    <w:rsid w:val="008A5E7B"/>
    <w:rsid w:val="008A6CF6"/>
    <w:rsid w:val="008A7CB6"/>
    <w:rsid w:val="008B0A04"/>
    <w:rsid w:val="008B177D"/>
    <w:rsid w:val="008B30F5"/>
    <w:rsid w:val="008B38FF"/>
    <w:rsid w:val="008B4331"/>
    <w:rsid w:val="008B43A7"/>
    <w:rsid w:val="008B533C"/>
    <w:rsid w:val="008B6EFC"/>
    <w:rsid w:val="008B745D"/>
    <w:rsid w:val="008C03DD"/>
    <w:rsid w:val="008C12CB"/>
    <w:rsid w:val="008C148D"/>
    <w:rsid w:val="008C2012"/>
    <w:rsid w:val="008C32F6"/>
    <w:rsid w:val="008C5956"/>
    <w:rsid w:val="008C5B81"/>
    <w:rsid w:val="008C60CB"/>
    <w:rsid w:val="008C71D1"/>
    <w:rsid w:val="008C7963"/>
    <w:rsid w:val="008D43F7"/>
    <w:rsid w:val="008D44E0"/>
    <w:rsid w:val="008D5716"/>
    <w:rsid w:val="008D5FBB"/>
    <w:rsid w:val="008D6809"/>
    <w:rsid w:val="008D6DFB"/>
    <w:rsid w:val="008D6EC3"/>
    <w:rsid w:val="008D7149"/>
    <w:rsid w:val="008E0157"/>
    <w:rsid w:val="008E056E"/>
    <w:rsid w:val="008E0B19"/>
    <w:rsid w:val="008E0E3B"/>
    <w:rsid w:val="008E14ED"/>
    <w:rsid w:val="008E1ED1"/>
    <w:rsid w:val="008E2634"/>
    <w:rsid w:val="008E47AE"/>
    <w:rsid w:val="008E4BB2"/>
    <w:rsid w:val="008E578A"/>
    <w:rsid w:val="008E5805"/>
    <w:rsid w:val="008E6426"/>
    <w:rsid w:val="008E79EA"/>
    <w:rsid w:val="008E7A4D"/>
    <w:rsid w:val="008F0666"/>
    <w:rsid w:val="008F21B2"/>
    <w:rsid w:val="008F276C"/>
    <w:rsid w:val="008F36C6"/>
    <w:rsid w:val="008F40AF"/>
    <w:rsid w:val="008F4C3A"/>
    <w:rsid w:val="008F762D"/>
    <w:rsid w:val="00902781"/>
    <w:rsid w:val="009027BC"/>
    <w:rsid w:val="009047B6"/>
    <w:rsid w:val="0090483C"/>
    <w:rsid w:val="00905EE6"/>
    <w:rsid w:val="009079D2"/>
    <w:rsid w:val="00907EB1"/>
    <w:rsid w:val="00910964"/>
    <w:rsid w:val="0091185E"/>
    <w:rsid w:val="00912DA2"/>
    <w:rsid w:val="00914041"/>
    <w:rsid w:val="00914F61"/>
    <w:rsid w:val="00917074"/>
    <w:rsid w:val="009176AD"/>
    <w:rsid w:val="0092116C"/>
    <w:rsid w:val="00921413"/>
    <w:rsid w:val="009215C1"/>
    <w:rsid w:val="00922341"/>
    <w:rsid w:val="009226FD"/>
    <w:rsid w:val="00923825"/>
    <w:rsid w:val="00923EC9"/>
    <w:rsid w:val="009254D2"/>
    <w:rsid w:val="00925EDA"/>
    <w:rsid w:val="00926C39"/>
    <w:rsid w:val="00926D0C"/>
    <w:rsid w:val="009276C2"/>
    <w:rsid w:val="00927938"/>
    <w:rsid w:val="0093012A"/>
    <w:rsid w:val="00930708"/>
    <w:rsid w:val="00931736"/>
    <w:rsid w:val="0093224D"/>
    <w:rsid w:val="00932E6A"/>
    <w:rsid w:val="0093359A"/>
    <w:rsid w:val="0093389F"/>
    <w:rsid w:val="00933B00"/>
    <w:rsid w:val="00937043"/>
    <w:rsid w:val="0094133D"/>
    <w:rsid w:val="00941E2D"/>
    <w:rsid w:val="009421EE"/>
    <w:rsid w:val="00943E20"/>
    <w:rsid w:val="009443F4"/>
    <w:rsid w:val="00945434"/>
    <w:rsid w:val="009515C9"/>
    <w:rsid w:val="00952533"/>
    <w:rsid w:val="00954ABF"/>
    <w:rsid w:val="00955645"/>
    <w:rsid w:val="00956C5C"/>
    <w:rsid w:val="00957E85"/>
    <w:rsid w:val="00957EE2"/>
    <w:rsid w:val="00960766"/>
    <w:rsid w:val="00960D7C"/>
    <w:rsid w:val="00961A13"/>
    <w:rsid w:val="00964E91"/>
    <w:rsid w:val="00965D6E"/>
    <w:rsid w:val="0096602B"/>
    <w:rsid w:val="009677F0"/>
    <w:rsid w:val="009700FC"/>
    <w:rsid w:val="00970164"/>
    <w:rsid w:val="00970611"/>
    <w:rsid w:val="00971D21"/>
    <w:rsid w:val="00972C06"/>
    <w:rsid w:val="00973537"/>
    <w:rsid w:val="009754AC"/>
    <w:rsid w:val="0097567E"/>
    <w:rsid w:val="00975EFC"/>
    <w:rsid w:val="00980192"/>
    <w:rsid w:val="009811C5"/>
    <w:rsid w:val="009814E4"/>
    <w:rsid w:val="009815A3"/>
    <w:rsid w:val="00981F8D"/>
    <w:rsid w:val="00982F45"/>
    <w:rsid w:val="009836DC"/>
    <w:rsid w:val="0098392A"/>
    <w:rsid w:val="00983A06"/>
    <w:rsid w:val="00984494"/>
    <w:rsid w:val="00984D9C"/>
    <w:rsid w:val="00984F29"/>
    <w:rsid w:val="00987493"/>
    <w:rsid w:val="009912A7"/>
    <w:rsid w:val="0099131C"/>
    <w:rsid w:val="00993549"/>
    <w:rsid w:val="00993F6E"/>
    <w:rsid w:val="00995AFE"/>
    <w:rsid w:val="00996A95"/>
    <w:rsid w:val="009970C6"/>
    <w:rsid w:val="009A05EB"/>
    <w:rsid w:val="009A1620"/>
    <w:rsid w:val="009A2194"/>
    <w:rsid w:val="009A34C3"/>
    <w:rsid w:val="009A34C7"/>
    <w:rsid w:val="009A3A7C"/>
    <w:rsid w:val="009A41B4"/>
    <w:rsid w:val="009A579E"/>
    <w:rsid w:val="009A5A2A"/>
    <w:rsid w:val="009A5FF5"/>
    <w:rsid w:val="009A6DFC"/>
    <w:rsid w:val="009A7C2E"/>
    <w:rsid w:val="009A7E3E"/>
    <w:rsid w:val="009A7F66"/>
    <w:rsid w:val="009B11E8"/>
    <w:rsid w:val="009B1934"/>
    <w:rsid w:val="009B1C10"/>
    <w:rsid w:val="009B2AF9"/>
    <w:rsid w:val="009B31A9"/>
    <w:rsid w:val="009B3D9C"/>
    <w:rsid w:val="009B4A2F"/>
    <w:rsid w:val="009B5713"/>
    <w:rsid w:val="009B5D34"/>
    <w:rsid w:val="009B70BD"/>
    <w:rsid w:val="009B7195"/>
    <w:rsid w:val="009C169C"/>
    <w:rsid w:val="009C2991"/>
    <w:rsid w:val="009C3E3C"/>
    <w:rsid w:val="009C441C"/>
    <w:rsid w:val="009C774E"/>
    <w:rsid w:val="009D22B9"/>
    <w:rsid w:val="009D3952"/>
    <w:rsid w:val="009D3A24"/>
    <w:rsid w:val="009D5B63"/>
    <w:rsid w:val="009D5C9A"/>
    <w:rsid w:val="009D5D15"/>
    <w:rsid w:val="009D6BE1"/>
    <w:rsid w:val="009D7040"/>
    <w:rsid w:val="009E1FF2"/>
    <w:rsid w:val="009E21DC"/>
    <w:rsid w:val="009E30AB"/>
    <w:rsid w:val="009E59E1"/>
    <w:rsid w:val="009E6418"/>
    <w:rsid w:val="009E69E1"/>
    <w:rsid w:val="009E6F06"/>
    <w:rsid w:val="009E74A0"/>
    <w:rsid w:val="009F0506"/>
    <w:rsid w:val="009F0900"/>
    <w:rsid w:val="009F0E07"/>
    <w:rsid w:val="009F0ED8"/>
    <w:rsid w:val="009F1E24"/>
    <w:rsid w:val="009F1F8B"/>
    <w:rsid w:val="009F27FE"/>
    <w:rsid w:val="009F41E8"/>
    <w:rsid w:val="009F5AA7"/>
    <w:rsid w:val="009F620B"/>
    <w:rsid w:val="009F6411"/>
    <w:rsid w:val="009F67B0"/>
    <w:rsid w:val="009F6AF2"/>
    <w:rsid w:val="009F6B25"/>
    <w:rsid w:val="009F6F76"/>
    <w:rsid w:val="009F774A"/>
    <w:rsid w:val="009F79DE"/>
    <w:rsid w:val="009F7A28"/>
    <w:rsid w:val="009F7FE7"/>
    <w:rsid w:val="00A00325"/>
    <w:rsid w:val="00A0245E"/>
    <w:rsid w:val="00A02A1E"/>
    <w:rsid w:val="00A03191"/>
    <w:rsid w:val="00A03F93"/>
    <w:rsid w:val="00A05C16"/>
    <w:rsid w:val="00A05F13"/>
    <w:rsid w:val="00A06037"/>
    <w:rsid w:val="00A10D6D"/>
    <w:rsid w:val="00A10FC8"/>
    <w:rsid w:val="00A125AF"/>
    <w:rsid w:val="00A12B04"/>
    <w:rsid w:val="00A13314"/>
    <w:rsid w:val="00A13923"/>
    <w:rsid w:val="00A13C74"/>
    <w:rsid w:val="00A14B32"/>
    <w:rsid w:val="00A14CE3"/>
    <w:rsid w:val="00A1561A"/>
    <w:rsid w:val="00A166CE"/>
    <w:rsid w:val="00A17B2C"/>
    <w:rsid w:val="00A17C6B"/>
    <w:rsid w:val="00A26C27"/>
    <w:rsid w:val="00A26D3F"/>
    <w:rsid w:val="00A27307"/>
    <w:rsid w:val="00A311D6"/>
    <w:rsid w:val="00A33F62"/>
    <w:rsid w:val="00A3486F"/>
    <w:rsid w:val="00A35932"/>
    <w:rsid w:val="00A3614B"/>
    <w:rsid w:val="00A36FA3"/>
    <w:rsid w:val="00A375B7"/>
    <w:rsid w:val="00A37C43"/>
    <w:rsid w:val="00A37DEC"/>
    <w:rsid w:val="00A42469"/>
    <w:rsid w:val="00A42609"/>
    <w:rsid w:val="00A44A3B"/>
    <w:rsid w:val="00A45DC6"/>
    <w:rsid w:val="00A470E5"/>
    <w:rsid w:val="00A478E4"/>
    <w:rsid w:val="00A5192D"/>
    <w:rsid w:val="00A5421C"/>
    <w:rsid w:val="00A54542"/>
    <w:rsid w:val="00A54D54"/>
    <w:rsid w:val="00A55569"/>
    <w:rsid w:val="00A579EC"/>
    <w:rsid w:val="00A615D2"/>
    <w:rsid w:val="00A63DBC"/>
    <w:rsid w:val="00A6679C"/>
    <w:rsid w:val="00A66D6D"/>
    <w:rsid w:val="00A6754B"/>
    <w:rsid w:val="00A70639"/>
    <w:rsid w:val="00A71302"/>
    <w:rsid w:val="00A71C68"/>
    <w:rsid w:val="00A7223C"/>
    <w:rsid w:val="00A764A1"/>
    <w:rsid w:val="00A76B70"/>
    <w:rsid w:val="00A76E7F"/>
    <w:rsid w:val="00A77298"/>
    <w:rsid w:val="00A77F01"/>
    <w:rsid w:val="00A800D0"/>
    <w:rsid w:val="00A81201"/>
    <w:rsid w:val="00A81D98"/>
    <w:rsid w:val="00A826A9"/>
    <w:rsid w:val="00A83859"/>
    <w:rsid w:val="00A851BD"/>
    <w:rsid w:val="00A85216"/>
    <w:rsid w:val="00A90ADD"/>
    <w:rsid w:val="00A91516"/>
    <w:rsid w:val="00A91BEB"/>
    <w:rsid w:val="00A91F00"/>
    <w:rsid w:val="00A92B1F"/>
    <w:rsid w:val="00A9469B"/>
    <w:rsid w:val="00A95BF3"/>
    <w:rsid w:val="00A967A6"/>
    <w:rsid w:val="00AA079E"/>
    <w:rsid w:val="00AA126D"/>
    <w:rsid w:val="00AA1D4B"/>
    <w:rsid w:val="00AA24B0"/>
    <w:rsid w:val="00AA3088"/>
    <w:rsid w:val="00AA42BF"/>
    <w:rsid w:val="00AA6748"/>
    <w:rsid w:val="00AA6C5E"/>
    <w:rsid w:val="00AA7139"/>
    <w:rsid w:val="00AA7718"/>
    <w:rsid w:val="00AA77EE"/>
    <w:rsid w:val="00AA7F22"/>
    <w:rsid w:val="00AB1045"/>
    <w:rsid w:val="00AB1284"/>
    <w:rsid w:val="00AB1E69"/>
    <w:rsid w:val="00AB2575"/>
    <w:rsid w:val="00AB289F"/>
    <w:rsid w:val="00AB3243"/>
    <w:rsid w:val="00AB4179"/>
    <w:rsid w:val="00AB474D"/>
    <w:rsid w:val="00AB4A0B"/>
    <w:rsid w:val="00AB4E67"/>
    <w:rsid w:val="00AB5A36"/>
    <w:rsid w:val="00AB6D70"/>
    <w:rsid w:val="00AB7412"/>
    <w:rsid w:val="00AB7711"/>
    <w:rsid w:val="00AB7B95"/>
    <w:rsid w:val="00AC0C13"/>
    <w:rsid w:val="00AC13E2"/>
    <w:rsid w:val="00AC1919"/>
    <w:rsid w:val="00AC1962"/>
    <w:rsid w:val="00AC2AAF"/>
    <w:rsid w:val="00AC2B97"/>
    <w:rsid w:val="00AC4FF5"/>
    <w:rsid w:val="00AC54D9"/>
    <w:rsid w:val="00AC5A65"/>
    <w:rsid w:val="00AC5C11"/>
    <w:rsid w:val="00AC728A"/>
    <w:rsid w:val="00AC7876"/>
    <w:rsid w:val="00AC7977"/>
    <w:rsid w:val="00AD035B"/>
    <w:rsid w:val="00AD1821"/>
    <w:rsid w:val="00AD4065"/>
    <w:rsid w:val="00AD4ABF"/>
    <w:rsid w:val="00AD5249"/>
    <w:rsid w:val="00AD56EB"/>
    <w:rsid w:val="00AD6712"/>
    <w:rsid w:val="00AD692C"/>
    <w:rsid w:val="00AD7530"/>
    <w:rsid w:val="00AD7E64"/>
    <w:rsid w:val="00AE03C7"/>
    <w:rsid w:val="00AE1365"/>
    <w:rsid w:val="00AE1BFC"/>
    <w:rsid w:val="00AE36A1"/>
    <w:rsid w:val="00AE3E4D"/>
    <w:rsid w:val="00AE444E"/>
    <w:rsid w:val="00AE4D8D"/>
    <w:rsid w:val="00AE5323"/>
    <w:rsid w:val="00AE72C3"/>
    <w:rsid w:val="00AE7788"/>
    <w:rsid w:val="00AE7A2C"/>
    <w:rsid w:val="00AF0F75"/>
    <w:rsid w:val="00AF156D"/>
    <w:rsid w:val="00AF163A"/>
    <w:rsid w:val="00AF2152"/>
    <w:rsid w:val="00AF5E47"/>
    <w:rsid w:val="00AF7815"/>
    <w:rsid w:val="00B011FB"/>
    <w:rsid w:val="00B02DB5"/>
    <w:rsid w:val="00B03BA9"/>
    <w:rsid w:val="00B04552"/>
    <w:rsid w:val="00B0482F"/>
    <w:rsid w:val="00B055C7"/>
    <w:rsid w:val="00B05864"/>
    <w:rsid w:val="00B05C2D"/>
    <w:rsid w:val="00B06379"/>
    <w:rsid w:val="00B067C8"/>
    <w:rsid w:val="00B113BC"/>
    <w:rsid w:val="00B1153F"/>
    <w:rsid w:val="00B1189A"/>
    <w:rsid w:val="00B13271"/>
    <w:rsid w:val="00B16C30"/>
    <w:rsid w:val="00B1766D"/>
    <w:rsid w:val="00B176D3"/>
    <w:rsid w:val="00B17B73"/>
    <w:rsid w:val="00B220CA"/>
    <w:rsid w:val="00B22A1D"/>
    <w:rsid w:val="00B230F5"/>
    <w:rsid w:val="00B239C1"/>
    <w:rsid w:val="00B24C6D"/>
    <w:rsid w:val="00B25729"/>
    <w:rsid w:val="00B25BA2"/>
    <w:rsid w:val="00B2789A"/>
    <w:rsid w:val="00B30AE6"/>
    <w:rsid w:val="00B31257"/>
    <w:rsid w:val="00B32B8D"/>
    <w:rsid w:val="00B332BF"/>
    <w:rsid w:val="00B33B28"/>
    <w:rsid w:val="00B3412B"/>
    <w:rsid w:val="00B34162"/>
    <w:rsid w:val="00B345B5"/>
    <w:rsid w:val="00B34835"/>
    <w:rsid w:val="00B34B5E"/>
    <w:rsid w:val="00B3775D"/>
    <w:rsid w:val="00B37BC6"/>
    <w:rsid w:val="00B42424"/>
    <w:rsid w:val="00B42F59"/>
    <w:rsid w:val="00B44503"/>
    <w:rsid w:val="00B4461A"/>
    <w:rsid w:val="00B451CA"/>
    <w:rsid w:val="00B455DF"/>
    <w:rsid w:val="00B4602D"/>
    <w:rsid w:val="00B46E30"/>
    <w:rsid w:val="00B471A8"/>
    <w:rsid w:val="00B52987"/>
    <w:rsid w:val="00B52A02"/>
    <w:rsid w:val="00B52E9E"/>
    <w:rsid w:val="00B5461B"/>
    <w:rsid w:val="00B555F3"/>
    <w:rsid w:val="00B606F1"/>
    <w:rsid w:val="00B61241"/>
    <w:rsid w:val="00B614BC"/>
    <w:rsid w:val="00B61D8A"/>
    <w:rsid w:val="00B61E17"/>
    <w:rsid w:val="00B6230E"/>
    <w:rsid w:val="00B62A7E"/>
    <w:rsid w:val="00B633AB"/>
    <w:rsid w:val="00B643C6"/>
    <w:rsid w:val="00B64721"/>
    <w:rsid w:val="00B64837"/>
    <w:rsid w:val="00B6588C"/>
    <w:rsid w:val="00B662B1"/>
    <w:rsid w:val="00B666D5"/>
    <w:rsid w:val="00B6747B"/>
    <w:rsid w:val="00B675ED"/>
    <w:rsid w:val="00B67AEA"/>
    <w:rsid w:val="00B714B1"/>
    <w:rsid w:val="00B71750"/>
    <w:rsid w:val="00B721DC"/>
    <w:rsid w:val="00B72D60"/>
    <w:rsid w:val="00B7390F"/>
    <w:rsid w:val="00B73F74"/>
    <w:rsid w:val="00B749DB"/>
    <w:rsid w:val="00B77B7A"/>
    <w:rsid w:val="00B77C77"/>
    <w:rsid w:val="00B8057F"/>
    <w:rsid w:val="00B80ADD"/>
    <w:rsid w:val="00B81295"/>
    <w:rsid w:val="00B8193C"/>
    <w:rsid w:val="00B82045"/>
    <w:rsid w:val="00B820C3"/>
    <w:rsid w:val="00B822D0"/>
    <w:rsid w:val="00B82709"/>
    <w:rsid w:val="00B834C3"/>
    <w:rsid w:val="00B83F5C"/>
    <w:rsid w:val="00B84175"/>
    <w:rsid w:val="00B86DD0"/>
    <w:rsid w:val="00B918FB"/>
    <w:rsid w:val="00B92529"/>
    <w:rsid w:val="00B9276D"/>
    <w:rsid w:val="00B941A1"/>
    <w:rsid w:val="00B94CAE"/>
    <w:rsid w:val="00B95726"/>
    <w:rsid w:val="00B96BEC"/>
    <w:rsid w:val="00B97319"/>
    <w:rsid w:val="00BA0882"/>
    <w:rsid w:val="00BA391E"/>
    <w:rsid w:val="00BA3FD7"/>
    <w:rsid w:val="00BA6AB5"/>
    <w:rsid w:val="00BA6CCA"/>
    <w:rsid w:val="00BA6D3A"/>
    <w:rsid w:val="00BA7289"/>
    <w:rsid w:val="00BA7C4F"/>
    <w:rsid w:val="00BB2895"/>
    <w:rsid w:val="00BB2E3B"/>
    <w:rsid w:val="00BB3786"/>
    <w:rsid w:val="00BB3FD6"/>
    <w:rsid w:val="00BB4229"/>
    <w:rsid w:val="00BB4B1B"/>
    <w:rsid w:val="00BB4F1D"/>
    <w:rsid w:val="00BB680D"/>
    <w:rsid w:val="00BB70D8"/>
    <w:rsid w:val="00BC0C1F"/>
    <w:rsid w:val="00BC1734"/>
    <w:rsid w:val="00BC2BDF"/>
    <w:rsid w:val="00BC360C"/>
    <w:rsid w:val="00BC398F"/>
    <w:rsid w:val="00BC3BAD"/>
    <w:rsid w:val="00BC44E2"/>
    <w:rsid w:val="00BC54F1"/>
    <w:rsid w:val="00BC6E40"/>
    <w:rsid w:val="00BC7963"/>
    <w:rsid w:val="00BD08F0"/>
    <w:rsid w:val="00BD28BE"/>
    <w:rsid w:val="00BD2BD5"/>
    <w:rsid w:val="00BD3037"/>
    <w:rsid w:val="00BD3874"/>
    <w:rsid w:val="00BD3B86"/>
    <w:rsid w:val="00BD4A6A"/>
    <w:rsid w:val="00BD5A4C"/>
    <w:rsid w:val="00BD5EEE"/>
    <w:rsid w:val="00BD6206"/>
    <w:rsid w:val="00BD6B6A"/>
    <w:rsid w:val="00BD7C77"/>
    <w:rsid w:val="00BD7CE9"/>
    <w:rsid w:val="00BE1AE3"/>
    <w:rsid w:val="00BE29D7"/>
    <w:rsid w:val="00BE3351"/>
    <w:rsid w:val="00BE3AB1"/>
    <w:rsid w:val="00BE4FA9"/>
    <w:rsid w:val="00BE59EC"/>
    <w:rsid w:val="00BE65C1"/>
    <w:rsid w:val="00BE66C2"/>
    <w:rsid w:val="00BE6AF1"/>
    <w:rsid w:val="00BE6C5E"/>
    <w:rsid w:val="00BE6E62"/>
    <w:rsid w:val="00BE6F21"/>
    <w:rsid w:val="00BF0272"/>
    <w:rsid w:val="00BF0349"/>
    <w:rsid w:val="00BF0C76"/>
    <w:rsid w:val="00BF410A"/>
    <w:rsid w:val="00BF4C1A"/>
    <w:rsid w:val="00BF561B"/>
    <w:rsid w:val="00BF6EA4"/>
    <w:rsid w:val="00C00038"/>
    <w:rsid w:val="00C00CE6"/>
    <w:rsid w:val="00C01027"/>
    <w:rsid w:val="00C01832"/>
    <w:rsid w:val="00C01962"/>
    <w:rsid w:val="00C021CC"/>
    <w:rsid w:val="00C028A5"/>
    <w:rsid w:val="00C034F9"/>
    <w:rsid w:val="00C03D7B"/>
    <w:rsid w:val="00C06135"/>
    <w:rsid w:val="00C0661B"/>
    <w:rsid w:val="00C079AE"/>
    <w:rsid w:val="00C07C80"/>
    <w:rsid w:val="00C10106"/>
    <w:rsid w:val="00C11D28"/>
    <w:rsid w:val="00C13DBD"/>
    <w:rsid w:val="00C145EF"/>
    <w:rsid w:val="00C149CB"/>
    <w:rsid w:val="00C14BE7"/>
    <w:rsid w:val="00C15078"/>
    <w:rsid w:val="00C1523F"/>
    <w:rsid w:val="00C161FE"/>
    <w:rsid w:val="00C17E62"/>
    <w:rsid w:val="00C2146B"/>
    <w:rsid w:val="00C21A16"/>
    <w:rsid w:val="00C2258D"/>
    <w:rsid w:val="00C230E9"/>
    <w:rsid w:val="00C232E8"/>
    <w:rsid w:val="00C25407"/>
    <w:rsid w:val="00C254FD"/>
    <w:rsid w:val="00C25D5B"/>
    <w:rsid w:val="00C3084D"/>
    <w:rsid w:val="00C30A32"/>
    <w:rsid w:val="00C32525"/>
    <w:rsid w:val="00C34A9E"/>
    <w:rsid w:val="00C3609E"/>
    <w:rsid w:val="00C3795D"/>
    <w:rsid w:val="00C37E52"/>
    <w:rsid w:val="00C40686"/>
    <w:rsid w:val="00C41A10"/>
    <w:rsid w:val="00C41FA9"/>
    <w:rsid w:val="00C42681"/>
    <w:rsid w:val="00C42CF4"/>
    <w:rsid w:val="00C43BF7"/>
    <w:rsid w:val="00C43CC5"/>
    <w:rsid w:val="00C441AA"/>
    <w:rsid w:val="00C45D03"/>
    <w:rsid w:val="00C4673C"/>
    <w:rsid w:val="00C46B80"/>
    <w:rsid w:val="00C471ED"/>
    <w:rsid w:val="00C47B9F"/>
    <w:rsid w:val="00C50122"/>
    <w:rsid w:val="00C50811"/>
    <w:rsid w:val="00C50AA7"/>
    <w:rsid w:val="00C50EC3"/>
    <w:rsid w:val="00C5507F"/>
    <w:rsid w:val="00C5680A"/>
    <w:rsid w:val="00C5742C"/>
    <w:rsid w:val="00C57697"/>
    <w:rsid w:val="00C57E4A"/>
    <w:rsid w:val="00C61F9E"/>
    <w:rsid w:val="00C636BA"/>
    <w:rsid w:val="00C66986"/>
    <w:rsid w:val="00C66E1A"/>
    <w:rsid w:val="00C67813"/>
    <w:rsid w:val="00C70542"/>
    <w:rsid w:val="00C71A01"/>
    <w:rsid w:val="00C73288"/>
    <w:rsid w:val="00C738E2"/>
    <w:rsid w:val="00C752D8"/>
    <w:rsid w:val="00C75953"/>
    <w:rsid w:val="00C76BB3"/>
    <w:rsid w:val="00C77296"/>
    <w:rsid w:val="00C77C51"/>
    <w:rsid w:val="00C805F5"/>
    <w:rsid w:val="00C80B9F"/>
    <w:rsid w:val="00C8161B"/>
    <w:rsid w:val="00C8204E"/>
    <w:rsid w:val="00C8209F"/>
    <w:rsid w:val="00C839E8"/>
    <w:rsid w:val="00C83CAD"/>
    <w:rsid w:val="00C846D9"/>
    <w:rsid w:val="00C8512D"/>
    <w:rsid w:val="00C85FAE"/>
    <w:rsid w:val="00C861C3"/>
    <w:rsid w:val="00C871C7"/>
    <w:rsid w:val="00C874C9"/>
    <w:rsid w:val="00C9174C"/>
    <w:rsid w:val="00C923EC"/>
    <w:rsid w:val="00C92F7A"/>
    <w:rsid w:val="00C93902"/>
    <w:rsid w:val="00C9394E"/>
    <w:rsid w:val="00C940BB"/>
    <w:rsid w:val="00C94D8E"/>
    <w:rsid w:val="00C957C9"/>
    <w:rsid w:val="00C968D7"/>
    <w:rsid w:val="00C979E7"/>
    <w:rsid w:val="00CA01A1"/>
    <w:rsid w:val="00CA03A6"/>
    <w:rsid w:val="00CA20B9"/>
    <w:rsid w:val="00CA2B38"/>
    <w:rsid w:val="00CA3039"/>
    <w:rsid w:val="00CA31BE"/>
    <w:rsid w:val="00CA540E"/>
    <w:rsid w:val="00CA59F1"/>
    <w:rsid w:val="00CA7D05"/>
    <w:rsid w:val="00CB0FF2"/>
    <w:rsid w:val="00CB1B18"/>
    <w:rsid w:val="00CB25F8"/>
    <w:rsid w:val="00CB44DA"/>
    <w:rsid w:val="00CB4AA0"/>
    <w:rsid w:val="00CB5D2E"/>
    <w:rsid w:val="00CB734C"/>
    <w:rsid w:val="00CC01B3"/>
    <w:rsid w:val="00CC1800"/>
    <w:rsid w:val="00CC3DD7"/>
    <w:rsid w:val="00CC3F91"/>
    <w:rsid w:val="00CC76F0"/>
    <w:rsid w:val="00CD08AC"/>
    <w:rsid w:val="00CD15E2"/>
    <w:rsid w:val="00CD1B0F"/>
    <w:rsid w:val="00CD1D72"/>
    <w:rsid w:val="00CD4D0C"/>
    <w:rsid w:val="00CD4E3A"/>
    <w:rsid w:val="00CD5BAE"/>
    <w:rsid w:val="00CD68A2"/>
    <w:rsid w:val="00CD7507"/>
    <w:rsid w:val="00CD7A10"/>
    <w:rsid w:val="00CE109F"/>
    <w:rsid w:val="00CE21A1"/>
    <w:rsid w:val="00CE2373"/>
    <w:rsid w:val="00CE2CC2"/>
    <w:rsid w:val="00CE3949"/>
    <w:rsid w:val="00CE4711"/>
    <w:rsid w:val="00CE4EF4"/>
    <w:rsid w:val="00CE647B"/>
    <w:rsid w:val="00CE67D7"/>
    <w:rsid w:val="00CE7ECC"/>
    <w:rsid w:val="00CF0436"/>
    <w:rsid w:val="00CF06E2"/>
    <w:rsid w:val="00CF0D3C"/>
    <w:rsid w:val="00CF2379"/>
    <w:rsid w:val="00CF2D89"/>
    <w:rsid w:val="00CF301F"/>
    <w:rsid w:val="00CF3218"/>
    <w:rsid w:val="00CF3BB5"/>
    <w:rsid w:val="00CF6601"/>
    <w:rsid w:val="00CF6BC1"/>
    <w:rsid w:val="00D00E0A"/>
    <w:rsid w:val="00D015AE"/>
    <w:rsid w:val="00D0252E"/>
    <w:rsid w:val="00D0291B"/>
    <w:rsid w:val="00D04ABE"/>
    <w:rsid w:val="00D04B4D"/>
    <w:rsid w:val="00D05400"/>
    <w:rsid w:val="00D05A36"/>
    <w:rsid w:val="00D05EFC"/>
    <w:rsid w:val="00D061D3"/>
    <w:rsid w:val="00D06CA9"/>
    <w:rsid w:val="00D06D09"/>
    <w:rsid w:val="00D0770B"/>
    <w:rsid w:val="00D103A6"/>
    <w:rsid w:val="00D10BF7"/>
    <w:rsid w:val="00D1166B"/>
    <w:rsid w:val="00D12505"/>
    <w:rsid w:val="00D131F0"/>
    <w:rsid w:val="00D14138"/>
    <w:rsid w:val="00D15414"/>
    <w:rsid w:val="00D15F48"/>
    <w:rsid w:val="00D16698"/>
    <w:rsid w:val="00D17A3D"/>
    <w:rsid w:val="00D208F1"/>
    <w:rsid w:val="00D22029"/>
    <w:rsid w:val="00D23147"/>
    <w:rsid w:val="00D24803"/>
    <w:rsid w:val="00D25B83"/>
    <w:rsid w:val="00D27A1E"/>
    <w:rsid w:val="00D30938"/>
    <w:rsid w:val="00D3113C"/>
    <w:rsid w:val="00D31528"/>
    <w:rsid w:val="00D322B0"/>
    <w:rsid w:val="00D32D6F"/>
    <w:rsid w:val="00D34097"/>
    <w:rsid w:val="00D353B0"/>
    <w:rsid w:val="00D35E9C"/>
    <w:rsid w:val="00D37B5C"/>
    <w:rsid w:val="00D37F05"/>
    <w:rsid w:val="00D401A5"/>
    <w:rsid w:val="00D40A51"/>
    <w:rsid w:val="00D41939"/>
    <w:rsid w:val="00D42C8A"/>
    <w:rsid w:val="00D43B5F"/>
    <w:rsid w:val="00D44458"/>
    <w:rsid w:val="00D45E72"/>
    <w:rsid w:val="00D5015F"/>
    <w:rsid w:val="00D518C2"/>
    <w:rsid w:val="00D52EED"/>
    <w:rsid w:val="00D53F1F"/>
    <w:rsid w:val="00D566C7"/>
    <w:rsid w:val="00D56BF3"/>
    <w:rsid w:val="00D56DBF"/>
    <w:rsid w:val="00D57F4F"/>
    <w:rsid w:val="00D60013"/>
    <w:rsid w:val="00D60727"/>
    <w:rsid w:val="00D63BDF"/>
    <w:rsid w:val="00D63D0F"/>
    <w:rsid w:val="00D64748"/>
    <w:rsid w:val="00D647DC"/>
    <w:rsid w:val="00D64A69"/>
    <w:rsid w:val="00D64B77"/>
    <w:rsid w:val="00D66F98"/>
    <w:rsid w:val="00D67BC4"/>
    <w:rsid w:val="00D67DF4"/>
    <w:rsid w:val="00D70C3A"/>
    <w:rsid w:val="00D71458"/>
    <w:rsid w:val="00D72319"/>
    <w:rsid w:val="00D72490"/>
    <w:rsid w:val="00D72E0B"/>
    <w:rsid w:val="00D7308F"/>
    <w:rsid w:val="00D73974"/>
    <w:rsid w:val="00D73E03"/>
    <w:rsid w:val="00D74185"/>
    <w:rsid w:val="00D748E0"/>
    <w:rsid w:val="00D76AAA"/>
    <w:rsid w:val="00D77099"/>
    <w:rsid w:val="00D81237"/>
    <w:rsid w:val="00D81711"/>
    <w:rsid w:val="00D8205D"/>
    <w:rsid w:val="00D82633"/>
    <w:rsid w:val="00D829CC"/>
    <w:rsid w:val="00D83552"/>
    <w:rsid w:val="00D86452"/>
    <w:rsid w:val="00D875C2"/>
    <w:rsid w:val="00D87A55"/>
    <w:rsid w:val="00D900BA"/>
    <w:rsid w:val="00D9110D"/>
    <w:rsid w:val="00D9286C"/>
    <w:rsid w:val="00D93E34"/>
    <w:rsid w:val="00D94498"/>
    <w:rsid w:val="00D94D1D"/>
    <w:rsid w:val="00D95FCA"/>
    <w:rsid w:val="00D9632B"/>
    <w:rsid w:val="00D9708C"/>
    <w:rsid w:val="00D97285"/>
    <w:rsid w:val="00D9759A"/>
    <w:rsid w:val="00DA0D14"/>
    <w:rsid w:val="00DA138C"/>
    <w:rsid w:val="00DA1B47"/>
    <w:rsid w:val="00DA246A"/>
    <w:rsid w:val="00DA2A38"/>
    <w:rsid w:val="00DA2DA8"/>
    <w:rsid w:val="00DA3388"/>
    <w:rsid w:val="00DA3D2F"/>
    <w:rsid w:val="00DA4213"/>
    <w:rsid w:val="00DA4A0C"/>
    <w:rsid w:val="00DA4B34"/>
    <w:rsid w:val="00DA4DC6"/>
    <w:rsid w:val="00DA63CF"/>
    <w:rsid w:val="00DA7487"/>
    <w:rsid w:val="00DB01D8"/>
    <w:rsid w:val="00DB060C"/>
    <w:rsid w:val="00DB06EA"/>
    <w:rsid w:val="00DB0C8F"/>
    <w:rsid w:val="00DB1819"/>
    <w:rsid w:val="00DB2E76"/>
    <w:rsid w:val="00DB53C3"/>
    <w:rsid w:val="00DB57BD"/>
    <w:rsid w:val="00DB5851"/>
    <w:rsid w:val="00DB5F87"/>
    <w:rsid w:val="00DB7840"/>
    <w:rsid w:val="00DB7B0F"/>
    <w:rsid w:val="00DC02E6"/>
    <w:rsid w:val="00DC25B9"/>
    <w:rsid w:val="00DC284D"/>
    <w:rsid w:val="00DC35CC"/>
    <w:rsid w:val="00DC3DC6"/>
    <w:rsid w:val="00DC5637"/>
    <w:rsid w:val="00DC5806"/>
    <w:rsid w:val="00DC58DF"/>
    <w:rsid w:val="00DC59CE"/>
    <w:rsid w:val="00DC6574"/>
    <w:rsid w:val="00DC6C36"/>
    <w:rsid w:val="00DC7696"/>
    <w:rsid w:val="00DC793D"/>
    <w:rsid w:val="00DC7998"/>
    <w:rsid w:val="00DD091F"/>
    <w:rsid w:val="00DD14E4"/>
    <w:rsid w:val="00DD23A1"/>
    <w:rsid w:val="00DD2788"/>
    <w:rsid w:val="00DD3265"/>
    <w:rsid w:val="00DD4E28"/>
    <w:rsid w:val="00DD4EBD"/>
    <w:rsid w:val="00DD5D90"/>
    <w:rsid w:val="00DD5E50"/>
    <w:rsid w:val="00DD763B"/>
    <w:rsid w:val="00DD777A"/>
    <w:rsid w:val="00DE02D9"/>
    <w:rsid w:val="00DE07AC"/>
    <w:rsid w:val="00DE0D7B"/>
    <w:rsid w:val="00DE0D98"/>
    <w:rsid w:val="00DE1828"/>
    <w:rsid w:val="00DE1841"/>
    <w:rsid w:val="00DE41FA"/>
    <w:rsid w:val="00DE4A19"/>
    <w:rsid w:val="00DE7536"/>
    <w:rsid w:val="00DF11DA"/>
    <w:rsid w:val="00DF1593"/>
    <w:rsid w:val="00DF3585"/>
    <w:rsid w:val="00DF3B41"/>
    <w:rsid w:val="00DF4790"/>
    <w:rsid w:val="00DF5D40"/>
    <w:rsid w:val="00E0359B"/>
    <w:rsid w:val="00E03A7E"/>
    <w:rsid w:val="00E03C4E"/>
    <w:rsid w:val="00E06BE9"/>
    <w:rsid w:val="00E07899"/>
    <w:rsid w:val="00E102E9"/>
    <w:rsid w:val="00E117E3"/>
    <w:rsid w:val="00E13EB3"/>
    <w:rsid w:val="00E164CF"/>
    <w:rsid w:val="00E1701A"/>
    <w:rsid w:val="00E178AB"/>
    <w:rsid w:val="00E21046"/>
    <w:rsid w:val="00E2119A"/>
    <w:rsid w:val="00E21BE8"/>
    <w:rsid w:val="00E228D6"/>
    <w:rsid w:val="00E23513"/>
    <w:rsid w:val="00E23D53"/>
    <w:rsid w:val="00E23E6E"/>
    <w:rsid w:val="00E25EDB"/>
    <w:rsid w:val="00E26462"/>
    <w:rsid w:val="00E272B3"/>
    <w:rsid w:val="00E31D5E"/>
    <w:rsid w:val="00E3236B"/>
    <w:rsid w:val="00E3257B"/>
    <w:rsid w:val="00E409D5"/>
    <w:rsid w:val="00E40A98"/>
    <w:rsid w:val="00E40FFA"/>
    <w:rsid w:val="00E411E8"/>
    <w:rsid w:val="00E42064"/>
    <w:rsid w:val="00E42CE3"/>
    <w:rsid w:val="00E438BF"/>
    <w:rsid w:val="00E444C0"/>
    <w:rsid w:val="00E46C4D"/>
    <w:rsid w:val="00E478DE"/>
    <w:rsid w:val="00E5059F"/>
    <w:rsid w:val="00E508AC"/>
    <w:rsid w:val="00E5092B"/>
    <w:rsid w:val="00E537A0"/>
    <w:rsid w:val="00E54D81"/>
    <w:rsid w:val="00E54DF6"/>
    <w:rsid w:val="00E56516"/>
    <w:rsid w:val="00E56C6E"/>
    <w:rsid w:val="00E573AF"/>
    <w:rsid w:val="00E57BE3"/>
    <w:rsid w:val="00E601CB"/>
    <w:rsid w:val="00E62C78"/>
    <w:rsid w:val="00E63974"/>
    <w:rsid w:val="00E63F9D"/>
    <w:rsid w:val="00E64330"/>
    <w:rsid w:val="00E65BEF"/>
    <w:rsid w:val="00E65CF7"/>
    <w:rsid w:val="00E65F1B"/>
    <w:rsid w:val="00E663C7"/>
    <w:rsid w:val="00E6756E"/>
    <w:rsid w:val="00E713CF"/>
    <w:rsid w:val="00E71C0C"/>
    <w:rsid w:val="00E73A41"/>
    <w:rsid w:val="00E7446A"/>
    <w:rsid w:val="00E752BB"/>
    <w:rsid w:val="00E75FEB"/>
    <w:rsid w:val="00E760DD"/>
    <w:rsid w:val="00E76799"/>
    <w:rsid w:val="00E769F0"/>
    <w:rsid w:val="00E773F3"/>
    <w:rsid w:val="00E8017E"/>
    <w:rsid w:val="00E801E0"/>
    <w:rsid w:val="00E82AA3"/>
    <w:rsid w:val="00E82C21"/>
    <w:rsid w:val="00E83223"/>
    <w:rsid w:val="00E8360C"/>
    <w:rsid w:val="00E83BDD"/>
    <w:rsid w:val="00E84F65"/>
    <w:rsid w:val="00E857AF"/>
    <w:rsid w:val="00E85DB9"/>
    <w:rsid w:val="00E86D72"/>
    <w:rsid w:val="00E87329"/>
    <w:rsid w:val="00E874CE"/>
    <w:rsid w:val="00E907D5"/>
    <w:rsid w:val="00E91659"/>
    <w:rsid w:val="00E9240D"/>
    <w:rsid w:val="00E92630"/>
    <w:rsid w:val="00E9373A"/>
    <w:rsid w:val="00E93C70"/>
    <w:rsid w:val="00E94AA1"/>
    <w:rsid w:val="00E9565B"/>
    <w:rsid w:val="00E95672"/>
    <w:rsid w:val="00E957AB"/>
    <w:rsid w:val="00E9702B"/>
    <w:rsid w:val="00EA0106"/>
    <w:rsid w:val="00EA248B"/>
    <w:rsid w:val="00EA3438"/>
    <w:rsid w:val="00EA422D"/>
    <w:rsid w:val="00EA4479"/>
    <w:rsid w:val="00EA52E6"/>
    <w:rsid w:val="00EA58A5"/>
    <w:rsid w:val="00EA61D7"/>
    <w:rsid w:val="00EA7FD9"/>
    <w:rsid w:val="00EB115C"/>
    <w:rsid w:val="00EB3032"/>
    <w:rsid w:val="00EB40FB"/>
    <w:rsid w:val="00EB4988"/>
    <w:rsid w:val="00EB551E"/>
    <w:rsid w:val="00EB6B45"/>
    <w:rsid w:val="00EC08DE"/>
    <w:rsid w:val="00EC1734"/>
    <w:rsid w:val="00EC4392"/>
    <w:rsid w:val="00EC4960"/>
    <w:rsid w:val="00EC50E1"/>
    <w:rsid w:val="00EC5F93"/>
    <w:rsid w:val="00EC65EF"/>
    <w:rsid w:val="00EC67D6"/>
    <w:rsid w:val="00EC6876"/>
    <w:rsid w:val="00ED0B27"/>
    <w:rsid w:val="00ED3648"/>
    <w:rsid w:val="00ED37FE"/>
    <w:rsid w:val="00ED3A58"/>
    <w:rsid w:val="00ED4CCF"/>
    <w:rsid w:val="00ED528F"/>
    <w:rsid w:val="00ED7357"/>
    <w:rsid w:val="00EE1838"/>
    <w:rsid w:val="00EE239D"/>
    <w:rsid w:val="00EE2823"/>
    <w:rsid w:val="00EE56AE"/>
    <w:rsid w:val="00EE5BAE"/>
    <w:rsid w:val="00EE5F69"/>
    <w:rsid w:val="00EE622A"/>
    <w:rsid w:val="00EE6420"/>
    <w:rsid w:val="00EE65CF"/>
    <w:rsid w:val="00EE71AF"/>
    <w:rsid w:val="00EF0AA0"/>
    <w:rsid w:val="00EF16B2"/>
    <w:rsid w:val="00EF1F57"/>
    <w:rsid w:val="00EF26D5"/>
    <w:rsid w:val="00EF2D0B"/>
    <w:rsid w:val="00EF3BE4"/>
    <w:rsid w:val="00EF45EA"/>
    <w:rsid w:val="00EF576A"/>
    <w:rsid w:val="00EF7110"/>
    <w:rsid w:val="00EF7FDE"/>
    <w:rsid w:val="00F0030E"/>
    <w:rsid w:val="00F00461"/>
    <w:rsid w:val="00F00D11"/>
    <w:rsid w:val="00F02849"/>
    <w:rsid w:val="00F04097"/>
    <w:rsid w:val="00F04A51"/>
    <w:rsid w:val="00F0555E"/>
    <w:rsid w:val="00F05ED3"/>
    <w:rsid w:val="00F06FE4"/>
    <w:rsid w:val="00F1083B"/>
    <w:rsid w:val="00F10F8A"/>
    <w:rsid w:val="00F11394"/>
    <w:rsid w:val="00F11CCD"/>
    <w:rsid w:val="00F13410"/>
    <w:rsid w:val="00F15A34"/>
    <w:rsid w:val="00F15DAC"/>
    <w:rsid w:val="00F17912"/>
    <w:rsid w:val="00F17AEA"/>
    <w:rsid w:val="00F26C81"/>
    <w:rsid w:val="00F27CA4"/>
    <w:rsid w:val="00F31E9F"/>
    <w:rsid w:val="00F3213B"/>
    <w:rsid w:val="00F34DB8"/>
    <w:rsid w:val="00F35D9F"/>
    <w:rsid w:val="00F3601D"/>
    <w:rsid w:val="00F4032B"/>
    <w:rsid w:val="00F41A21"/>
    <w:rsid w:val="00F423A6"/>
    <w:rsid w:val="00F42A12"/>
    <w:rsid w:val="00F4507F"/>
    <w:rsid w:val="00F4526C"/>
    <w:rsid w:val="00F50DB0"/>
    <w:rsid w:val="00F521EC"/>
    <w:rsid w:val="00F5241F"/>
    <w:rsid w:val="00F52ABC"/>
    <w:rsid w:val="00F53064"/>
    <w:rsid w:val="00F561A5"/>
    <w:rsid w:val="00F56BDE"/>
    <w:rsid w:val="00F6058E"/>
    <w:rsid w:val="00F61F07"/>
    <w:rsid w:val="00F62C29"/>
    <w:rsid w:val="00F63F19"/>
    <w:rsid w:val="00F64AB0"/>
    <w:rsid w:val="00F66672"/>
    <w:rsid w:val="00F66726"/>
    <w:rsid w:val="00F7099C"/>
    <w:rsid w:val="00F70BF9"/>
    <w:rsid w:val="00F711B0"/>
    <w:rsid w:val="00F7250B"/>
    <w:rsid w:val="00F7314A"/>
    <w:rsid w:val="00F73BEF"/>
    <w:rsid w:val="00F7433C"/>
    <w:rsid w:val="00F74511"/>
    <w:rsid w:val="00F749AD"/>
    <w:rsid w:val="00F74A37"/>
    <w:rsid w:val="00F75082"/>
    <w:rsid w:val="00F75238"/>
    <w:rsid w:val="00F754D2"/>
    <w:rsid w:val="00F7727C"/>
    <w:rsid w:val="00F7799B"/>
    <w:rsid w:val="00F77A7F"/>
    <w:rsid w:val="00F77A82"/>
    <w:rsid w:val="00F77FE5"/>
    <w:rsid w:val="00F82182"/>
    <w:rsid w:val="00F83642"/>
    <w:rsid w:val="00F84373"/>
    <w:rsid w:val="00F846D5"/>
    <w:rsid w:val="00F8517F"/>
    <w:rsid w:val="00F85EFC"/>
    <w:rsid w:val="00F85F59"/>
    <w:rsid w:val="00F871AD"/>
    <w:rsid w:val="00F87398"/>
    <w:rsid w:val="00F87C99"/>
    <w:rsid w:val="00F9045B"/>
    <w:rsid w:val="00F911BA"/>
    <w:rsid w:val="00F92CA2"/>
    <w:rsid w:val="00F93BAC"/>
    <w:rsid w:val="00F968E1"/>
    <w:rsid w:val="00F973A6"/>
    <w:rsid w:val="00F979EA"/>
    <w:rsid w:val="00F97BC2"/>
    <w:rsid w:val="00F97DE1"/>
    <w:rsid w:val="00FA122C"/>
    <w:rsid w:val="00FA12D0"/>
    <w:rsid w:val="00FA2248"/>
    <w:rsid w:val="00FA3006"/>
    <w:rsid w:val="00FA3774"/>
    <w:rsid w:val="00FA3C6C"/>
    <w:rsid w:val="00FA672E"/>
    <w:rsid w:val="00FA686B"/>
    <w:rsid w:val="00FA69EC"/>
    <w:rsid w:val="00FA6BAF"/>
    <w:rsid w:val="00FA766E"/>
    <w:rsid w:val="00FB0181"/>
    <w:rsid w:val="00FB15FA"/>
    <w:rsid w:val="00FB26DB"/>
    <w:rsid w:val="00FB2904"/>
    <w:rsid w:val="00FB37F6"/>
    <w:rsid w:val="00FB5A00"/>
    <w:rsid w:val="00FB7BBB"/>
    <w:rsid w:val="00FC15B9"/>
    <w:rsid w:val="00FC1922"/>
    <w:rsid w:val="00FC1F90"/>
    <w:rsid w:val="00FC23BB"/>
    <w:rsid w:val="00FC262F"/>
    <w:rsid w:val="00FC28A2"/>
    <w:rsid w:val="00FC30AA"/>
    <w:rsid w:val="00FC3F72"/>
    <w:rsid w:val="00FC4729"/>
    <w:rsid w:val="00FC4AD2"/>
    <w:rsid w:val="00FC5FC6"/>
    <w:rsid w:val="00FD01D9"/>
    <w:rsid w:val="00FD0F9F"/>
    <w:rsid w:val="00FD14E5"/>
    <w:rsid w:val="00FD1685"/>
    <w:rsid w:val="00FD289B"/>
    <w:rsid w:val="00FD3BF8"/>
    <w:rsid w:val="00FD4244"/>
    <w:rsid w:val="00FD6359"/>
    <w:rsid w:val="00FD6D3B"/>
    <w:rsid w:val="00FD774C"/>
    <w:rsid w:val="00FE06FF"/>
    <w:rsid w:val="00FE1592"/>
    <w:rsid w:val="00FE1FCA"/>
    <w:rsid w:val="00FE1FF4"/>
    <w:rsid w:val="00FE2E97"/>
    <w:rsid w:val="00FE339E"/>
    <w:rsid w:val="00FE4655"/>
    <w:rsid w:val="00FE4675"/>
    <w:rsid w:val="00FE5296"/>
    <w:rsid w:val="00FE5EFA"/>
    <w:rsid w:val="00FE6316"/>
    <w:rsid w:val="00FE63F1"/>
    <w:rsid w:val="00FE653B"/>
    <w:rsid w:val="00FF065F"/>
    <w:rsid w:val="00FF1685"/>
    <w:rsid w:val="00FF1A9C"/>
    <w:rsid w:val="00FF1F73"/>
    <w:rsid w:val="00FF2164"/>
    <w:rsid w:val="00FF3E33"/>
    <w:rsid w:val="00FF3EF9"/>
    <w:rsid w:val="00FF4929"/>
    <w:rsid w:val="00FF533A"/>
    <w:rsid w:val="00FF59C9"/>
    <w:rsid w:val="00FF6FB8"/>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8EE422"/>
  <w15:docId w15:val="{69EE44C4-F9AB-4DB0-804D-EF3725DF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5B5871"/>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paragraph" w:styleId="Ttulo6">
    <w:name w:val="heading 6"/>
    <w:basedOn w:val="Normal"/>
    <w:next w:val="Normal"/>
    <w:link w:val="Ttulo6Car"/>
    <w:uiPriority w:val="9"/>
    <w:unhideWhenUsed/>
    <w:qFormat/>
    <w:rsid w:val="00F13410"/>
    <w:pPr>
      <w:keepNext/>
      <w:keepLines/>
      <w:spacing w:before="200" w:after="0"/>
      <w:ind w:left="3600"/>
      <w:outlineLvl w:val="5"/>
    </w:pPr>
    <w:rPr>
      <w:rFonts w:ascii="Cambria" w:eastAsia="Times New Roman" w:hAnsi="Cambria"/>
      <w:i/>
      <w:iCs/>
      <w:color w:val="243F60"/>
      <w:sz w:val="24"/>
      <w:lang w:val="es-ES"/>
    </w:rPr>
  </w:style>
  <w:style w:type="paragraph" w:styleId="Ttulo7">
    <w:name w:val="heading 7"/>
    <w:basedOn w:val="Normal"/>
    <w:next w:val="Normal"/>
    <w:link w:val="Ttulo7Car"/>
    <w:uiPriority w:val="9"/>
    <w:unhideWhenUsed/>
    <w:qFormat/>
    <w:rsid w:val="00F13410"/>
    <w:pPr>
      <w:keepNext/>
      <w:keepLines/>
      <w:spacing w:before="200" w:after="0"/>
      <w:ind w:left="4320"/>
      <w:outlineLvl w:val="6"/>
    </w:pPr>
    <w:rPr>
      <w:rFonts w:ascii="Cambria" w:eastAsia="Times New Roman" w:hAnsi="Cambria"/>
      <w:i/>
      <w:iCs/>
      <w:color w:val="404040"/>
      <w:sz w:val="24"/>
      <w:lang w:val="es-ES"/>
    </w:rPr>
  </w:style>
  <w:style w:type="paragraph" w:styleId="Ttulo8">
    <w:name w:val="heading 8"/>
    <w:basedOn w:val="Normal"/>
    <w:next w:val="Normal"/>
    <w:link w:val="Ttulo8Car"/>
    <w:uiPriority w:val="9"/>
    <w:unhideWhenUsed/>
    <w:qFormat/>
    <w:rsid w:val="00F13410"/>
    <w:pPr>
      <w:keepNext/>
      <w:keepLines/>
      <w:spacing w:before="200" w:after="0"/>
      <w:ind w:left="5040"/>
      <w:outlineLvl w:val="7"/>
    </w:pPr>
    <w:rPr>
      <w:rFonts w:ascii="Cambria" w:eastAsia="Times New Roman" w:hAnsi="Cambria"/>
      <w:color w:val="404040"/>
      <w:sz w:val="20"/>
      <w:szCs w:val="20"/>
      <w:lang w:val="es-ES"/>
    </w:rPr>
  </w:style>
  <w:style w:type="paragraph" w:styleId="Ttulo9">
    <w:name w:val="heading 9"/>
    <w:basedOn w:val="Normal"/>
    <w:next w:val="Normal"/>
    <w:link w:val="Ttulo9Car"/>
    <w:uiPriority w:val="9"/>
    <w:unhideWhenUsed/>
    <w:qFormat/>
    <w:rsid w:val="00F13410"/>
    <w:pPr>
      <w:keepNext/>
      <w:keepLines/>
      <w:spacing w:before="200" w:after="0"/>
      <w:ind w:left="5760"/>
      <w:outlineLvl w:val="8"/>
    </w:pPr>
    <w:rPr>
      <w:rFonts w:ascii="Cambria" w:eastAsia="Times New Roman" w:hAnsi="Cambria"/>
      <w:i/>
      <w:iCs/>
      <w:color w:val="40404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CD7507"/>
    <w:rPr>
      <w:rFonts w:ascii="Lucida Grande" w:hAnsi="Lucida Grande"/>
      <w:sz w:val="18"/>
      <w:szCs w:val="18"/>
    </w:rPr>
  </w:style>
  <w:style w:type="character" w:customStyle="1" w:styleId="TextodegloboCar">
    <w:name w:val="Texto de globo Car"/>
    <w:link w:val="Textodeglobo"/>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Puesto">
    <w:name w:val="Title"/>
    <w:aliases w:val="Subtítulo principal"/>
    <w:basedOn w:val="Normal"/>
    <w:next w:val="Normal"/>
    <w:link w:val="Puest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PuestoCar">
    <w:name w:val="Puesto Car"/>
    <w:aliases w:val="Subtítulo principal Car"/>
    <w:link w:val="Puest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autoSpaceDE w:val="0"/>
      <w:autoSpaceDN w:val="0"/>
      <w:adjustRightInd w:val="0"/>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2"/>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3"/>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4"/>
      </w:numPr>
    </w:pPr>
  </w:style>
  <w:style w:type="paragraph" w:customStyle="1" w:styleId="Vietaconletra2">
    <w:name w:val="Viñeta con letra 2"/>
    <w:basedOn w:val="Vietaconletra10"/>
    <w:qFormat/>
    <w:rsid w:val="00A45DC6"/>
    <w:pPr>
      <w:numPr>
        <w:numId w:val="5"/>
      </w:numPr>
      <w:ind w:left="1071" w:hanging="357"/>
    </w:pPr>
  </w:style>
  <w:style w:type="paragraph" w:customStyle="1" w:styleId="Vietaconletra0">
    <w:name w:val="Viñeta con letra)"/>
    <w:basedOn w:val="Normal"/>
    <w:qFormat/>
    <w:rsid w:val="00556B03"/>
    <w:pPr>
      <w:numPr>
        <w:numId w:val="6"/>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7"/>
      </w:numPr>
    </w:pPr>
  </w:style>
  <w:style w:type="paragraph" w:customStyle="1" w:styleId="Vietaconletra20">
    <w:name w:val="Viñeta con letra) 2"/>
    <w:basedOn w:val="Vietaconletra1"/>
    <w:qFormat/>
    <w:rsid w:val="00A45DC6"/>
    <w:pPr>
      <w:numPr>
        <w:numId w:val="8"/>
      </w:numPr>
      <w:ind w:left="1071" w:hanging="357"/>
    </w:pPr>
  </w:style>
  <w:style w:type="paragraph" w:customStyle="1" w:styleId="Vietaconnmero">
    <w:name w:val="Viñeta con número"/>
    <w:basedOn w:val="Normal"/>
    <w:rsid w:val="00556B03"/>
    <w:pPr>
      <w:numPr>
        <w:numId w:val="9"/>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0"/>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1"/>
      </w:numPr>
      <w:ind w:left="1071" w:hanging="357"/>
    </w:pPr>
  </w:style>
  <w:style w:type="paragraph" w:customStyle="1" w:styleId="Vietaflecha">
    <w:name w:val="Viñeta flecha"/>
    <w:basedOn w:val="Normal"/>
    <w:qFormat/>
    <w:rsid w:val="00556B03"/>
    <w:pPr>
      <w:numPr>
        <w:numId w:val="12"/>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nhideWhenUsed/>
    <w:rsid w:val="00764BFE"/>
    <w:pPr>
      <w:spacing w:after="0"/>
    </w:pPr>
    <w:rPr>
      <w:sz w:val="20"/>
      <w:szCs w:val="20"/>
    </w:rPr>
  </w:style>
  <w:style w:type="character" w:customStyle="1" w:styleId="TextonotapieCar">
    <w:name w:val="Texto nota pie Car"/>
    <w:basedOn w:val="Fuentedeprrafopredeter"/>
    <w:link w:val="Textonotapie"/>
    <w:rsid w:val="00764BFE"/>
    <w:rPr>
      <w:rFonts w:ascii="Adobe Caslon Pro" w:hAnsi="Adobe Caslon Pro"/>
      <w:color w:val="616265"/>
      <w:lang w:val="es-ES_tradnl" w:eastAsia="es-ES"/>
    </w:rPr>
  </w:style>
  <w:style w:type="character" w:styleId="Refdenotaalpie">
    <w:name w:val="footnote reference"/>
    <w:basedOn w:val="Fuentedeprrafopredeter"/>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3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6E583F"/>
    <w:rPr>
      <w:rFonts w:ascii="Soberana Sans" w:hAnsi="Soberana Sans"/>
      <w:b/>
      <w:bCs/>
      <w:i/>
      <w:iCs/>
      <w:color w:val="4F81BD" w:themeColor="accent1"/>
      <w:sz w:val="24"/>
      <w:szCs w:val="24"/>
      <w:lang w:val="es-ES_tradnl" w:eastAsia="es-ES"/>
    </w:rPr>
  </w:style>
  <w:style w:type="character" w:styleId="Hipervnculo">
    <w:name w:val="Hyperlink"/>
    <w:basedOn w:val="Fuentedeprrafopredeter"/>
    <w:uiPriority w:val="99"/>
    <w:unhideWhenUsed/>
    <w:rsid w:val="009F7FE7"/>
    <w:rPr>
      <w:color w:val="0000FF"/>
      <w:u w:val="single"/>
    </w:rPr>
  </w:style>
  <w:style w:type="character" w:styleId="Hipervnculovisitado">
    <w:name w:val="FollowedHyperlink"/>
    <w:basedOn w:val="Fuentedeprrafopredeter"/>
    <w:uiPriority w:val="99"/>
    <w:semiHidden/>
    <w:unhideWhenUsed/>
    <w:rsid w:val="009F7FE7"/>
    <w:rPr>
      <w:color w:val="800080"/>
      <w:u w:val="single"/>
    </w:rPr>
  </w:style>
  <w:style w:type="paragraph" w:customStyle="1" w:styleId="xl66">
    <w:name w:val="xl66"/>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67">
    <w:name w:val="xl67"/>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68">
    <w:name w:val="xl68"/>
    <w:basedOn w:val="Normal"/>
    <w:rsid w:val="009F7FE7"/>
    <w:pPr>
      <w:spacing w:before="100" w:beforeAutospacing="1" w:after="100" w:afterAutospacing="1"/>
      <w:jc w:val="center"/>
      <w:textAlignment w:val="top"/>
    </w:pPr>
    <w:rPr>
      <w:rFonts w:ascii="Adobe Caslon Pro" w:eastAsia="Times New Roman" w:hAnsi="Adobe Caslon Pro"/>
      <w:b/>
      <w:bCs/>
      <w:sz w:val="24"/>
      <w:lang w:val="es-MX" w:eastAsia="es-MX"/>
    </w:rPr>
  </w:style>
  <w:style w:type="paragraph" w:customStyle="1" w:styleId="xl69">
    <w:name w:val="xl69"/>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0">
    <w:name w:val="xl70"/>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1">
    <w:name w:val="xl71"/>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2">
    <w:name w:val="xl72"/>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3">
    <w:name w:val="xl73"/>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4">
    <w:name w:val="xl74"/>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5">
    <w:name w:val="xl75"/>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76">
    <w:name w:val="xl76"/>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7">
    <w:name w:val="xl77"/>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8">
    <w:name w:val="xl78"/>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9">
    <w:name w:val="xl79"/>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80">
    <w:name w:val="xl80"/>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1">
    <w:name w:val="xl81"/>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2">
    <w:name w:val="xl82"/>
    <w:basedOn w:val="Normal"/>
    <w:rsid w:val="009F7FE7"/>
    <w:pPr>
      <w:spacing w:before="100" w:beforeAutospacing="1" w:after="100" w:afterAutospacing="1"/>
      <w:textAlignment w:val="top"/>
    </w:pPr>
    <w:rPr>
      <w:rFonts w:ascii="Adobe Caslon Pro" w:eastAsia="Times New Roman" w:hAnsi="Adobe Caslon Pro"/>
      <w:color w:val="000000"/>
      <w:sz w:val="24"/>
      <w:lang w:val="es-MX" w:eastAsia="es-MX"/>
    </w:rPr>
  </w:style>
  <w:style w:type="paragraph" w:customStyle="1" w:styleId="xl83">
    <w:name w:val="xl83"/>
    <w:basedOn w:val="Normal"/>
    <w:rsid w:val="009F7FE7"/>
    <w:pPr>
      <w:spacing w:before="100" w:beforeAutospacing="1" w:after="100" w:afterAutospacing="1"/>
      <w:jc w:val="both"/>
      <w:textAlignment w:val="top"/>
    </w:pPr>
    <w:rPr>
      <w:rFonts w:ascii="Adobe Caslon Pro" w:eastAsia="Times New Roman" w:hAnsi="Adobe Caslon Pro"/>
      <w:color w:val="000000"/>
      <w:sz w:val="24"/>
      <w:lang w:val="es-MX" w:eastAsia="es-MX"/>
    </w:rPr>
  </w:style>
  <w:style w:type="paragraph" w:customStyle="1" w:styleId="xl84">
    <w:name w:val="xl84"/>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85">
    <w:name w:val="xl85"/>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86">
    <w:name w:val="xl86"/>
    <w:basedOn w:val="Normal"/>
    <w:rsid w:val="009F7FE7"/>
    <w:pPr>
      <w:pBdr>
        <w:bottom w:val="single" w:sz="12"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87">
    <w:name w:val="xl87"/>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88">
    <w:name w:val="xl88"/>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9">
    <w:name w:val="xl89"/>
    <w:basedOn w:val="Normal"/>
    <w:rsid w:val="009F7FE7"/>
    <w:pPr>
      <w:shd w:val="clear" w:color="000000" w:fill="00B050"/>
      <w:spacing w:before="100" w:beforeAutospacing="1" w:after="100" w:afterAutospacing="1"/>
      <w:ind w:firstLineChars="200" w:firstLine="200"/>
    </w:pPr>
    <w:rPr>
      <w:rFonts w:ascii="Adobe Caslon Pro" w:eastAsia="Times New Roman" w:hAnsi="Adobe Caslon Pro"/>
      <w:b/>
      <w:bCs/>
      <w:color w:val="FFFFFF"/>
      <w:sz w:val="30"/>
      <w:szCs w:val="30"/>
      <w:lang w:val="es-MX" w:eastAsia="es-MX"/>
    </w:rPr>
  </w:style>
  <w:style w:type="paragraph" w:customStyle="1" w:styleId="xl90">
    <w:name w:val="xl90"/>
    <w:basedOn w:val="Normal"/>
    <w:rsid w:val="009F7FE7"/>
    <w:pP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1">
    <w:name w:val="xl91"/>
    <w:basedOn w:val="Normal"/>
    <w:rsid w:val="009F7FE7"/>
    <w:pPr>
      <w:pBdr>
        <w:bottom w:val="single" w:sz="12"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2">
    <w:name w:val="xl92"/>
    <w:basedOn w:val="Normal"/>
    <w:rsid w:val="009F7FE7"/>
    <w:pPr>
      <w:spacing w:before="100" w:beforeAutospacing="1" w:after="100" w:afterAutospacing="1"/>
      <w:textAlignment w:val="center"/>
    </w:pPr>
    <w:rPr>
      <w:rFonts w:ascii="Adobe Caslon Pro" w:eastAsia="Times New Roman" w:hAnsi="Adobe Caslon Pro"/>
      <w:b/>
      <w:bCs/>
      <w:sz w:val="24"/>
      <w:lang w:val="es-MX" w:eastAsia="es-MX"/>
    </w:rPr>
  </w:style>
  <w:style w:type="paragraph" w:customStyle="1" w:styleId="xl93">
    <w:name w:val="xl93"/>
    <w:basedOn w:val="Normal"/>
    <w:rsid w:val="009F7FE7"/>
    <w:pPr>
      <w:pBdr>
        <w:bottom w:val="single" w:sz="12" w:space="0" w:color="auto"/>
      </w:pBdr>
      <w:spacing w:before="100" w:beforeAutospacing="1" w:after="100" w:afterAutospacing="1"/>
      <w:textAlignment w:val="center"/>
    </w:pPr>
    <w:rPr>
      <w:rFonts w:ascii="Adobe Caslon Pro" w:eastAsia="Times New Roman" w:hAnsi="Adobe Caslon Pro"/>
      <w:b/>
      <w:bCs/>
      <w:sz w:val="24"/>
      <w:lang w:val="es-MX" w:eastAsia="es-MX"/>
    </w:rPr>
  </w:style>
  <w:style w:type="paragraph" w:customStyle="1" w:styleId="xl94">
    <w:name w:val="xl94"/>
    <w:basedOn w:val="Normal"/>
    <w:rsid w:val="009F7FE7"/>
    <w:pPr>
      <w:pBdr>
        <w:bottom w:val="single" w:sz="8"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5">
    <w:name w:val="xl95"/>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96">
    <w:name w:val="xl96"/>
    <w:basedOn w:val="Normal"/>
    <w:rsid w:val="009F7FE7"/>
    <w:pP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97">
    <w:name w:val="xl97"/>
    <w:basedOn w:val="Normal"/>
    <w:rsid w:val="009F7FE7"/>
    <w:pP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98">
    <w:name w:val="xl98"/>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99">
    <w:name w:val="xl99"/>
    <w:basedOn w:val="Normal"/>
    <w:rsid w:val="009F7FE7"/>
    <w:pPr>
      <w:pBdr>
        <w:bottom w:val="single" w:sz="4" w:space="0" w:color="auto"/>
      </w:pBd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100">
    <w:name w:val="xl100"/>
    <w:basedOn w:val="Normal"/>
    <w:rsid w:val="009F7FE7"/>
    <w:pPr>
      <w:pBdr>
        <w:bottom w:val="single" w:sz="4" w:space="0" w:color="auto"/>
      </w:pBdr>
      <w:spacing w:before="100" w:beforeAutospacing="1" w:after="100" w:afterAutospacing="1"/>
      <w:jc w:val="center"/>
      <w:textAlignment w:val="top"/>
    </w:pPr>
    <w:rPr>
      <w:rFonts w:ascii="Adobe Caslon Pro" w:eastAsia="Times New Roman" w:hAnsi="Adobe Caslon Pro"/>
      <w:sz w:val="24"/>
      <w:lang w:val="es-MX" w:eastAsia="es-MX"/>
    </w:rPr>
  </w:style>
  <w:style w:type="character" w:customStyle="1" w:styleId="Ttulo6Car">
    <w:name w:val="Título 6 Car"/>
    <w:basedOn w:val="Fuentedeprrafopredeter"/>
    <w:link w:val="Ttulo6"/>
    <w:uiPriority w:val="9"/>
    <w:rsid w:val="00F13410"/>
    <w:rPr>
      <w:rFonts w:eastAsia="Times New Roman"/>
      <w:i/>
      <w:iCs/>
      <w:color w:val="243F60"/>
      <w:sz w:val="24"/>
      <w:szCs w:val="24"/>
      <w:lang w:val="es-ES" w:eastAsia="es-ES"/>
    </w:rPr>
  </w:style>
  <w:style w:type="character" w:customStyle="1" w:styleId="Ttulo7Car">
    <w:name w:val="Título 7 Car"/>
    <w:basedOn w:val="Fuentedeprrafopredeter"/>
    <w:link w:val="Ttulo7"/>
    <w:uiPriority w:val="9"/>
    <w:rsid w:val="00F13410"/>
    <w:rPr>
      <w:rFonts w:eastAsia="Times New Roman"/>
      <w:i/>
      <w:iCs/>
      <w:color w:val="404040"/>
      <w:sz w:val="24"/>
      <w:szCs w:val="24"/>
      <w:lang w:val="es-ES" w:eastAsia="es-ES"/>
    </w:rPr>
  </w:style>
  <w:style w:type="character" w:customStyle="1" w:styleId="Ttulo8Car">
    <w:name w:val="Título 8 Car"/>
    <w:basedOn w:val="Fuentedeprrafopredeter"/>
    <w:link w:val="Ttulo8"/>
    <w:uiPriority w:val="9"/>
    <w:rsid w:val="00F13410"/>
    <w:rPr>
      <w:rFonts w:eastAsia="Times New Roman"/>
      <w:color w:val="404040"/>
      <w:lang w:val="es-ES" w:eastAsia="es-ES"/>
    </w:rPr>
  </w:style>
  <w:style w:type="character" w:customStyle="1" w:styleId="Ttulo9Car">
    <w:name w:val="Título 9 Car"/>
    <w:basedOn w:val="Fuentedeprrafopredeter"/>
    <w:link w:val="Ttulo9"/>
    <w:uiPriority w:val="9"/>
    <w:rsid w:val="00F13410"/>
    <w:rPr>
      <w:rFonts w:eastAsia="Times New Roman"/>
      <w:i/>
      <w:iCs/>
      <w:color w:val="404040"/>
      <w:lang w:val="es-ES" w:eastAsia="es-ES"/>
    </w:rPr>
  </w:style>
  <w:style w:type="paragraph" w:customStyle="1" w:styleId="Default">
    <w:name w:val="Default"/>
    <w:rsid w:val="00F13410"/>
    <w:pPr>
      <w:autoSpaceDE w:val="0"/>
      <w:autoSpaceDN w:val="0"/>
      <w:adjustRightInd w:val="0"/>
    </w:pPr>
    <w:rPr>
      <w:rFonts w:ascii="Times New Roman" w:eastAsia="Calibri" w:hAnsi="Times New Roman"/>
      <w:color w:val="000000"/>
      <w:sz w:val="24"/>
      <w:szCs w:val="24"/>
      <w:lang w:eastAsia="en-US"/>
    </w:rPr>
  </w:style>
  <w:style w:type="table" w:styleId="Tablaconcuadrcula">
    <w:name w:val="Table Grid"/>
    <w:basedOn w:val="Tablanormal"/>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Figura 1"/>
    <w:basedOn w:val="Normal"/>
    <w:link w:val="PrrafodelistaCar"/>
    <w:uiPriority w:val="34"/>
    <w:qFormat/>
    <w:rsid w:val="00F13410"/>
    <w:pPr>
      <w:spacing w:after="200" w:line="276" w:lineRule="auto"/>
      <w:ind w:left="720"/>
      <w:contextualSpacing/>
    </w:pPr>
    <w:rPr>
      <w:rFonts w:ascii="Calibri" w:eastAsia="Calibri" w:hAnsi="Calibri"/>
      <w:szCs w:val="22"/>
      <w:lang w:val="es-MX" w:eastAsia="en-US"/>
    </w:rPr>
  </w:style>
  <w:style w:type="table" w:customStyle="1" w:styleId="Tablaconcuadrcula3">
    <w:name w:val="Tabla con cuadrícula3"/>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3410"/>
    <w:rPr>
      <w:rFonts w:ascii="Times New Roman" w:hAnsi="Times New Roman"/>
      <w:sz w:val="24"/>
    </w:rPr>
  </w:style>
  <w:style w:type="table" w:customStyle="1" w:styleId="Tablaconcuadrcula11">
    <w:name w:val="Tabla con cuadrícula1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Figura 1 Car"/>
    <w:basedOn w:val="Fuentedeprrafopredeter"/>
    <w:link w:val="Prrafodelista"/>
    <w:uiPriority w:val="34"/>
    <w:locked/>
    <w:rsid w:val="00F13410"/>
    <w:rPr>
      <w:rFonts w:ascii="Calibri" w:eastAsia="Calibri" w:hAnsi="Calibri"/>
      <w:sz w:val="22"/>
      <w:szCs w:val="22"/>
      <w:lang w:eastAsia="en-US"/>
    </w:rPr>
  </w:style>
  <w:style w:type="character" w:styleId="Refdecomentario">
    <w:name w:val="annotation reference"/>
    <w:basedOn w:val="Fuentedeprrafopredeter"/>
    <w:semiHidden/>
    <w:unhideWhenUsed/>
    <w:rsid w:val="00F13410"/>
    <w:rPr>
      <w:sz w:val="16"/>
      <w:szCs w:val="16"/>
    </w:rPr>
  </w:style>
  <w:style w:type="paragraph" w:styleId="Textocomentario">
    <w:name w:val="annotation text"/>
    <w:basedOn w:val="Normal"/>
    <w:link w:val="TextocomentarioCar"/>
    <w:unhideWhenUsed/>
    <w:rsid w:val="00F13410"/>
    <w:rPr>
      <w:sz w:val="20"/>
      <w:szCs w:val="20"/>
    </w:rPr>
  </w:style>
  <w:style w:type="character" w:customStyle="1" w:styleId="TextocomentarioCar">
    <w:name w:val="Texto comentario Car"/>
    <w:basedOn w:val="Fuentedeprrafopredeter"/>
    <w:link w:val="Textocomentario"/>
    <w:rsid w:val="00F13410"/>
    <w:rPr>
      <w:rFonts w:ascii="Soberana Sans" w:hAnsi="Soberana Sans"/>
      <w:lang w:val="es-ES_tradnl" w:eastAsia="es-ES"/>
    </w:rPr>
  </w:style>
  <w:style w:type="paragraph" w:styleId="Asuntodelcomentario">
    <w:name w:val="annotation subject"/>
    <w:basedOn w:val="Textocomentario"/>
    <w:next w:val="Textocomentario"/>
    <w:link w:val="AsuntodelcomentarioCar"/>
    <w:unhideWhenUsed/>
    <w:rsid w:val="00F13410"/>
    <w:rPr>
      <w:b/>
      <w:bCs/>
    </w:rPr>
  </w:style>
  <w:style w:type="character" w:customStyle="1" w:styleId="AsuntodelcomentarioCar">
    <w:name w:val="Asunto del comentario Car"/>
    <w:basedOn w:val="TextocomentarioCar"/>
    <w:link w:val="Asuntodelcomentario"/>
    <w:rsid w:val="00F13410"/>
    <w:rPr>
      <w:rFonts w:ascii="Soberana Sans" w:hAnsi="Soberana Sans"/>
      <w:b/>
      <w:bCs/>
      <w:lang w:val="es-ES_tradnl" w:eastAsia="es-ES"/>
    </w:rPr>
  </w:style>
  <w:style w:type="paragraph" w:styleId="Revisin">
    <w:name w:val="Revision"/>
    <w:hidden/>
    <w:uiPriority w:val="99"/>
    <w:rsid w:val="00F13410"/>
    <w:rPr>
      <w:rFonts w:ascii="Soberana Sans" w:hAnsi="Soberana Sans"/>
      <w:sz w:val="22"/>
      <w:szCs w:val="24"/>
      <w:lang w:val="es-ES_tradnl" w:eastAsia="es-ES"/>
    </w:rPr>
  </w:style>
  <w:style w:type="paragraph" w:styleId="Mapadeldocumento">
    <w:name w:val="Document Map"/>
    <w:basedOn w:val="Normal"/>
    <w:link w:val="MapadeldocumentoCar"/>
    <w:uiPriority w:val="99"/>
    <w:semiHidden/>
    <w:unhideWhenUsed/>
    <w:rsid w:val="00F13410"/>
    <w:pPr>
      <w:spacing w:after="0"/>
    </w:pPr>
    <w:rPr>
      <w:rFonts w:ascii="Lucida Grande" w:hAnsi="Lucida Grande" w:cs="Lucida Grande"/>
      <w:sz w:val="24"/>
    </w:rPr>
  </w:style>
  <w:style w:type="character" w:customStyle="1" w:styleId="MapadeldocumentoCar">
    <w:name w:val="Mapa del documento Car"/>
    <w:basedOn w:val="Fuentedeprrafopredeter"/>
    <w:link w:val="Mapadeldocumento"/>
    <w:uiPriority w:val="99"/>
    <w:semiHidden/>
    <w:rsid w:val="00F13410"/>
    <w:rPr>
      <w:rFonts w:ascii="Lucida Grande" w:hAnsi="Lucida Grande" w:cs="Lucida Grande"/>
      <w:sz w:val="24"/>
      <w:szCs w:val="24"/>
      <w:lang w:val="es-ES_tradnl" w:eastAsia="es-ES"/>
    </w:rPr>
  </w:style>
  <w:style w:type="character" w:customStyle="1" w:styleId="st">
    <w:name w:val="st"/>
    <w:basedOn w:val="Fuentedeprrafopredeter"/>
    <w:rsid w:val="00F13410"/>
  </w:style>
  <w:style w:type="character" w:styleId="nfasis">
    <w:name w:val="Emphasis"/>
    <w:basedOn w:val="Fuentedeprrafopredeter"/>
    <w:uiPriority w:val="20"/>
    <w:qFormat/>
    <w:rsid w:val="00F13410"/>
    <w:rPr>
      <w:b/>
      <w:bCs/>
      <w:i w:val="0"/>
      <w:iCs w:val="0"/>
    </w:rPr>
  </w:style>
  <w:style w:type="paragraph" w:styleId="Sinespaciado">
    <w:name w:val="No Spacing"/>
    <w:link w:val="SinespaciadoCar"/>
    <w:uiPriority w:val="1"/>
    <w:qFormat/>
    <w:rsid w:val="00F13410"/>
    <w:pPr>
      <w:overflowPunct w:val="0"/>
      <w:autoSpaceDE w:val="0"/>
      <w:autoSpaceDN w:val="0"/>
      <w:adjustRightInd w:val="0"/>
      <w:textAlignment w:val="baseline"/>
    </w:pPr>
    <w:rPr>
      <w:rFonts w:ascii="Times New Roman" w:eastAsia="Times New Roman" w:hAnsi="Times New Roman"/>
      <w:lang w:eastAsia="es-ES"/>
    </w:rPr>
  </w:style>
  <w:style w:type="paragraph" w:styleId="Descripcin">
    <w:name w:val="caption"/>
    <w:basedOn w:val="Normal"/>
    <w:next w:val="Normal"/>
    <w:uiPriority w:val="35"/>
    <w:unhideWhenUsed/>
    <w:qFormat/>
    <w:rsid w:val="00F13410"/>
    <w:pPr>
      <w:spacing w:after="200"/>
    </w:pPr>
    <w:rPr>
      <w:rFonts w:asciiTheme="minorHAnsi" w:eastAsiaTheme="minorHAnsi" w:hAnsiTheme="minorHAnsi" w:cstheme="minorBidi"/>
      <w:b/>
      <w:bCs/>
      <w:color w:val="4F81BD" w:themeColor="accent1"/>
      <w:sz w:val="18"/>
      <w:szCs w:val="18"/>
      <w:lang w:val="es-MX" w:eastAsia="en-US"/>
    </w:rPr>
  </w:style>
  <w:style w:type="paragraph" w:customStyle="1" w:styleId="SECRETARIADELAFUNCIONPUBLICA">
    <w:name w:val="SECRETARIA DE LA FUNCION PUBLICA"/>
    <w:basedOn w:val="Normal"/>
    <w:rsid w:val="00F13410"/>
    <w:pPr>
      <w:spacing w:after="0"/>
    </w:pPr>
    <w:rPr>
      <w:rFonts w:ascii="Arial" w:eastAsia="Batang" w:hAnsi="Arial"/>
      <w:kern w:val="18"/>
      <w:sz w:val="18"/>
      <w:szCs w:val="20"/>
      <w:lang w:val="es-ES" w:eastAsia="en-US"/>
    </w:rPr>
  </w:style>
  <w:style w:type="numbering" w:customStyle="1" w:styleId="Estilo1">
    <w:name w:val="Estilo1"/>
    <w:rsid w:val="00F13410"/>
    <w:pPr>
      <w:numPr>
        <w:numId w:val="13"/>
      </w:numPr>
    </w:pPr>
  </w:style>
  <w:style w:type="paragraph" w:customStyle="1" w:styleId="Notaalpie">
    <w:name w:val="Nota al pie"/>
    <w:basedOn w:val="Textonotapie"/>
    <w:link w:val="NotaalpieCar"/>
    <w:qFormat/>
    <w:rsid w:val="002C6A61"/>
    <w:pPr>
      <w:ind w:left="284" w:hanging="284"/>
      <w:jc w:val="both"/>
    </w:pPr>
    <w:rPr>
      <w:sz w:val="16"/>
      <w:szCs w:val="16"/>
      <w:lang w:val="es-MX"/>
    </w:rPr>
  </w:style>
  <w:style w:type="character" w:customStyle="1" w:styleId="NotaalpieCar">
    <w:name w:val="Nota al pie Car"/>
    <w:link w:val="Notaalpie"/>
    <w:rsid w:val="002C6A61"/>
    <w:rPr>
      <w:rFonts w:ascii="Soberana Sans" w:hAnsi="Soberana Sans"/>
      <w:sz w:val="16"/>
      <w:szCs w:val="16"/>
      <w:lang w:eastAsia="es-ES"/>
    </w:rPr>
  </w:style>
  <w:style w:type="numbering" w:customStyle="1" w:styleId="Sinlista1">
    <w:name w:val="Sin lista1"/>
    <w:next w:val="Sinlista"/>
    <w:uiPriority w:val="99"/>
    <w:semiHidden/>
    <w:unhideWhenUsed/>
    <w:rsid w:val="00F13410"/>
  </w:style>
  <w:style w:type="paragraph" w:styleId="Textoindependiente">
    <w:name w:val="Body Text"/>
    <w:basedOn w:val="Normal"/>
    <w:link w:val="TextoindependienteCar"/>
    <w:rsid w:val="00F13410"/>
    <w:pPr>
      <w:spacing w:after="240" w:line="240" w:lineRule="atLeast"/>
      <w:ind w:firstLine="360"/>
      <w:jc w:val="both"/>
    </w:pPr>
    <w:rPr>
      <w:rFonts w:ascii="Calibri" w:eastAsia="Times New Roman" w:hAnsi="Calibri"/>
      <w:szCs w:val="22"/>
      <w:lang w:val="en-US" w:eastAsia="zh-CN"/>
    </w:rPr>
  </w:style>
  <w:style w:type="character" w:customStyle="1" w:styleId="TextoindependienteCar">
    <w:name w:val="Texto independiente Car"/>
    <w:basedOn w:val="Fuentedeprrafopredeter"/>
    <w:link w:val="Textoindependiente"/>
    <w:rsid w:val="00F13410"/>
    <w:rPr>
      <w:rFonts w:ascii="Calibri" w:eastAsia="Times New Roman" w:hAnsi="Calibri"/>
      <w:sz w:val="22"/>
      <w:szCs w:val="22"/>
      <w:lang w:val="en-US" w:eastAsia="zh-CN"/>
    </w:rPr>
  </w:style>
  <w:style w:type="paragraph" w:customStyle="1" w:styleId="BlockQuotation">
    <w:name w:val="Block Quotation"/>
    <w:basedOn w:val="Textoindependiente"/>
    <w:link w:val="BlockQuotationChar"/>
    <w:rsid w:val="00F13410"/>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sid w:val="00F13410"/>
    <w:rPr>
      <w:rFonts w:ascii="Calibri" w:eastAsia="Times New Roman" w:hAnsi="Calibri"/>
      <w:i/>
      <w:sz w:val="22"/>
      <w:szCs w:val="22"/>
      <w:lang w:val="en-US" w:eastAsia="zh-CN"/>
    </w:rPr>
  </w:style>
  <w:style w:type="character" w:styleId="Refdenotaalfinal">
    <w:name w:val="endnote reference"/>
    <w:rsid w:val="00F13410"/>
    <w:rPr>
      <w:vertAlign w:val="superscript"/>
    </w:rPr>
  </w:style>
  <w:style w:type="paragraph" w:styleId="Textonotaalfinal">
    <w:name w:val="endnote text"/>
    <w:basedOn w:val="Normal"/>
    <w:link w:val="TextonotaalfinalCar"/>
    <w:rsid w:val="00F13410"/>
    <w:pPr>
      <w:spacing w:after="200" w:line="276" w:lineRule="auto"/>
      <w:jc w:val="both"/>
    </w:pPr>
    <w:rPr>
      <w:rFonts w:ascii="Calibri" w:eastAsia="Times New Roman" w:hAnsi="Calibri"/>
      <w:szCs w:val="22"/>
      <w:lang w:val="en-US" w:eastAsia="zh-CN"/>
    </w:rPr>
  </w:style>
  <w:style w:type="character" w:customStyle="1" w:styleId="TextonotaalfinalCar">
    <w:name w:val="Texto nota al final Car"/>
    <w:basedOn w:val="Fuentedeprrafopredeter"/>
    <w:link w:val="Textonotaalfinal"/>
    <w:rsid w:val="00F13410"/>
    <w:rPr>
      <w:rFonts w:ascii="Calibri" w:eastAsia="Times New Roman" w:hAnsi="Calibri"/>
      <w:sz w:val="22"/>
      <w:szCs w:val="22"/>
      <w:lang w:val="en-US" w:eastAsia="zh-CN"/>
    </w:rPr>
  </w:style>
  <w:style w:type="paragraph" w:styleId="ndice1">
    <w:name w:val="index 1"/>
    <w:basedOn w:val="Normal"/>
    <w:rsid w:val="00F13410"/>
    <w:pPr>
      <w:spacing w:after="200" w:line="276" w:lineRule="auto"/>
      <w:jc w:val="both"/>
    </w:pPr>
    <w:rPr>
      <w:rFonts w:ascii="Calibri" w:eastAsia="Times New Roman" w:hAnsi="Calibri"/>
      <w:sz w:val="21"/>
      <w:szCs w:val="22"/>
      <w:lang w:val="en-US" w:eastAsia="zh-CN"/>
    </w:rPr>
  </w:style>
  <w:style w:type="paragraph" w:styleId="ndice2">
    <w:name w:val="index 2"/>
    <w:basedOn w:val="Normal"/>
    <w:rsid w:val="00F13410"/>
    <w:pPr>
      <w:spacing w:after="200" w:line="276" w:lineRule="auto"/>
      <w:ind w:hanging="240"/>
      <w:jc w:val="both"/>
    </w:pPr>
    <w:rPr>
      <w:rFonts w:ascii="Calibri" w:eastAsia="Times New Roman" w:hAnsi="Calibri"/>
      <w:sz w:val="21"/>
      <w:szCs w:val="22"/>
      <w:lang w:val="en-US" w:eastAsia="zh-CN"/>
    </w:rPr>
  </w:style>
  <w:style w:type="paragraph" w:styleId="ndice3">
    <w:name w:val="index 3"/>
    <w:basedOn w:val="Normal"/>
    <w:rsid w:val="00F13410"/>
    <w:pPr>
      <w:spacing w:after="200" w:line="276" w:lineRule="auto"/>
      <w:ind w:left="480" w:hanging="240"/>
      <w:jc w:val="both"/>
    </w:pPr>
    <w:rPr>
      <w:rFonts w:ascii="Calibri" w:eastAsia="Times New Roman" w:hAnsi="Calibri"/>
      <w:sz w:val="21"/>
      <w:szCs w:val="22"/>
      <w:lang w:val="en-US" w:eastAsia="zh-CN"/>
    </w:rPr>
  </w:style>
  <w:style w:type="paragraph" w:styleId="ndice4">
    <w:name w:val="index 4"/>
    <w:basedOn w:val="Normal"/>
    <w:rsid w:val="00F13410"/>
    <w:pPr>
      <w:spacing w:after="200" w:line="276" w:lineRule="auto"/>
      <w:ind w:left="600" w:hanging="240"/>
      <w:jc w:val="both"/>
    </w:pPr>
    <w:rPr>
      <w:rFonts w:ascii="Calibri" w:eastAsia="Times New Roman" w:hAnsi="Calibri"/>
      <w:sz w:val="21"/>
      <w:szCs w:val="22"/>
      <w:lang w:val="en-US" w:eastAsia="zh-CN"/>
    </w:rPr>
  </w:style>
  <w:style w:type="paragraph" w:styleId="ndice5">
    <w:name w:val="index 5"/>
    <w:basedOn w:val="Normal"/>
    <w:rsid w:val="00F13410"/>
    <w:pPr>
      <w:spacing w:after="200" w:line="276" w:lineRule="auto"/>
      <w:ind w:left="840"/>
      <w:jc w:val="both"/>
    </w:pPr>
    <w:rPr>
      <w:rFonts w:ascii="Calibri" w:eastAsia="Times New Roman" w:hAnsi="Calibri"/>
      <w:sz w:val="21"/>
      <w:szCs w:val="22"/>
      <w:lang w:val="en-US" w:eastAsia="zh-CN"/>
    </w:rPr>
  </w:style>
  <w:style w:type="paragraph" w:styleId="Ttulodendice">
    <w:name w:val="index heading"/>
    <w:basedOn w:val="Normal"/>
    <w:next w:val="ndice1"/>
    <w:rsid w:val="00F13410"/>
    <w:pPr>
      <w:spacing w:after="200" w:line="480" w:lineRule="atLeast"/>
      <w:jc w:val="both"/>
    </w:pPr>
    <w:rPr>
      <w:rFonts w:ascii="Calibri" w:eastAsia="Times New Roman" w:hAnsi="Calibri"/>
      <w:spacing w:val="-5"/>
      <w:sz w:val="28"/>
      <w:szCs w:val="22"/>
      <w:lang w:val="en-US" w:eastAsia="zh-CN"/>
    </w:rPr>
  </w:style>
  <w:style w:type="character" w:customStyle="1" w:styleId="Lead-inEmphasis">
    <w:name w:val="Lead-in Emphasis"/>
    <w:rsid w:val="00F13410"/>
    <w:rPr>
      <w:caps/>
      <w:sz w:val="18"/>
    </w:rPr>
  </w:style>
  <w:style w:type="paragraph" w:styleId="Listaconvietas">
    <w:name w:val="List Bullet"/>
    <w:basedOn w:val="Normal"/>
    <w:rsid w:val="00F13410"/>
    <w:pPr>
      <w:numPr>
        <w:numId w:val="14"/>
      </w:numPr>
      <w:tabs>
        <w:tab w:val="num" w:pos="720"/>
      </w:tabs>
      <w:spacing w:after="240" w:line="240" w:lineRule="atLeast"/>
      <w:ind w:right="720"/>
      <w:jc w:val="both"/>
    </w:pPr>
    <w:rPr>
      <w:rFonts w:ascii="Calibri" w:eastAsia="Times New Roman" w:hAnsi="Calibri"/>
      <w:szCs w:val="22"/>
      <w:lang w:val="en-US" w:eastAsia="zh-CN"/>
    </w:rPr>
  </w:style>
  <w:style w:type="paragraph" w:styleId="Textomacro">
    <w:name w:val="macro"/>
    <w:basedOn w:val="Textoindependiente"/>
    <w:link w:val="TextomacroCar"/>
    <w:rsid w:val="00F13410"/>
    <w:pPr>
      <w:spacing w:line="240" w:lineRule="auto"/>
      <w:jc w:val="left"/>
    </w:pPr>
    <w:rPr>
      <w:rFonts w:ascii="Courier New" w:hAnsi="Courier New"/>
    </w:rPr>
  </w:style>
  <w:style w:type="character" w:customStyle="1" w:styleId="TextomacroCar">
    <w:name w:val="Texto macro Car"/>
    <w:basedOn w:val="Fuentedeprrafopredeter"/>
    <w:link w:val="Textomacro"/>
    <w:rsid w:val="00F13410"/>
    <w:rPr>
      <w:rFonts w:ascii="Courier New" w:eastAsia="Times New Roman" w:hAnsi="Courier New"/>
      <w:sz w:val="22"/>
      <w:szCs w:val="22"/>
      <w:lang w:val="en-US" w:eastAsia="zh-CN"/>
    </w:rPr>
  </w:style>
  <w:style w:type="paragraph" w:customStyle="1" w:styleId="SubtitleCover">
    <w:name w:val="Subtitle Cover"/>
    <w:basedOn w:val="TitleCover"/>
    <w:next w:val="Textoindependiente"/>
    <w:rsid w:val="00F13410"/>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F13410"/>
    <w:pPr>
      <w:keepNext/>
      <w:keepLines/>
      <w:spacing w:after="240" w:line="720" w:lineRule="atLeast"/>
      <w:jc w:val="center"/>
    </w:pPr>
    <w:rPr>
      <w:rFonts w:ascii="Calibri" w:eastAsia="Times New Roman" w:hAnsi="Calibri"/>
      <w:caps/>
      <w:spacing w:val="65"/>
      <w:kern w:val="20"/>
      <w:sz w:val="64"/>
      <w:szCs w:val="22"/>
      <w:lang w:val="en-US" w:eastAsia="zh-CN"/>
    </w:rPr>
  </w:style>
  <w:style w:type="paragraph" w:styleId="Tabladeilustraciones">
    <w:name w:val="table of figures"/>
    <w:basedOn w:val="Normal"/>
    <w:rsid w:val="00F13410"/>
    <w:pPr>
      <w:spacing w:after="200" w:line="276" w:lineRule="auto"/>
      <w:jc w:val="both"/>
    </w:pPr>
    <w:rPr>
      <w:rFonts w:ascii="Calibri" w:eastAsia="Times New Roman" w:hAnsi="Calibri"/>
      <w:szCs w:val="22"/>
      <w:lang w:val="en-US" w:eastAsia="zh-CN"/>
    </w:rPr>
  </w:style>
  <w:style w:type="paragraph" w:styleId="TDC1">
    <w:name w:val="toc 1"/>
    <w:basedOn w:val="Normal"/>
    <w:uiPriority w:val="39"/>
    <w:qFormat/>
    <w:rsid w:val="00F13410"/>
    <w:pPr>
      <w:spacing w:before="120" w:after="0" w:line="276" w:lineRule="auto"/>
    </w:pPr>
    <w:rPr>
      <w:rFonts w:ascii="Calibri" w:eastAsia="Times New Roman" w:hAnsi="Calibri" w:cs="Calibri"/>
      <w:b/>
      <w:bCs/>
      <w:i/>
      <w:iCs/>
      <w:sz w:val="24"/>
      <w:lang w:val="en-US" w:eastAsia="zh-CN"/>
    </w:rPr>
  </w:style>
  <w:style w:type="paragraph" w:styleId="TDC2">
    <w:name w:val="toc 2"/>
    <w:basedOn w:val="Normal"/>
    <w:uiPriority w:val="39"/>
    <w:qFormat/>
    <w:rsid w:val="00F13410"/>
    <w:pPr>
      <w:spacing w:before="120" w:after="0" w:line="276" w:lineRule="auto"/>
      <w:ind w:left="220"/>
    </w:pPr>
    <w:rPr>
      <w:rFonts w:ascii="Calibri" w:eastAsia="Times New Roman" w:hAnsi="Calibri" w:cs="Calibri"/>
      <w:b/>
      <w:bCs/>
      <w:szCs w:val="22"/>
      <w:lang w:val="en-US" w:eastAsia="zh-CN"/>
    </w:rPr>
  </w:style>
  <w:style w:type="paragraph" w:styleId="TDC3">
    <w:name w:val="toc 3"/>
    <w:basedOn w:val="Normal"/>
    <w:uiPriority w:val="39"/>
    <w:qFormat/>
    <w:rsid w:val="00F13410"/>
    <w:pPr>
      <w:spacing w:after="0" w:line="276" w:lineRule="auto"/>
      <w:ind w:left="440"/>
    </w:pPr>
    <w:rPr>
      <w:rFonts w:ascii="Calibri" w:eastAsia="Times New Roman" w:hAnsi="Calibri" w:cs="Calibri"/>
      <w:sz w:val="20"/>
      <w:szCs w:val="20"/>
      <w:lang w:val="en-US" w:eastAsia="zh-CN"/>
    </w:rPr>
  </w:style>
  <w:style w:type="paragraph" w:styleId="TDC4">
    <w:name w:val="toc 4"/>
    <w:basedOn w:val="Normal"/>
    <w:rsid w:val="00F13410"/>
    <w:pPr>
      <w:spacing w:after="0" w:line="276" w:lineRule="auto"/>
      <w:ind w:left="660"/>
    </w:pPr>
    <w:rPr>
      <w:rFonts w:ascii="Calibri" w:eastAsia="Times New Roman" w:hAnsi="Calibri" w:cs="Calibri"/>
      <w:sz w:val="20"/>
      <w:szCs w:val="20"/>
      <w:lang w:val="en-US" w:eastAsia="zh-CN"/>
    </w:rPr>
  </w:style>
  <w:style w:type="paragraph" w:styleId="TDC5">
    <w:name w:val="toc 5"/>
    <w:basedOn w:val="Normal"/>
    <w:rsid w:val="00F13410"/>
    <w:pPr>
      <w:spacing w:after="0" w:line="276" w:lineRule="auto"/>
      <w:ind w:left="880"/>
    </w:pPr>
    <w:rPr>
      <w:rFonts w:ascii="Calibri" w:eastAsia="Times New Roman" w:hAnsi="Calibri" w:cs="Calibri"/>
      <w:sz w:val="20"/>
      <w:szCs w:val="20"/>
      <w:lang w:val="en-US" w:eastAsia="zh-CN"/>
    </w:rPr>
  </w:style>
  <w:style w:type="paragraph" w:styleId="Subttulo">
    <w:name w:val="Subtitle"/>
    <w:basedOn w:val="Normal"/>
    <w:next w:val="Normal"/>
    <w:link w:val="SubttuloCar"/>
    <w:uiPriority w:val="11"/>
    <w:qFormat/>
    <w:rsid w:val="00F13410"/>
    <w:pPr>
      <w:numPr>
        <w:ilvl w:val="1"/>
      </w:numPr>
      <w:spacing w:after="200" w:line="276" w:lineRule="auto"/>
      <w:jc w:val="both"/>
    </w:pPr>
    <w:rPr>
      <w:rFonts w:ascii="Cambria" w:eastAsia="Times New Roman" w:hAnsi="Cambria"/>
      <w:i/>
      <w:iCs/>
      <w:color w:val="4F81BD"/>
      <w:spacing w:val="15"/>
      <w:sz w:val="24"/>
      <w:lang w:val="en-US" w:eastAsia="zh-CN"/>
    </w:rPr>
  </w:style>
  <w:style w:type="character" w:customStyle="1" w:styleId="SubttuloCar">
    <w:name w:val="Subtítulo Car"/>
    <w:basedOn w:val="Fuentedeprrafopredeter"/>
    <w:link w:val="Subttulo"/>
    <w:uiPriority w:val="11"/>
    <w:rsid w:val="00F13410"/>
    <w:rPr>
      <w:rFonts w:eastAsia="Times New Roman"/>
      <w:i/>
      <w:iCs/>
      <w:color w:val="4F81BD"/>
      <w:spacing w:val="15"/>
      <w:sz w:val="24"/>
      <w:szCs w:val="24"/>
      <w:lang w:val="en-US" w:eastAsia="zh-CN"/>
    </w:rPr>
  </w:style>
  <w:style w:type="paragraph" w:customStyle="1" w:styleId="Columnheadings">
    <w:name w:val="Column headings"/>
    <w:basedOn w:val="Normal"/>
    <w:rsid w:val="00F13410"/>
    <w:pPr>
      <w:keepNext/>
      <w:spacing w:before="80" w:after="200" w:line="276" w:lineRule="auto"/>
      <w:jc w:val="center"/>
    </w:pPr>
    <w:rPr>
      <w:rFonts w:ascii="Calibri" w:eastAsia="Times New Roman" w:hAnsi="Calibri"/>
      <w:caps/>
      <w:sz w:val="14"/>
      <w:szCs w:val="22"/>
      <w:lang w:val="en-US" w:eastAsia="zh-CN"/>
    </w:rPr>
  </w:style>
  <w:style w:type="paragraph" w:customStyle="1" w:styleId="CompanyName">
    <w:name w:val="Company Name"/>
    <w:basedOn w:val="Textoindependiente"/>
    <w:rsid w:val="00F13410"/>
    <w:pPr>
      <w:keepLines/>
      <w:framePr w:w="8640" w:h="1440" w:wrap="notBeside" w:vAnchor="page" w:hAnchor="margin" w:xAlign="center" w:y="889"/>
      <w:spacing w:after="40"/>
      <w:ind w:firstLine="0"/>
      <w:jc w:val="center"/>
    </w:pPr>
    <w:rPr>
      <w:caps/>
      <w:spacing w:val="75"/>
      <w:kern w:val="18"/>
    </w:rPr>
  </w:style>
  <w:style w:type="paragraph" w:styleId="Textoconsangra">
    <w:name w:val="table of authorities"/>
    <w:basedOn w:val="Normal"/>
    <w:rsid w:val="00F13410"/>
    <w:pPr>
      <w:tabs>
        <w:tab w:val="right" w:leader="dot" w:pos="7560"/>
      </w:tabs>
      <w:spacing w:after="200" w:line="276" w:lineRule="auto"/>
      <w:jc w:val="both"/>
    </w:pPr>
    <w:rPr>
      <w:rFonts w:ascii="Calibri" w:eastAsia="Times New Roman" w:hAnsi="Calibri"/>
      <w:szCs w:val="22"/>
      <w:lang w:val="en-US" w:eastAsia="zh-CN"/>
    </w:rPr>
  </w:style>
  <w:style w:type="paragraph" w:styleId="Encabezadodelista">
    <w:name w:val="toa heading"/>
    <w:basedOn w:val="Normal"/>
    <w:next w:val="Textoconsangra"/>
    <w:rsid w:val="00F13410"/>
    <w:pPr>
      <w:keepNext/>
      <w:spacing w:after="200" w:line="720" w:lineRule="atLeast"/>
      <w:jc w:val="both"/>
    </w:pPr>
    <w:rPr>
      <w:rFonts w:ascii="Calibri" w:eastAsia="Times New Roman" w:hAnsi="Calibri"/>
      <w:caps/>
      <w:spacing w:val="-10"/>
      <w:kern w:val="28"/>
      <w:szCs w:val="22"/>
      <w:lang w:val="en-US" w:eastAsia="zh-CN"/>
    </w:rPr>
  </w:style>
  <w:style w:type="paragraph" w:customStyle="1" w:styleId="Rowlabels">
    <w:name w:val="Row labels"/>
    <w:basedOn w:val="Normal"/>
    <w:rsid w:val="00F13410"/>
    <w:pPr>
      <w:keepNext/>
      <w:spacing w:before="40" w:after="200" w:line="276" w:lineRule="auto"/>
      <w:jc w:val="both"/>
    </w:pPr>
    <w:rPr>
      <w:rFonts w:ascii="Calibri" w:eastAsia="Times New Roman" w:hAnsi="Calibri"/>
      <w:sz w:val="18"/>
      <w:szCs w:val="22"/>
      <w:lang w:val="en-US" w:eastAsia="zh-CN"/>
    </w:rPr>
  </w:style>
  <w:style w:type="paragraph" w:customStyle="1" w:styleId="Percentage">
    <w:name w:val="Percentage"/>
    <w:basedOn w:val="Normal"/>
    <w:rsid w:val="00F13410"/>
    <w:pPr>
      <w:spacing w:before="40" w:after="200" w:line="276" w:lineRule="auto"/>
      <w:jc w:val="center"/>
    </w:pPr>
    <w:rPr>
      <w:rFonts w:ascii="Calibri" w:eastAsia="Times New Roman" w:hAnsi="Calibri"/>
      <w:sz w:val="18"/>
      <w:szCs w:val="22"/>
      <w:lang w:val="en-US" w:eastAsia="zh-CN"/>
    </w:rPr>
  </w:style>
  <w:style w:type="paragraph" w:customStyle="1" w:styleId="NumberedList">
    <w:name w:val="Numbered List"/>
    <w:basedOn w:val="Normal"/>
    <w:link w:val="NumberedListChar"/>
    <w:rsid w:val="00F13410"/>
    <w:pPr>
      <w:numPr>
        <w:numId w:val="15"/>
      </w:numPr>
      <w:spacing w:after="240" w:line="312" w:lineRule="auto"/>
      <w:contextualSpacing/>
      <w:jc w:val="both"/>
    </w:pPr>
    <w:rPr>
      <w:rFonts w:ascii="Calibri" w:eastAsia="Times New Roman" w:hAnsi="Calibri"/>
      <w:szCs w:val="22"/>
      <w:lang w:val="en-US" w:eastAsia="zh-CN"/>
    </w:rPr>
  </w:style>
  <w:style w:type="character" w:customStyle="1" w:styleId="NumberedListChar">
    <w:name w:val="Numbered List Char"/>
    <w:link w:val="NumberedList"/>
    <w:rsid w:val="00F13410"/>
    <w:rPr>
      <w:rFonts w:ascii="Calibri" w:eastAsia="Times New Roman" w:hAnsi="Calibri"/>
      <w:sz w:val="22"/>
      <w:szCs w:val="22"/>
      <w:lang w:val="en-US" w:eastAsia="zh-CN"/>
    </w:rPr>
  </w:style>
  <w:style w:type="paragraph" w:customStyle="1" w:styleId="NumberedListBold">
    <w:name w:val="Numbered List Bold"/>
    <w:basedOn w:val="NumberedList"/>
    <w:link w:val="NumberedListBoldChar"/>
    <w:rsid w:val="00F13410"/>
    <w:rPr>
      <w:b/>
      <w:bCs/>
    </w:rPr>
  </w:style>
  <w:style w:type="character" w:customStyle="1" w:styleId="NumberedListBoldChar">
    <w:name w:val="Numbered List Bold Char"/>
    <w:link w:val="NumberedListBold"/>
    <w:rsid w:val="00F13410"/>
    <w:rPr>
      <w:rFonts w:ascii="Calibri" w:eastAsia="Times New Roman" w:hAnsi="Calibri"/>
      <w:b/>
      <w:bCs/>
      <w:sz w:val="22"/>
      <w:szCs w:val="22"/>
      <w:lang w:val="en-US" w:eastAsia="zh-CN"/>
    </w:rPr>
  </w:style>
  <w:style w:type="paragraph" w:customStyle="1" w:styleId="LineSpace">
    <w:name w:val="Line Space"/>
    <w:basedOn w:val="Normal"/>
    <w:rsid w:val="00F13410"/>
    <w:pPr>
      <w:spacing w:after="200" w:line="276" w:lineRule="auto"/>
      <w:jc w:val="both"/>
    </w:pPr>
    <w:rPr>
      <w:rFonts w:ascii="Verdana" w:eastAsia="Times New Roman" w:hAnsi="Verdana"/>
      <w:sz w:val="12"/>
      <w:szCs w:val="22"/>
      <w:lang w:val="en-US" w:eastAsia="zh-CN"/>
    </w:rPr>
  </w:style>
  <w:style w:type="character" w:customStyle="1" w:styleId="SinespaciadoCar">
    <w:name w:val="Sin espaciado Car"/>
    <w:link w:val="Sinespaciado"/>
    <w:uiPriority w:val="1"/>
    <w:rsid w:val="00F13410"/>
    <w:rPr>
      <w:rFonts w:ascii="Times New Roman" w:eastAsia="Times New Roman" w:hAnsi="Times New Roman"/>
      <w:lang w:eastAsia="es-ES"/>
    </w:rPr>
  </w:style>
  <w:style w:type="character" w:styleId="Textoennegrita">
    <w:name w:val="Strong"/>
    <w:uiPriority w:val="22"/>
    <w:qFormat/>
    <w:rsid w:val="00F13410"/>
    <w:rPr>
      <w:b/>
      <w:bCs/>
    </w:rPr>
  </w:style>
  <w:style w:type="paragraph" w:styleId="Cita">
    <w:name w:val="Quote"/>
    <w:basedOn w:val="Normal"/>
    <w:next w:val="Normal"/>
    <w:link w:val="CitaCar"/>
    <w:uiPriority w:val="29"/>
    <w:qFormat/>
    <w:rsid w:val="00F13410"/>
    <w:pPr>
      <w:spacing w:after="200" w:line="276" w:lineRule="auto"/>
      <w:jc w:val="both"/>
    </w:pPr>
    <w:rPr>
      <w:rFonts w:ascii="Calibri" w:eastAsia="Times New Roman" w:hAnsi="Calibri"/>
      <w:i/>
      <w:iCs/>
      <w:color w:val="000000"/>
      <w:szCs w:val="22"/>
      <w:lang w:val="en-US" w:eastAsia="zh-CN"/>
    </w:rPr>
  </w:style>
  <w:style w:type="character" w:customStyle="1" w:styleId="CitaCar">
    <w:name w:val="Cita Car"/>
    <w:basedOn w:val="Fuentedeprrafopredeter"/>
    <w:link w:val="Cita"/>
    <w:uiPriority w:val="29"/>
    <w:rsid w:val="00F13410"/>
    <w:rPr>
      <w:rFonts w:ascii="Calibri" w:eastAsia="Times New Roman" w:hAnsi="Calibri"/>
      <w:i/>
      <w:iCs/>
      <w:color w:val="000000"/>
      <w:sz w:val="22"/>
      <w:szCs w:val="22"/>
      <w:lang w:val="en-US" w:eastAsia="zh-CN"/>
    </w:rPr>
  </w:style>
  <w:style w:type="character" w:styleId="nfasissutil">
    <w:name w:val="Subtle Emphasis"/>
    <w:uiPriority w:val="19"/>
    <w:qFormat/>
    <w:rsid w:val="00F13410"/>
    <w:rPr>
      <w:i/>
      <w:iCs/>
      <w:color w:val="808080"/>
    </w:rPr>
  </w:style>
  <w:style w:type="character" w:styleId="nfasisintenso">
    <w:name w:val="Intense Emphasis"/>
    <w:uiPriority w:val="21"/>
    <w:qFormat/>
    <w:rsid w:val="00F13410"/>
    <w:rPr>
      <w:b/>
      <w:bCs/>
      <w:i/>
      <w:iCs/>
      <w:color w:val="4F81BD"/>
    </w:rPr>
  </w:style>
  <w:style w:type="character" w:styleId="Referenciasutil">
    <w:name w:val="Subtle Reference"/>
    <w:uiPriority w:val="31"/>
    <w:qFormat/>
    <w:rsid w:val="00F13410"/>
    <w:rPr>
      <w:smallCaps/>
      <w:color w:val="C0504D"/>
      <w:u w:val="single"/>
    </w:rPr>
  </w:style>
  <w:style w:type="character" w:styleId="Referenciaintensa">
    <w:name w:val="Intense Reference"/>
    <w:uiPriority w:val="32"/>
    <w:qFormat/>
    <w:rsid w:val="00F13410"/>
    <w:rPr>
      <w:b/>
      <w:bCs/>
      <w:smallCaps/>
      <w:color w:val="C0504D"/>
      <w:spacing w:val="5"/>
      <w:u w:val="single"/>
    </w:rPr>
  </w:style>
  <w:style w:type="character" w:styleId="Ttulodellibro">
    <w:name w:val="Book Title"/>
    <w:uiPriority w:val="33"/>
    <w:qFormat/>
    <w:rsid w:val="00F13410"/>
    <w:rPr>
      <w:b/>
      <w:bCs/>
      <w:smallCaps/>
      <w:spacing w:val="5"/>
    </w:rPr>
  </w:style>
  <w:style w:type="paragraph" w:styleId="TtulodeTDC">
    <w:name w:val="TOC Heading"/>
    <w:basedOn w:val="Ttulo1"/>
    <w:next w:val="Normal"/>
    <w:uiPriority w:val="39"/>
    <w:unhideWhenUsed/>
    <w:qFormat/>
    <w:rsid w:val="00F13410"/>
    <w:pPr>
      <w:spacing w:before="480" w:line="276" w:lineRule="auto"/>
      <w:jc w:val="both"/>
      <w:outlineLvl w:val="9"/>
    </w:pPr>
    <w:rPr>
      <w:rFonts w:ascii="Calibri" w:eastAsia="Times New Roman" w:hAnsi="Calibri"/>
      <w:color w:val="20807E"/>
      <w:sz w:val="36"/>
      <w:szCs w:val="28"/>
      <w:lang w:val="en-US" w:eastAsia="zh-CN"/>
    </w:rPr>
  </w:style>
  <w:style w:type="paragraph" w:customStyle="1" w:styleId="05BC2C2812214721B0E643442EA253EB">
    <w:name w:val="05BC2C2812214721B0E643442EA253EB"/>
    <w:rsid w:val="00F13410"/>
    <w:pPr>
      <w:spacing w:after="200" w:line="276" w:lineRule="auto"/>
    </w:pPr>
    <w:rPr>
      <w:rFonts w:ascii="Calibri" w:eastAsia="Times New Roman" w:hAnsi="Calibri"/>
      <w:sz w:val="22"/>
      <w:szCs w:val="22"/>
      <w:lang w:val="en-US" w:eastAsia="ja-JP"/>
    </w:rPr>
  </w:style>
  <w:style w:type="paragraph" w:styleId="TDC6">
    <w:name w:val="toc 6"/>
    <w:basedOn w:val="Normal"/>
    <w:next w:val="Normal"/>
    <w:autoRedefine/>
    <w:rsid w:val="00F13410"/>
    <w:pPr>
      <w:spacing w:after="0" w:line="276" w:lineRule="auto"/>
      <w:ind w:left="1100"/>
    </w:pPr>
    <w:rPr>
      <w:rFonts w:ascii="Calibri" w:eastAsia="Times New Roman" w:hAnsi="Calibri" w:cs="Calibri"/>
      <w:sz w:val="20"/>
      <w:szCs w:val="20"/>
      <w:lang w:val="en-US" w:eastAsia="zh-CN"/>
    </w:rPr>
  </w:style>
  <w:style w:type="paragraph" w:styleId="TDC7">
    <w:name w:val="toc 7"/>
    <w:basedOn w:val="Normal"/>
    <w:next w:val="Normal"/>
    <w:autoRedefine/>
    <w:rsid w:val="00F13410"/>
    <w:pPr>
      <w:spacing w:after="0" w:line="276" w:lineRule="auto"/>
      <w:ind w:left="1320"/>
    </w:pPr>
    <w:rPr>
      <w:rFonts w:ascii="Calibri" w:eastAsia="Times New Roman" w:hAnsi="Calibri" w:cs="Calibri"/>
      <w:sz w:val="20"/>
      <w:szCs w:val="20"/>
      <w:lang w:val="en-US" w:eastAsia="zh-CN"/>
    </w:rPr>
  </w:style>
  <w:style w:type="paragraph" w:styleId="TDC8">
    <w:name w:val="toc 8"/>
    <w:basedOn w:val="Normal"/>
    <w:next w:val="Normal"/>
    <w:autoRedefine/>
    <w:rsid w:val="00F13410"/>
    <w:pPr>
      <w:spacing w:after="0" w:line="276" w:lineRule="auto"/>
      <w:ind w:left="1540"/>
    </w:pPr>
    <w:rPr>
      <w:rFonts w:ascii="Calibri" w:eastAsia="Times New Roman" w:hAnsi="Calibri" w:cs="Calibri"/>
      <w:sz w:val="20"/>
      <w:szCs w:val="20"/>
      <w:lang w:val="en-US" w:eastAsia="zh-CN"/>
    </w:rPr>
  </w:style>
  <w:style w:type="paragraph" w:styleId="TDC9">
    <w:name w:val="toc 9"/>
    <w:basedOn w:val="Normal"/>
    <w:next w:val="Normal"/>
    <w:autoRedefine/>
    <w:rsid w:val="00F13410"/>
    <w:pPr>
      <w:spacing w:after="0" w:line="276" w:lineRule="auto"/>
      <w:ind w:left="1760"/>
    </w:pPr>
    <w:rPr>
      <w:rFonts w:ascii="Calibri" w:eastAsia="Times New Roman" w:hAnsi="Calibri" w:cs="Calibri"/>
      <w:sz w:val="20"/>
      <w:szCs w:val="20"/>
      <w:lang w:val="en-US" w:eastAsia="zh-CN"/>
    </w:rPr>
  </w:style>
  <w:style w:type="table" w:customStyle="1" w:styleId="Tablaconcuadrcula22">
    <w:name w:val="Tabla con cuadrícula22"/>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3antes">
    <w:name w:val="Fuente cuadro 3 antes"/>
    <w:basedOn w:val="Normal"/>
    <w:rsid w:val="00F13410"/>
    <w:pPr>
      <w:spacing w:before="60" w:after="0"/>
      <w:jc w:val="both"/>
    </w:pPr>
    <w:rPr>
      <w:rFonts w:ascii="Presidencia Base" w:eastAsia="Arial Unicode MS" w:hAnsi="Presidencia Base" w:cstheme="minorBidi"/>
      <w:sz w:val="14"/>
      <w:szCs w:val="22"/>
      <w:lang w:val="es-MX" w:eastAsia="en-US"/>
    </w:rPr>
  </w:style>
  <w:style w:type="paragraph" w:customStyle="1" w:styleId="01BodyTEXT">
    <w:name w:val="01 Body TEXT"/>
    <w:basedOn w:val="Normal"/>
    <w:qFormat/>
    <w:rsid w:val="00F13410"/>
    <w:pPr>
      <w:spacing w:before="40" w:after="180" w:line="340" w:lineRule="exact"/>
      <w:jc w:val="both"/>
    </w:pPr>
    <w:rPr>
      <w:rFonts w:ascii="Century Gothic" w:eastAsia="Century Gothic" w:hAnsi="Century Gothic"/>
      <w:color w:val="595959"/>
      <w:kern w:val="20"/>
      <w:lang w:val="es-MX" w:eastAsia="ja-JP"/>
    </w:rPr>
  </w:style>
  <w:style w:type="paragraph" w:customStyle="1" w:styleId="IFTEXTO">
    <w:name w:val="IFTEXTO"/>
    <w:basedOn w:val="Normal"/>
    <w:qFormat/>
    <w:rsid w:val="00F13410"/>
    <w:pPr>
      <w:spacing w:after="360" w:line="300" w:lineRule="exact"/>
      <w:jc w:val="both"/>
    </w:pPr>
    <w:rPr>
      <w:rFonts w:ascii="Arial" w:eastAsia="Times New Roman" w:hAnsi="Arial" w:cs="Arial"/>
      <w:lang w:val="es-ES"/>
    </w:rPr>
  </w:style>
  <w:style w:type="character" w:customStyle="1" w:styleId="apple-converted-space">
    <w:name w:val="apple-converted-space"/>
    <w:basedOn w:val="Fuentedeprrafopredeter"/>
    <w:rsid w:val="00F13410"/>
  </w:style>
  <w:style w:type="character" w:customStyle="1" w:styleId="st1">
    <w:name w:val="st1"/>
    <w:basedOn w:val="Fuentedeprrafopredeter"/>
    <w:rsid w:val="00F13410"/>
  </w:style>
  <w:style w:type="table" w:customStyle="1" w:styleId="Tablaconcuadrcula32">
    <w:name w:val="Tabla con cuadrícula3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6A03A5"/>
  </w:style>
  <w:style w:type="table" w:customStyle="1" w:styleId="Tablaconcuadrcula33">
    <w:name w:val="Tabla con cuadrícula33"/>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rsid w:val="006A03A5"/>
  </w:style>
  <w:style w:type="numbering" w:customStyle="1" w:styleId="Sinlista11">
    <w:name w:val="Sin lista11"/>
    <w:next w:val="Sinlista"/>
    <w:uiPriority w:val="99"/>
    <w:semiHidden/>
    <w:unhideWhenUsed/>
    <w:rsid w:val="006A03A5"/>
  </w:style>
  <w:style w:type="table" w:customStyle="1" w:styleId="Tablaconcuadrcula221">
    <w:name w:val="Tabla con cuadrícula22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4162C"/>
  </w:style>
  <w:style w:type="table" w:customStyle="1" w:styleId="Tablaconcuadrcula35">
    <w:name w:val="Tabla con cuadrícula35"/>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74162C"/>
  </w:style>
  <w:style w:type="table" w:customStyle="1" w:styleId="Tablaconcuadrcula222">
    <w:name w:val="Tabla con cuadrícula22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4162C"/>
  </w:style>
  <w:style w:type="table" w:customStyle="1" w:styleId="Tablaconcuadrcula331">
    <w:name w:val="Tabla con cuadrícula33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
    <w:name w:val="Tabla con cuadrícula210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1">
    <w:name w:val="Estilo111"/>
    <w:rsid w:val="0074162C"/>
  </w:style>
  <w:style w:type="numbering" w:customStyle="1" w:styleId="Sinlista111">
    <w:name w:val="Sin lista111"/>
    <w:next w:val="Sinlista"/>
    <w:uiPriority w:val="99"/>
    <w:semiHidden/>
    <w:unhideWhenUsed/>
    <w:rsid w:val="0074162C"/>
  </w:style>
  <w:style w:type="table" w:customStyle="1" w:styleId="Tablaconcuadrcula2211">
    <w:name w:val="Tabla con cuadrícula22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
    <w:name w:val="Tabla con cuadrícula26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
    <w:name w:val="Tabla con cuadrícula27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
    <w:name w:val="Tabla con cuadrícula28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
    <w:name w:val="Tabla con cuadrícula29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
    <w:name w:val="Tabla con cuadrícula30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8">
    <w:name w:val="xl128"/>
    <w:basedOn w:val="Normal"/>
    <w:rsid w:val="0074162C"/>
    <w:pPr>
      <w:pBdr>
        <w:bottom w:val="single" w:sz="12" w:space="0" w:color="auto"/>
      </w:pBd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29">
    <w:name w:val="xl129"/>
    <w:basedOn w:val="Normal"/>
    <w:rsid w:val="0074162C"/>
    <w:pPr>
      <w:spacing w:before="100" w:beforeAutospacing="1" w:after="100" w:afterAutospacing="1"/>
    </w:pPr>
    <w:rPr>
      <w:rFonts w:ascii="Times New Roman" w:eastAsia="Times New Roman" w:hAnsi="Times New Roman"/>
      <w:szCs w:val="22"/>
      <w:lang w:val="es-MX" w:eastAsia="es-MX"/>
    </w:rPr>
  </w:style>
  <w:style w:type="paragraph" w:customStyle="1" w:styleId="xl130">
    <w:name w:val="xl130"/>
    <w:basedOn w:val="Normal"/>
    <w:rsid w:val="0074162C"/>
    <w:pP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31">
    <w:name w:val="xl131"/>
    <w:basedOn w:val="Normal"/>
    <w:rsid w:val="0074162C"/>
    <w:pPr>
      <w:shd w:val="clear" w:color="000000" w:fill="FFFFFF"/>
      <w:spacing w:before="100" w:beforeAutospacing="1" w:after="100" w:afterAutospacing="1"/>
      <w:textAlignment w:val="center"/>
    </w:pPr>
    <w:rPr>
      <w:rFonts w:eastAsia="Times New Roman"/>
      <w:sz w:val="12"/>
      <w:szCs w:val="12"/>
      <w:lang w:val="es-MX" w:eastAsia="es-MX"/>
    </w:rPr>
  </w:style>
  <w:style w:type="paragraph" w:customStyle="1" w:styleId="xl132">
    <w:name w:val="xl132"/>
    <w:basedOn w:val="Normal"/>
    <w:rsid w:val="0074162C"/>
    <w:pP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33">
    <w:name w:val="xl133"/>
    <w:basedOn w:val="Normal"/>
    <w:rsid w:val="0074162C"/>
    <w:pPr>
      <w:shd w:val="clear" w:color="000000" w:fill="EAF1DD"/>
      <w:spacing w:before="100" w:beforeAutospacing="1" w:after="100" w:afterAutospacing="1"/>
      <w:jc w:val="center"/>
      <w:textAlignment w:val="center"/>
    </w:pPr>
    <w:rPr>
      <w:rFonts w:eastAsia="Times New Roman"/>
      <w:sz w:val="18"/>
      <w:szCs w:val="18"/>
      <w:lang w:val="es-MX" w:eastAsia="es-MX"/>
    </w:rPr>
  </w:style>
  <w:style w:type="paragraph" w:customStyle="1" w:styleId="xl134">
    <w:name w:val="xl134"/>
    <w:basedOn w:val="Normal"/>
    <w:rsid w:val="0074162C"/>
    <w:pPr>
      <w:pBdr>
        <w:top w:val="single" w:sz="12" w:space="0" w:color="auto"/>
      </w:pBdr>
      <w:shd w:val="clear" w:color="000000" w:fill="FFFFFF"/>
      <w:spacing w:before="100" w:beforeAutospacing="1" w:after="100" w:afterAutospacing="1"/>
      <w:textAlignment w:val="center"/>
    </w:pPr>
    <w:rPr>
      <w:rFonts w:eastAsia="Times New Roman"/>
      <w:sz w:val="10"/>
      <w:szCs w:val="10"/>
      <w:lang w:val="es-MX" w:eastAsia="es-MX"/>
    </w:rPr>
  </w:style>
  <w:style w:type="numbering" w:customStyle="1" w:styleId="Sinlista4">
    <w:name w:val="Sin lista4"/>
    <w:next w:val="Sinlista"/>
    <w:uiPriority w:val="99"/>
    <w:semiHidden/>
    <w:unhideWhenUsed/>
    <w:rsid w:val="008E4BB2"/>
  </w:style>
  <w:style w:type="table" w:customStyle="1" w:styleId="Tablaconcuadrcula37">
    <w:name w:val="Tabla con cuadrícula37"/>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
    <w:name w:val="Tabla con cuadrícula19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8E4BB2"/>
  </w:style>
  <w:style w:type="table" w:customStyle="1" w:styleId="Tablaconcuadrcula223">
    <w:name w:val="Tabla con cuadrícula22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8E4BB2"/>
  </w:style>
  <w:style w:type="table" w:customStyle="1" w:styleId="Tablaconcuadrcula332">
    <w:name w:val="Tabla con cuadrícula33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2">
    <w:name w:val="Tabla con cuadrícula210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
    <w:name w:val="Tabla con cuadrícula10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2">
    <w:name w:val="Tabla con cuadrícula15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2">
    <w:name w:val="Tabla con cuadrícula18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2">
    <w:name w:val="Tabla con cuadrícula19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2">
    <w:name w:val="Tabla con cuadrícula20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2">
    <w:name w:val="Tabla con cuadrícula21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2">
    <w:name w:val="Estilo112"/>
    <w:rsid w:val="008E4BB2"/>
  </w:style>
  <w:style w:type="numbering" w:customStyle="1" w:styleId="Sinlista112">
    <w:name w:val="Sin lista112"/>
    <w:next w:val="Sinlista"/>
    <w:uiPriority w:val="99"/>
    <w:semiHidden/>
    <w:unhideWhenUsed/>
    <w:rsid w:val="008E4BB2"/>
  </w:style>
  <w:style w:type="table" w:customStyle="1" w:styleId="Tablaconcuadrcula2212">
    <w:name w:val="Tabla con cuadrícula22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2">
    <w:name w:val="Tabla con cuadrícula23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2">
    <w:name w:val="Tabla con cuadrícula24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2">
    <w:name w:val="Tabla con cuadrícula25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2">
    <w:name w:val="Tabla con cuadrícula26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2">
    <w:name w:val="Tabla con cuadrícula27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2">
    <w:name w:val="Tabla con cuadrícula28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2">
    <w:name w:val="Tabla con cuadrícula29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2">
    <w:name w:val="Tabla con cuadrícula30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2">
    <w:name w:val="Tabla con cuadrícula31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77FE5"/>
    <w:pPr>
      <w:spacing w:before="100" w:beforeAutospacing="1" w:after="100" w:afterAutospacing="1"/>
    </w:pPr>
    <w:rPr>
      <w:rFonts w:eastAsia="Times New Roman"/>
      <w:color w:val="000000"/>
      <w:sz w:val="10"/>
      <w:szCs w:val="10"/>
      <w:lang w:val="es-MX" w:eastAsia="es-MX"/>
    </w:rPr>
  </w:style>
  <w:style w:type="paragraph" w:customStyle="1" w:styleId="font6">
    <w:name w:val="font6"/>
    <w:basedOn w:val="Normal"/>
    <w:rsid w:val="00F77FE5"/>
    <w:pPr>
      <w:spacing w:before="100" w:beforeAutospacing="1" w:after="100" w:afterAutospacing="1"/>
    </w:pPr>
    <w:rPr>
      <w:rFonts w:eastAsia="Times New Roman"/>
      <w:color w:val="000000"/>
      <w:sz w:val="12"/>
      <w:szCs w:val="12"/>
      <w:lang w:val="es-MX" w:eastAsia="es-MX"/>
    </w:rPr>
  </w:style>
  <w:style w:type="paragraph" w:customStyle="1" w:styleId="font7">
    <w:name w:val="font7"/>
    <w:basedOn w:val="Normal"/>
    <w:rsid w:val="00F77FE5"/>
    <w:pPr>
      <w:spacing w:before="100" w:beforeAutospacing="1" w:after="100" w:afterAutospacing="1"/>
    </w:pPr>
    <w:rPr>
      <w:rFonts w:eastAsia="Times New Roman"/>
      <w:color w:val="000000"/>
      <w:sz w:val="10"/>
      <w:szCs w:val="10"/>
      <w:lang w:val="es-MX" w:eastAsia="es-MX"/>
    </w:rPr>
  </w:style>
  <w:style w:type="paragraph" w:customStyle="1" w:styleId="font8">
    <w:name w:val="font8"/>
    <w:basedOn w:val="Normal"/>
    <w:rsid w:val="00F77FE5"/>
    <w:pPr>
      <w:spacing w:before="100" w:beforeAutospacing="1" w:after="100" w:afterAutospacing="1"/>
    </w:pPr>
    <w:rPr>
      <w:rFonts w:eastAsia="Times New Roman"/>
      <w:color w:val="000000"/>
      <w:sz w:val="10"/>
      <w:szCs w:val="1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6629">
      <w:bodyDiv w:val="1"/>
      <w:marLeft w:val="0"/>
      <w:marRight w:val="0"/>
      <w:marTop w:val="0"/>
      <w:marBottom w:val="0"/>
      <w:divBdr>
        <w:top w:val="none" w:sz="0" w:space="0" w:color="auto"/>
        <w:left w:val="none" w:sz="0" w:space="0" w:color="auto"/>
        <w:bottom w:val="none" w:sz="0" w:space="0" w:color="auto"/>
        <w:right w:val="none" w:sz="0" w:space="0" w:color="auto"/>
      </w:divBdr>
    </w:div>
    <w:div w:id="319238183">
      <w:bodyDiv w:val="1"/>
      <w:marLeft w:val="0"/>
      <w:marRight w:val="0"/>
      <w:marTop w:val="0"/>
      <w:marBottom w:val="0"/>
      <w:divBdr>
        <w:top w:val="none" w:sz="0" w:space="0" w:color="auto"/>
        <w:left w:val="none" w:sz="0" w:space="0" w:color="auto"/>
        <w:bottom w:val="none" w:sz="0" w:space="0" w:color="auto"/>
        <w:right w:val="none" w:sz="0" w:space="0" w:color="auto"/>
      </w:divBdr>
    </w:div>
    <w:div w:id="328216729">
      <w:bodyDiv w:val="1"/>
      <w:marLeft w:val="0"/>
      <w:marRight w:val="0"/>
      <w:marTop w:val="0"/>
      <w:marBottom w:val="0"/>
      <w:divBdr>
        <w:top w:val="none" w:sz="0" w:space="0" w:color="auto"/>
        <w:left w:val="none" w:sz="0" w:space="0" w:color="auto"/>
        <w:bottom w:val="none" w:sz="0" w:space="0" w:color="auto"/>
        <w:right w:val="none" w:sz="0" w:space="0" w:color="auto"/>
      </w:divBdr>
    </w:div>
    <w:div w:id="341973909">
      <w:bodyDiv w:val="1"/>
      <w:marLeft w:val="0"/>
      <w:marRight w:val="0"/>
      <w:marTop w:val="0"/>
      <w:marBottom w:val="0"/>
      <w:divBdr>
        <w:top w:val="none" w:sz="0" w:space="0" w:color="auto"/>
        <w:left w:val="none" w:sz="0" w:space="0" w:color="auto"/>
        <w:bottom w:val="none" w:sz="0" w:space="0" w:color="auto"/>
        <w:right w:val="none" w:sz="0" w:space="0" w:color="auto"/>
      </w:divBdr>
    </w:div>
    <w:div w:id="404647882">
      <w:bodyDiv w:val="1"/>
      <w:marLeft w:val="0"/>
      <w:marRight w:val="0"/>
      <w:marTop w:val="0"/>
      <w:marBottom w:val="0"/>
      <w:divBdr>
        <w:top w:val="none" w:sz="0" w:space="0" w:color="auto"/>
        <w:left w:val="none" w:sz="0" w:space="0" w:color="auto"/>
        <w:bottom w:val="none" w:sz="0" w:space="0" w:color="auto"/>
        <w:right w:val="none" w:sz="0" w:space="0" w:color="auto"/>
      </w:divBdr>
    </w:div>
    <w:div w:id="510875403">
      <w:bodyDiv w:val="1"/>
      <w:marLeft w:val="0"/>
      <w:marRight w:val="0"/>
      <w:marTop w:val="0"/>
      <w:marBottom w:val="0"/>
      <w:divBdr>
        <w:top w:val="none" w:sz="0" w:space="0" w:color="auto"/>
        <w:left w:val="none" w:sz="0" w:space="0" w:color="auto"/>
        <w:bottom w:val="none" w:sz="0" w:space="0" w:color="auto"/>
        <w:right w:val="none" w:sz="0" w:space="0" w:color="auto"/>
      </w:divBdr>
    </w:div>
    <w:div w:id="674259791">
      <w:bodyDiv w:val="1"/>
      <w:marLeft w:val="0"/>
      <w:marRight w:val="0"/>
      <w:marTop w:val="0"/>
      <w:marBottom w:val="0"/>
      <w:divBdr>
        <w:top w:val="none" w:sz="0" w:space="0" w:color="auto"/>
        <w:left w:val="none" w:sz="0" w:space="0" w:color="auto"/>
        <w:bottom w:val="none" w:sz="0" w:space="0" w:color="auto"/>
        <w:right w:val="none" w:sz="0" w:space="0" w:color="auto"/>
      </w:divBdr>
    </w:div>
    <w:div w:id="688986365">
      <w:bodyDiv w:val="1"/>
      <w:marLeft w:val="0"/>
      <w:marRight w:val="0"/>
      <w:marTop w:val="0"/>
      <w:marBottom w:val="0"/>
      <w:divBdr>
        <w:top w:val="none" w:sz="0" w:space="0" w:color="auto"/>
        <w:left w:val="none" w:sz="0" w:space="0" w:color="auto"/>
        <w:bottom w:val="none" w:sz="0" w:space="0" w:color="auto"/>
        <w:right w:val="none" w:sz="0" w:space="0" w:color="auto"/>
      </w:divBdr>
    </w:div>
    <w:div w:id="770323726">
      <w:bodyDiv w:val="1"/>
      <w:marLeft w:val="0"/>
      <w:marRight w:val="0"/>
      <w:marTop w:val="0"/>
      <w:marBottom w:val="0"/>
      <w:divBdr>
        <w:top w:val="none" w:sz="0" w:space="0" w:color="auto"/>
        <w:left w:val="none" w:sz="0" w:space="0" w:color="auto"/>
        <w:bottom w:val="none" w:sz="0" w:space="0" w:color="auto"/>
        <w:right w:val="none" w:sz="0" w:space="0" w:color="auto"/>
      </w:divBdr>
    </w:div>
    <w:div w:id="1293250667">
      <w:bodyDiv w:val="1"/>
      <w:marLeft w:val="0"/>
      <w:marRight w:val="0"/>
      <w:marTop w:val="0"/>
      <w:marBottom w:val="0"/>
      <w:divBdr>
        <w:top w:val="none" w:sz="0" w:space="0" w:color="auto"/>
        <w:left w:val="none" w:sz="0" w:space="0" w:color="auto"/>
        <w:bottom w:val="none" w:sz="0" w:space="0" w:color="auto"/>
        <w:right w:val="none" w:sz="0" w:space="0" w:color="auto"/>
      </w:divBdr>
    </w:div>
    <w:div w:id="1359812577">
      <w:bodyDiv w:val="1"/>
      <w:marLeft w:val="0"/>
      <w:marRight w:val="0"/>
      <w:marTop w:val="0"/>
      <w:marBottom w:val="0"/>
      <w:divBdr>
        <w:top w:val="none" w:sz="0" w:space="0" w:color="auto"/>
        <w:left w:val="none" w:sz="0" w:space="0" w:color="auto"/>
        <w:bottom w:val="none" w:sz="0" w:space="0" w:color="auto"/>
        <w:right w:val="none" w:sz="0" w:space="0" w:color="auto"/>
      </w:divBdr>
    </w:div>
    <w:div w:id="1389264260">
      <w:bodyDiv w:val="1"/>
      <w:marLeft w:val="0"/>
      <w:marRight w:val="0"/>
      <w:marTop w:val="0"/>
      <w:marBottom w:val="0"/>
      <w:divBdr>
        <w:top w:val="none" w:sz="0" w:space="0" w:color="auto"/>
        <w:left w:val="none" w:sz="0" w:space="0" w:color="auto"/>
        <w:bottom w:val="none" w:sz="0" w:space="0" w:color="auto"/>
        <w:right w:val="none" w:sz="0" w:space="0" w:color="auto"/>
      </w:divBdr>
    </w:div>
    <w:div w:id="1477799257">
      <w:bodyDiv w:val="1"/>
      <w:marLeft w:val="0"/>
      <w:marRight w:val="0"/>
      <w:marTop w:val="0"/>
      <w:marBottom w:val="0"/>
      <w:divBdr>
        <w:top w:val="none" w:sz="0" w:space="0" w:color="auto"/>
        <w:left w:val="none" w:sz="0" w:space="0" w:color="auto"/>
        <w:bottom w:val="none" w:sz="0" w:space="0" w:color="auto"/>
        <w:right w:val="none" w:sz="0" w:space="0" w:color="auto"/>
      </w:divBdr>
    </w:div>
    <w:div w:id="1531144430">
      <w:bodyDiv w:val="1"/>
      <w:marLeft w:val="0"/>
      <w:marRight w:val="0"/>
      <w:marTop w:val="0"/>
      <w:marBottom w:val="0"/>
      <w:divBdr>
        <w:top w:val="none" w:sz="0" w:space="0" w:color="auto"/>
        <w:left w:val="none" w:sz="0" w:space="0" w:color="auto"/>
        <w:bottom w:val="none" w:sz="0" w:space="0" w:color="auto"/>
        <w:right w:val="none" w:sz="0" w:space="0" w:color="auto"/>
      </w:divBdr>
    </w:div>
    <w:div w:id="1617640757">
      <w:bodyDiv w:val="1"/>
      <w:marLeft w:val="0"/>
      <w:marRight w:val="0"/>
      <w:marTop w:val="0"/>
      <w:marBottom w:val="0"/>
      <w:divBdr>
        <w:top w:val="none" w:sz="0" w:space="0" w:color="auto"/>
        <w:left w:val="none" w:sz="0" w:space="0" w:color="auto"/>
        <w:bottom w:val="none" w:sz="0" w:space="0" w:color="auto"/>
        <w:right w:val="none" w:sz="0" w:space="0" w:color="auto"/>
      </w:divBdr>
    </w:div>
    <w:div w:id="1729258221">
      <w:bodyDiv w:val="1"/>
      <w:marLeft w:val="0"/>
      <w:marRight w:val="0"/>
      <w:marTop w:val="0"/>
      <w:marBottom w:val="0"/>
      <w:divBdr>
        <w:top w:val="none" w:sz="0" w:space="0" w:color="auto"/>
        <w:left w:val="none" w:sz="0" w:space="0" w:color="auto"/>
        <w:bottom w:val="none" w:sz="0" w:space="0" w:color="auto"/>
        <w:right w:val="none" w:sz="0" w:space="0" w:color="auto"/>
      </w:divBdr>
    </w:div>
    <w:div w:id="1756049248">
      <w:bodyDiv w:val="1"/>
      <w:marLeft w:val="0"/>
      <w:marRight w:val="0"/>
      <w:marTop w:val="0"/>
      <w:marBottom w:val="0"/>
      <w:divBdr>
        <w:top w:val="none" w:sz="0" w:space="0" w:color="auto"/>
        <w:left w:val="none" w:sz="0" w:space="0" w:color="auto"/>
        <w:bottom w:val="none" w:sz="0" w:space="0" w:color="auto"/>
        <w:right w:val="none" w:sz="0" w:space="0" w:color="auto"/>
      </w:divBdr>
    </w:div>
    <w:div w:id="1836602084">
      <w:bodyDiv w:val="1"/>
      <w:marLeft w:val="0"/>
      <w:marRight w:val="0"/>
      <w:marTop w:val="0"/>
      <w:marBottom w:val="0"/>
      <w:divBdr>
        <w:top w:val="none" w:sz="0" w:space="0" w:color="auto"/>
        <w:left w:val="none" w:sz="0" w:space="0" w:color="auto"/>
        <w:bottom w:val="none" w:sz="0" w:space="0" w:color="auto"/>
        <w:right w:val="none" w:sz="0" w:space="0" w:color="auto"/>
      </w:divBdr>
    </w:div>
    <w:div w:id="1869641908">
      <w:bodyDiv w:val="1"/>
      <w:marLeft w:val="0"/>
      <w:marRight w:val="0"/>
      <w:marTop w:val="0"/>
      <w:marBottom w:val="0"/>
      <w:divBdr>
        <w:top w:val="none" w:sz="0" w:space="0" w:color="auto"/>
        <w:left w:val="none" w:sz="0" w:space="0" w:color="auto"/>
        <w:bottom w:val="none" w:sz="0" w:space="0" w:color="auto"/>
        <w:right w:val="none" w:sz="0" w:space="0" w:color="auto"/>
      </w:divBdr>
      <w:divsChild>
        <w:div w:id="1675105795">
          <w:marLeft w:val="0"/>
          <w:marRight w:val="0"/>
          <w:marTop w:val="0"/>
          <w:marBottom w:val="0"/>
          <w:divBdr>
            <w:top w:val="none" w:sz="0" w:space="0" w:color="auto"/>
            <w:left w:val="none" w:sz="0" w:space="0" w:color="auto"/>
            <w:bottom w:val="none" w:sz="0" w:space="0" w:color="auto"/>
            <w:right w:val="none" w:sz="0" w:space="0" w:color="auto"/>
          </w:divBdr>
        </w:div>
        <w:div w:id="147985569">
          <w:marLeft w:val="0"/>
          <w:marRight w:val="0"/>
          <w:marTop w:val="0"/>
          <w:marBottom w:val="0"/>
          <w:divBdr>
            <w:top w:val="none" w:sz="0" w:space="0" w:color="auto"/>
            <w:left w:val="none" w:sz="0" w:space="0" w:color="auto"/>
            <w:bottom w:val="none" w:sz="0" w:space="0" w:color="auto"/>
            <w:right w:val="none" w:sz="0" w:space="0" w:color="auto"/>
          </w:divBdr>
        </w:div>
        <w:div w:id="1622347168">
          <w:marLeft w:val="0"/>
          <w:marRight w:val="0"/>
          <w:marTop w:val="0"/>
          <w:marBottom w:val="0"/>
          <w:divBdr>
            <w:top w:val="none" w:sz="0" w:space="0" w:color="auto"/>
            <w:left w:val="none" w:sz="0" w:space="0" w:color="auto"/>
            <w:bottom w:val="none" w:sz="0" w:space="0" w:color="auto"/>
            <w:right w:val="none" w:sz="0" w:space="0" w:color="auto"/>
          </w:divBdr>
        </w:div>
        <w:div w:id="1222669669">
          <w:marLeft w:val="0"/>
          <w:marRight w:val="0"/>
          <w:marTop w:val="0"/>
          <w:marBottom w:val="0"/>
          <w:divBdr>
            <w:top w:val="none" w:sz="0" w:space="0" w:color="auto"/>
            <w:left w:val="none" w:sz="0" w:space="0" w:color="auto"/>
            <w:bottom w:val="none" w:sz="0" w:space="0" w:color="auto"/>
            <w:right w:val="none" w:sz="0" w:space="0" w:color="auto"/>
          </w:divBdr>
        </w:div>
        <w:div w:id="1329476658">
          <w:marLeft w:val="0"/>
          <w:marRight w:val="0"/>
          <w:marTop w:val="0"/>
          <w:marBottom w:val="0"/>
          <w:divBdr>
            <w:top w:val="none" w:sz="0" w:space="0" w:color="auto"/>
            <w:left w:val="none" w:sz="0" w:space="0" w:color="auto"/>
            <w:bottom w:val="none" w:sz="0" w:space="0" w:color="auto"/>
            <w:right w:val="none" w:sz="0" w:space="0" w:color="auto"/>
          </w:divBdr>
        </w:div>
      </w:divsChild>
    </w:div>
    <w:div w:id="1892376247">
      <w:bodyDiv w:val="1"/>
      <w:marLeft w:val="0"/>
      <w:marRight w:val="0"/>
      <w:marTop w:val="0"/>
      <w:marBottom w:val="0"/>
      <w:divBdr>
        <w:top w:val="none" w:sz="0" w:space="0" w:color="auto"/>
        <w:left w:val="none" w:sz="0" w:space="0" w:color="auto"/>
        <w:bottom w:val="none" w:sz="0" w:space="0" w:color="auto"/>
        <w:right w:val="none" w:sz="0" w:space="0" w:color="auto"/>
      </w:divBdr>
    </w:div>
    <w:div w:id="2016415777">
      <w:bodyDiv w:val="1"/>
      <w:marLeft w:val="0"/>
      <w:marRight w:val="0"/>
      <w:marTop w:val="0"/>
      <w:marBottom w:val="0"/>
      <w:divBdr>
        <w:top w:val="none" w:sz="0" w:space="0" w:color="auto"/>
        <w:left w:val="none" w:sz="0" w:space="0" w:color="auto"/>
        <w:bottom w:val="none" w:sz="0" w:space="0" w:color="auto"/>
        <w:right w:val="none" w:sz="0" w:space="0" w:color="auto"/>
      </w:divBdr>
    </w:div>
    <w:div w:id="2114938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iapresupuestaria.gob.mx/es/PTP/evaluaciones" TargetMode="External"/><Relationship Id="rId13" Type="http://schemas.openxmlformats.org/officeDocument/2006/relationships/chart" Target="charts/chart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ransparenciapresupuestaria.gob.mx/es/PTP/evalua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is%20documentos\Informaci&#243;n%202014\INFORMES%20TRIMESTRALES\Nuevas%20Plantillas%20y%20ejemplos%20de%20Anexos\PlantillaSoberana.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alejandro_leyva\Desktop\DASE\Trimestrales\2018\01T2018\BASE1T2018ASM.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alejandro_leyva\Desktop\DASE\Trimestrales\2018\01T2018\BASE1T2018ASM.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C:\Users\alejandro_leyva\Desktop\DASE\Trimestrales\2018\01T2018\BASE1T2018ASM.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C:\Users\alejandro_leyva\Desktop\DASE\Trimestrales\2018\01T2018\BASE1T2018ASM.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C:\Users\alejandro_leyva\Desktop\DASE\Trimestrales\2018\01T2018\BASE1T2018ASM.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C:\Users\alejandro_leyva\Desktop\DASE\Trimestrales\2018\01T2018\BASE1T2018AS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800" b="1" i="0" baseline="0">
                <a:effectLst/>
                <a:latin typeface="Soberana Sans" panose="02000000000000000000" pitchFamily="50" charset="0"/>
              </a:rPr>
              <a:t>Gráfica 1. Distribución porcentual por tipo de ASM</a:t>
            </a:r>
            <a:endParaRPr lang="es-MX" sz="80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21164851268591425"/>
          <c:y val="0.17949912510936136"/>
          <c:w val="0.41651771653543307"/>
          <c:h val="0.69419619422572176"/>
        </c:manualLayout>
      </c:layout>
      <c:pieChart>
        <c:varyColors val="1"/>
        <c:ser>
          <c:idx val="0"/>
          <c:order val="0"/>
          <c:dPt>
            <c:idx val="0"/>
            <c:bubble3D val="0"/>
            <c:spPr>
              <a:solidFill>
                <a:srgbClr val="CDDBB8"/>
              </a:solidFill>
              <a:ln w="19050">
                <a:solidFill>
                  <a:schemeClr val="lt1"/>
                </a:solidFill>
              </a:ln>
              <a:effectLst/>
            </c:spPr>
          </c:dPt>
          <c:dPt>
            <c:idx val="1"/>
            <c:bubble3D val="0"/>
            <c:spPr>
              <a:solidFill>
                <a:srgbClr val="AEC683"/>
              </a:solidFill>
              <a:ln w="19050">
                <a:solidFill>
                  <a:schemeClr val="lt1"/>
                </a:solidFill>
              </a:ln>
              <a:effectLst/>
            </c:spPr>
          </c:dPt>
          <c:dPt>
            <c:idx val="2"/>
            <c:bubble3D val="0"/>
            <c:spPr>
              <a:solidFill>
                <a:srgbClr val="94AF53"/>
              </a:solidFill>
              <a:ln w="19050">
                <a:solidFill>
                  <a:schemeClr val="lt1"/>
                </a:solidFill>
              </a:ln>
              <a:effectLst/>
            </c:spPr>
          </c:dPt>
          <c:dPt>
            <c:idx val="3"/>
            <c:bubble3D val="0"/>
            <c:spPr>
              <a:solidFill>
                <a:srgbClr val="4F6228"/>
              </a:solidFill>
              <a:ln w="19050">
                <a:solidFill>
                  <a:schemeClr val="lt1"/>
                </a:solidFill>
              </a:ln>
              <a:effectLst/>
            </c:spPr>
          </c:dPt>
          <c:dLbls>
            <c:dLbl>
              <c:idx val="0"/>
              <c:layout>
                <c:manualLayout>
                  <c:x val="-0.15664774715660543"/>
                  <c:y val="-0.11459208223972003"/>
                </c:manualLayout>
              </c:layout>
              <c:tx>
                <c:rich>
                  <a:bodyPr/>
                  <a:lstStyle/>
                  <a:p>
                    <a:fld id="{9A94FF50-9B0D-49DD-BB71-7C96EFA541B0}" type="VALUE">
                      <a:rPr lang="en-US"/>
                      <a:pPr/>
                      <a:t>[VALOR]</a:t>
                    </a:fld>
                    <a:r>
                      <a:rPr lang="en-US"/>
                      <a:t/>
                    </a:r>
                    <a:br>
                      <a:rPr lang="en-US"/>
                    </a:br>
                    <a:r>
                      <a:rPr lang="en-US"/>
                      <a:t>60.8%</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0.13408081802274716"/>
                  <c:y val="5.8513414989792942E-2"/>
                </c:manualLayout>
              </c:layout>
              <c:tx>
                <c:rich>
                  <a:bodyPr/>
                  <a:lstStyle/>
                  <a:p>
                    <a:fld id="{59DE5D4E-8D95-48ED-8367-17F3B7BF8ABE}" type="VALUE">
                      <a:rPr lang="en-US"/>
                      <a:pPr/>
                      <a:t>[VALOR]</a:t>
                    </a:fld>
                    <a:r>
                      <a:rPr lang="en-US"/>
                      <a:t/>
                    </a:r>
                    <a:br>
                      <a:rPr lang="en-US"/>
                    </a:br>
                    <a:r>
                      <a:rPr lang="en-US"/>
                      <a:t>37.6%</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0.11459798775153106"/>
                  <c:y val="6.7499635462233892E-2"/>
                </c:manualLayout>
              </c:layout>
              <c:tx>
                <c:rich>
                  <a:bodyPr/>
                  <a:lstStyle/>
                  <a:p>
                    <a:fld id="{EBE98CEC-12C7-4F84-B52B-6D3EFF958303}" type="VALUE">
                      <a:rPr lang="en-US"/>
                      <a:pPr/>
                      <a:t>[VALOR]</a:t>
                    </a:fld>
                    <a:r>
                      <a:rPr lang="en-US"/>
                      <a:t/>
                    </a:r>
                    <a:br>
                      <a:rPr lang="en-US"/>
                    </a:br>
                    <a:r>
                      <a:rPr lang="en-US"/>
                      <a:t>1.3%</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layout>
                <c:manualLayout>
                  <c:x val="6.6741251093613355E-2"/>
                  <c:y val="2.9926363371245261E-2"/>
                </c:manualLayout>
              </c:layout>
              <c:tx>
                <c:rich>
                  <a:bodyPr/>
                  <a:lstStyle/>
                  <a:p>
                    <a:fld id="{689E0E95-91B1-4D6D-A41B-596A1D64E062}" type="VALUE">
                      <a:rPr lang="en-US"/>
                      <a:pPr/>
                      <a:t>[VALOR]</a:t>
                    </a:fld>
                    <a:r>
                      <a:rPr lang="en-US"/>
                      <a:t/>
                    </a:r>
                    <a:br>
                      <a:rPr lang="en-US"/>
                    </a:br>
                    <a:r>
                      <a:rPr lang="en-US"/>
                      <a:t>0.3%</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APF!$C$96:$C$99</c:f>
              <c:strCache>
                <c:ptCount val="4"/>
                <c:pt idx="0">
                  <c:v>Específico</c:v>
                </c:pt>
                <c:pt idx="1">
                  <c:v>Institucional</c:v>
                </c:pt>
                <c:pt idx="2">
                  <c:v>Interinstitucional</c:v>
                </c:pt>
                <c:pt idx="3">
                  <c:v>Intergubernamental</c:v>
                </c:pt>
              </c:strCache>
            </c:strRef>
          </c:cat>
          <c:val>
            <c:numRef>
              <c:f>APF!$D$96:$D$99</c:f>
              <c:numCache>
                <c:formatCode>0</c:formatCode>
                <c:ptCount val="4"/>
                <c:pt idx="0">
                  <c:v>387</c:v>
                </c:pt>
                <c:pt idx="1">
                  <c:v>239</c:v>
                </c:pt>
                <c:pt idx="2">
                  <c:v>8</c:v>
                </c:pt>
                <c:pt idx="3">
                  <c:v>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800" b="1" i="0" baseline="0">
                <a:effectLst/>
                <a:latin typeface="Soberana Sans" panose="02000000000000000000" pitchFamily="50" charset="0"/>
              </a:rPr>
              <a:t>Gráfica 2. Distribución porcentual por tipo de ASM</a:t>
            </a:r>
            <a:endParaRPr lang="es-MX" sz="80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3333333333333333"/>
          <c:y val="0.18745370370370371"/>
          <c:w val="0.79166666666666663"/>
          <c:h val="0.61718394575678048"/>
        </c:manualLayout>
      </c:layout>
      <c:barChart>
        <c:barDir val="col"/>
        <c:grouping val="clustered"/>
        <c:varyColors val="0"/>
        <c:ser>
          <c:idx val="0"/>
          <c:order val="0"/>
          <c:spPr>
            <a:solidFill>
              <a:srgbClr val="C5E0B4"/>
            </a:solidFill>
            <a:ln>
              <a:noFill/>
            </a:ln>
            <a:effectLst/>
          </c:spPr>
          <c:invertIfNegative val="0"/>
          <c:dPt>
            <c:idx val="1"/>
            <c:invertIfNegative val="0"/>
            <c:bubble3D val="0"/>
            <c:spPr>
              <a:solidFill>
                <a:srgbClr val="D9D9D9"/>
              </a:solidFill>
              <a:ln>
                <a:noFill/>
              </a:ln>
              <a:effectLst/>
            </c:spPr>
          </c:dPt>
          <c:dLbls>
            <c:dLbl>
              <c:idx val="0"/>
              <c:layout>
                <c:manualLayout>
                  <c:x val="2.7777777777777779E-3"/>
                  <c:y val="0"/>
                </c:manualLayout>
              </c:layout>
              <c:tx>
                <c:rich>
                  <a:bodyPr/>
                  <a:lstStyle/>
                  <a:p>
                    <a:fld id="{A1A76C37-4CD8-495E-B407-5AA2F7D0E0BA}" type="VALUE">
                      <a:rPr lang="en-US"/>
                      <a:pPr/>
                      <a:t>[VALOR]</a:t>
                    </a:fld>
                    <a:r>
                      <a:rPr lang="en-US"/>
                      <a:t/>
                    </a:r>
                    <a:br>
                      <a:rPr lang="en-US"/>
                    </a:br>
                    <a:r>
                      <a:rPr lang="en-US"/>
                      <a:t>25.2%</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0"/>
                  <c:y val="-9.2592592592592587E-3"/>
                </c:manualLayout>
              </c:layout>
              <c:tx>
                <c:rich>
                  <a:bodyPr/>
                  <a:lstStyle/>
                  <a:p>
                    <a:fld id="{06A778F8-BDE1-4869-9E18-72CDDC87DAA0}" type="VALUE">
                      <a:rPr lang="en-US"/>
                      <a:pPr/>
                      <a:t>[VALOR]</a:t>
                    </a:fld>
                    <a:r>
                      <a:rPr lang="en-US"/>
                      <a:t/>
                    </a:r>
                    <a:br>
                      <a:rPr lang="en-US"/>
                    </a:br>
                    <a:r>
                      <a:rPr lang="en-US"/>
                      <a:t>74.8%</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APF!$C$114:$C$115</c:f>
              <c:strCache>
                <c:ptCount val="2"/>
                <c:pt idx="0">
                  <c:v>SHCP</c:v>
                </c:pt>
                <c:pt idx="1">
                  <c:v>CONEVAL</c:v>
                </c:pt>
              </c:strCache>
            </c:strRef>
          </c:cat>
          <c:val>
            <c:numRef>
              <c:f>APF!$D$114:$D$115</c:f>
              <c:numCache>
                <c:formatCode>_-* #,##0_-;\-* #,##0_-;_-* "-"??_-;_-@_-</c:formatCode>
                <c:ptCount val="2"/>
                <c:pt idx="0">
                  <c:v>160</c:v>
                </c:pt>
                <c:pt idx="1">
                  <c:v>476</c:v>
                </c:pt>
              </c:numCache>
            </c:numRef>
          </c:val>
        </c:ser>
        <c:dLbls>
          <c:dLblPos val="outEnd"/>
          <c:showLegendKey val="0"/>
          <c:showVal val="1"/>
          <c:showCatName val="0"/>
          <c:showSerName val="0"/>
          <c:showPercent val="0"/>
          <c:showBubbleSize val="0"/>
        </c:dLbls>
        <c:gapWidth val="219"/>
        <c:overlap val="-27"/>
        <c:axId val="2091563296"/>
        <c:axId val="2091562208"/>
      </c:barChart>
      <c:catAx>
        <c:axId val="209156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91562208"/>
        <c:crosses val="autoZero"/>
        <c:auto val="1"/>
        <c:lblAlgn val="ctr"/>
        <c:lblOffset val="100"/>
        <c:noMultiLvlLbl val="0"/>
      </c:catAx>
      <c:valAx>
        <c:axId val="2091562208"/>
        <c:scaling>
          <c:orientation val="minMax"/>
        </c:scaling>
        <c:delete val="1"/>
        <c:axPos val="l"/>
        <c:numFmt formatCode="_-* #,##0_-;\-* #,##0_-;_-* &quot;-&quot;??_-;_-@_-" sourceLinked="1"/>
        <c:majorTickMark val="none"/>
        <c:minorTickMark val="none"/>
        <c:tickLblPos val="nextTo"/>
        <c:crossAx val="2091563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800" b="1" i="0" baseline="0">
                <a:effectLst/>
                <a:latin typeface="Soberana Sans" panose="02000000000000000000" pitchFamily="50" charset="0"/>
              </a:rPr>
              <a:t>Gráfica 3. Cantidad de ASM por rango de avance porcentual al primer trimestre 2018</a:t>
            </a:r>
            <a:endParaRPr lang="es-MX" sz="80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5.6187363581029479E-2"/>
          <c:y val="0.26785084339442738"/>
          <c:w val="0.92214843159376125"/>
          <c:h val="0.47219044088501277"/>
        </c:manualLayout>
      </c:layout>
      <c:barChart>
        <c:barDir val="col"/>
        <c:grouping val="clustered"/>
        <c:varyColors val="0"/>
        <c:ser>
          <c:idx val="0"/>
          <c:order val="0"/>
          <c:tx>
            <c:strRef>
              <c:f>APF!$C$130</c:f>
              <c:strCache>
                <c:ptCount val="1"/>
                <c:pt idx="0">
                  <c:v>Específico</c:v>
                </c:pt>
              </c:strCache>
            </c:strRef>
          </c:tx>
          <c:spPr>
            <a:solidFill>
              <a:srgbClr val="CDDBB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APF!$D$129:$I$129</c:f>
              <c:strCache>
                <c:ptCount val="6"/>
                <c:pt idx="0">
                  <c:v>Avance de 0%</c:v>
                </c:pt>
                <c:pt idx="1">
                  <c:v>&gt;0% a 25%</c:v>
                </c:pt>
                <c:pt idx="2">
                  <c:v>&gt;25% a 50%</c:v>
                </c:pt>
                <c:pt idx="3">
                  <c:v>&gt;50% a 75%</c:v>
                </c:pt>
                <c:pt idx="4">
                  <c:v>&gt;75% a &lt;100%</c:v>
                </c:pt>
                <c:pt idx="5">
                  <c:v>100%</c:v>
                </c:pt>
              </c:strCache>
            </c:strRef>
          </c:cat>
          <c:val>
            <c:numRef>
              <c:f>APF!$D$130:$I$130</c:f>
              <c:numCache>
                <c:formatCode>General</c:formatCode>
                <c:ptCount val="6"/>
                <c:pt idx="0">
                  <c:v>25</c:v>
                </c:pt>
                <c:pt idx="1">
                  <c:v>22</c:v>
                </c:pt>
                <c:pt idx="2">
                  <c:v>31</c:v>
                </c:pt>
                <c:pt idx="3">
                  <c:v>34</c:v>
                </c:pt>
                <c:pt idx="4">
                  <c:v>47</c:v>
                </c:pt>
                <c:pt idx="5">
                  <c:v>228</c:v>
                </c:pt>
              </c:numCache>
            </c:numRef>
          </c:val>
        </c:ser>
        <c:ser>
          <c:idx val="1"/>
          <c:order val="1"/>
          <c:tx>
            <c:strRef>
              <c:f>APF!$C$131</c:f>
              <c:strCache>
                <c:ptCount val="1"/>
                <c:pt idx="0">
                  <c:v>Institucional</c:v>
                </c:pt>
              </c:strCache>
            </c:strRef>
          </c:tx>
          <c:spPr>
            <a:solidFill>
              <a:srgbClr val="AEC6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APF!$D$129:$I$129</c:f>
              <c:strCache>
                <c:ptCount val="6"/>
                <c:pt idx="0">
                  <c:v>Avance de 0%</c:v>
                </c:pt>
                <c:pt idx="1">
                  <c:v>&gt;0% a 25%</c:v>
                </c:pt>
                <c:pt idx="2">
                  <c:v>&gt;25% a 50%</c:v>
                </c:pt>
                <c:pt idx="3">
                  <c:v>&gt;50% a 75%</c:v>
                </c:pt>
                <c:pt idx="4">
                  <c:v>&gt;75% a &lt;100%</c:v>
                </c:pt>
                <c:pt idx="5">
                  <c:v>100%</c:v>
                </c:pt>
              </c:strCache>
            </c:strRef>
          </c:cat>
          <c:val>
            <c:numRef>
              <c:f>APF!$D$131:$I$131</c:f>
              <c:numCache>
                <c:formatCode>General</c:formatCode>
                <c:ptCount val="6"/>
                <c:pt idx="0">
                  <c:v>38</c:v>
                </c:pt>
                <c:pt idx="1">
                  <c:v>16</c:v>
                </c:pt>
                <c:pt idx="2">
                  <c:v>25</c:v>
                </c:pt>
                <c:pt idx="3">
                  <c:v>24</c:v>
                </c:pt>
                <c:pt idx="4">
                  <c:v>42</c:v>
                </c:pt>
                <c:pt idx="5">
                  <c:v>94</c:v>
                </c:pt>
              </c:numCache>
            </c:numRef>
          </c:val>
        </c:ser>
        <c:ser>
          <c:idx val="2"/>
          <c:order val="2"/>
          <c:tx>
            <c:strRef>
              <c:f>APF!$C$132</c:f>
              <c:strCache>
                <c:ptCount val="1"/>
                <c:pt idx="0">
                  <c:v>Interinstitucional</c:v>
                </c:pt>
              </c:strCache>
            </c:strRef>
          </c:tx>
          <c:spPr>
            <a:solidFill>
              <a:srgbClr val="94AF53"/>
            </a:solidFill>
            <a:ln>
              <a:noFill/>
            </a:ln>
            <a:effectLst/>
          </c:spPr>
          <c:invertIfNegative val="0"/>
          <c:dLbls>
            <c:dLbl>
              <c:idx val="0"/>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APF!$D$129:$I$129</c:f>
              <c:strCache>
                <c:ptCount val="6"/>
                <c:pt idx="0">
                  <c:v>Avance de 0%</c:v>
                </c:pt>
                <c:pt idx="1">
                  <c:v>&gt;0% a 25%</c:v>
                </c:pt>
                <c:pt idx="2">
                  <c:v>&gt;25% a 50%</c:v>
                </c:pt>
                <c:pt idx="3">
                  <c:v>&gt;50% a 75%</c:v>
                </c:pt>
                <c:pt idx="4">
                  <c:v>&gt;75% a &lt;100%</c:v>
                </c:pt>
                <c:pt idx="5">
                  <c:v>100%</c:v>
                </c:pt>
              </c:strCache>
            </c:strRef>
          </c:cat>
          <c:val>
            <c:numRef>
              <c:f>APF!$D$132:$I$132</c:f>
              <c:numCache>
                <c:formatCode>General</c:formatCode>
                <c:ptCount val="6"/>
                <c:pt idx="0">
                  <c:v>0</c:v>
                </c:pt>
                <c:pt idx="1">
                  <c:v>1</c:v>
                </c:pt>
                <c:pt idx="2">
                  <c:v>1</c:v>
                </c:pt>
                <c:pt idx="3">
                  <c:v>0</c:v>
                </c:pt>
                <c:pt idx="4">
                  <c:v>0</c:v>
                </c:pt>
                <c:pt idx="5">
                  <c:v>6</c:v>
                </c:pt>
              </c:numCache>
            </c:numRef>
          </c:val>
        </c:ser>
        <c:ser>
          <c:idx val="3"/>
          <c:order val="3"/>
          <c:tx>
            <c:strRef>
              <c:f>APF!$C$133</c:f>
              <c:strCache>
                <c:ptCount val="1"/>
                <c:pt idx="0">
                  <c:v>Intergubernamental</c:v>
                </c:pt>
              </c:strCache>
            </c:strRef>
          </c:tx>
          <c:spPr>
            <a:solidFill>
              <a:srgbClr val="4F6228"/>
            </a:solidFill>
            <a:ln>
              <a:no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APF!$D$129:$I$129</c:f>
              <c:strCache>
                <c:ptCount val="6"/>
                <c:pt idx="0">
                  <c:v>Avance de 0%</c:v>
                </c:pt>
                <c:pt idx="1">
                  <c:v>&gt;0% a 25%</c:v>
                </c:pt>
                <c:pt idx="2">
                  <c:v>&gt;25% a 50%</c:v>
                </c:pt>
                <c:pt idx="3">
                  <c:v>&gt;50% a 75%</c:v>
                </c:pt>
                <c:pt idx="4">
                  <c:v>&gt;75% a &lt;100%</c:v>
                </c:pt>
                <c:pt idx="5">
                  <c:v>100%</c:v>
                </c:pt>
              </c:strCache>
            </c:strRef>
          </c:cat>
          <c:val>
            <c:numRef>
              <c:f>APF!$D$133:$I$133</c:f>
              <c:numCache>
                <c:formatCode>General</c:formatCode>
                <c:ptCount val="6"/>
                <c:pt idx="0">
                  <c:v>0</c:v>
                </c:pt>
                <c:pt idx="1">
                  <c:v>0</c:v>
                </c:pt>
                <c:pt idx="2">
                  <c:v>0</c:v>
                </c:pt>
                <c:pt idx="3">
                  <c:v>1</c:v>
                </c:pt>
                <c:pt idx="4">
                  <c:v>0</c:v>
                </c:pt>
                <c:pt idx="5">
                  <c:v>1</c:v>
                </c:pt>
              </c:numCache>
            </c:numRef>
          </c:val>
        </c:ser>
        <c:dLbls>
          <c:showLegendKey val="0"/>
          <c:showVal val="1"/>
          <c:showCatName val="0"/>
          <c:showSerName val="0"/>
          <c:showPercent val="0"/>
          <c:showBubbleSize val="0"/>
        </c:dLbls>
        <c:gapWidth val="219"/>
        <c:overlap val="-27"/>
        <c:axId val="2091565472"/>
        <c:axId val="2091566560"/>
      </c:barChart>
      <c:catAx>
        <c:axId val="209156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91566560"/>
        <c:crosses val="autoZero"/>
        <c:auto val="1"/>
        <c:lblAlgn val="ctr"/>
        <c:lblOffset val="100"/>
        <c:noMultiLvlLbl val="0"/>
      </c:catAx>
      <c:valAx>
        <c:axId val="20915665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91565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b="1" i="0" baseline="0">
                <a:effectLst/>
                <a:latin typeface="Soberana Sans" panose="02000000000000000000" pitchFamily="50" charset="0"/>
              </a:rPr>
              <a:t>Gráfica 4. ASM concluidos por Ramo y dependencia o entidad al</a:t>
            </a:r>
            <a:r>
              <a:rPr lang="en-US" sz="800" b="1" i="0" u="none" strike="noStrike" kern="1200" spc="0" baseline="0">
                <a:solidFill>
                  <a:sysClr val="windowText" lastClr="000000">
                    <a:lumMod val="65000"/>
                    <a:lumOff val="35000"/>
                  </a:sysClr>
                </a:solidFill>
                <a:effectLst/>
                <a:latin typeface="Soberana Sans" panose="02000000000000000000" pitchFamily="50" charset="0"/>
                <a:ea typeface="+mn-ea"/>
                <a:cs typeface="+mn-cs"/>
              </a:rPr>
              <a:t> </a:t>
            </a:r>
            <a:r>
              <a:rPr lang="en-US" sz="800" b="1" i="0" baseline="0">
                <a:effectLst/>
                <a:latin typeface="Soberana Sans" panose="02000000000000000000" pitchFamily="50" charset="0"/>
              </a:rPr>
              <a:t>primer trimeste 2018</a:t>
            </a:r>
            <a:endParaRPr lang="es-MX" sz="80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36733005249343831"/>
          <c:y val="6.7646635201174463E-2"/>
          <c:w val="0.58944772528433942"/>
          <c:h val="0.83601605617678654"/>
        </c:manualLayout>
      </c:layout>
      <c:barChart>
        <c:barDir val="bar"/>
        <c:grouping val="clustered"/>
        <c:varyColors val="0"/>
        <c:ser>
          <c:idx val="0"/>
          <c:order val="0"/>
          <c:spPr>
            <a:solidFill>
              <a:srgbClr val="AEC6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APF!$D$154:$E$203</c:f>
              <c:multiLvlStrCache>
                <c:ptCount val="50"/>
                <c:lvl>
                  <c:pt idx="0">
                    <c:v>ISSSTE</c:v>
                  </c:pt>
                  <c:pt idx="1">
                    <c:v>IMSS</c:v>
                  </c:pt>
                  <c:pt idx="2">
                    <c:v>PRODECON</c:v>
                  </c:pt>
                  <c:pt idx="3">
                    <c:v>NOTIMEX</c:v>
                  </c:pt>
                  <c:pt idx="4">
                    <c:v>CDI</c:v>
                  </c:pt>
                  <c:pt idx="5">
                    <c:v>CONACYT</c:v>
                  </c:pt>
                  <c:pt idx="6">
                    <c:v>SECTUR</c:v>
                  </c:pt>
                  <c:pt idx="7">
                    <c:v>SEDESOL</c:v>
                  </c:pt>
                  <c:pt idx="8">
                    <c:v>LICONSA</c:v>
                  </c:pt>
                  <c:pt idx="9">
                    <c:v>INDESOL</c:v>
                  </c:pt>
                  <c:pt idx="10">
                    <c:v>INAPAM</c:v>
                  </c:pt>
                  <c:pt idx="11">
                    <c:v>IMJUVE</c:v>
                  </c:pt>
                  <c:pt idx="12">
                    <c:v>FONART</c:v>
                  </c:pt>
                  <c:pt idx="13">
                    <c:v>DICONSA</c:v>
                  </c:pt>
                  <c:pt idx="14">
                    <c:v>CNP</c:v>
                  </c:pt>
                  <c:pt idx="15">
                    <c:v>IMSS</c:v>
                  </c:pt>
                  <c:pt idx="16">
                    <c:v>PGR</c:v>
                  </c:pt>
                  <c:pt idx="17">
                    <c:v>SEMARNAT</c:v>
                  </c:pt>
                  <c:pt idx="18">
                    <c:v>IMTA</c:v>
                  </c:pt>
                  <c:pt idx="19">
                    <c:v>CONAGUA</c:v>
                  </c:pt>
                  <c:pt idx="20">
                    <c:v>CONAFOR</c:v>
                  </c:pt>
                  <c:pt idx="21">
                    <c:v>ASEA</c:v>
                  </c:pt>
                  <c:pt idx="22">
                    <c:v>SEDATU</c:v>
                  </c:pt>
                  <c:pt idx="23">
                    <c:v>STPS</c:v>
                  </c:pt>
                  <c:pt idx="24">
                    <c:v>SALUD</c:v>
                  </c:pt>
                  <c:pt idx="25">
                    <c:v>DIF</c:v>
                  </c:pt>
                  <c:pt idx="26">
                    <c:v>SEP</c:v>
                  </c:pt>
                  <c:pt idx="27">
                    <c:v>CONAFE</c:v>
                  </c:pt>
                  <c:pt idx="28">
                    <c:v>CONADE</c:v>
                  </c:pt>
                  <c:pt idx="29">
                    <c:v>SGM</c:v>
                  </c:pt>
                  <c:pt idx="30">
                    <c:v>SE</c:v>
                  </c:pt>
                  <c:pt idx="31">
                    <c:v>PRONAFIM</c:v>
                  </c:pt>
                  <c:pt idx="32">
                    <c:v>PROFECO</c:v>
                  </c:pt>
                  <c:pt idx="33">
                    <c:v>INADEM</c:v>
                  </c:pt>
                  <c:pt idx="34">
                    <c:v>IMPI</c:v>
                  </c:pt>
                  <c:pt idx="35">
                    <c:v>FOFIMI</c:v>
                  </c:pt>
                  <c:pt idx="36">
                    <c:v>CENAM</c:v>
                  </c:pt>
                  <c:pt idx="37">
                    <c:v>SENEAM</c:v>
                  </c:pt>
                  <c:pt idx="38">
                    <c:v>IMT</c:v>
                  </c:pt>
                  <c:pt idx="39">
                    <c:v>FIT</c:v>
                  </c:pt>
                  <c:pt idx="40">
                    <c:v>SAGARPA</c:v>
                  </c:pt>
                  <c:pt idx="41">
                    <c:v>SAE</c:v>
                  </c:pt>
                  <c:pt idx="42">
                    <c:v>FND</c:v>
                  </c:pt>
                  <c:pt idx="43">
                    <c:v>BANSEFI</c:v>
                  </c:pt>
                  <c:pt idx="44">
                    <c:v>AGROASEMEX</c:v>
                  </c:pt>
                  <c:pt idx="45">
                    <c:v>SESNSP</c:v>
                  </c:pt>
                  <c:pt idx="46">
                    <c:v>SEGOB</c:v>
                  </c:pt>
                  <c:pt idx="47">
                    <c:v>SECRETARIADO EJECUTIVO</c:v>
                  </c:pt>
                  <c:pt idx="48">
                    <c:v>INM</c:v>
                  </c:pt>
                  <c:pt idx="49">
                    <c:v>CONAVIM</c:v>
                  </c:pt>
                </c:lvl>
                <c:lvl>
                  <c:pt idx="0">
                    <c:v>51</c:v>
                  </c:pt>
                  <c:pt idx="1">
                    <c:v>50</c:v>
                  </c:pt>
                  <c:pt idx="2">
                    <c:v>47</c:v>
                  </c:pt>
                  <c:pt idx="5">
                    <c:v>38</c:v>
                  </c:pt>
                  <c:pt idx="6">
                    <c:v>21</c:v>
                  </c:pt>
                  <c:pt idx="7">
                    <c:v>20</c:v>
                  </c:pt>
                  <c:pt idx="15">
                    <c:v>19</c:v>
                  </c:pt>
                  <c:pt idx="16">
                    <c:v>17</c:v>
                  </c:pt>
                  <c:pt idx="17">
                    <c:v>16</c:v>
                  </c:pt>
                  <c:pt idx="22">
                    <c:v>15</c:v>
                  </c:pt>
                  <c:pt idx="23">
                    <c:v>14</c:v>
                  </c:pt>
                  <c:pt idx="24">
                    <c:v>12</c:v>
                  </c:pt>
                  <c:pt idx="26">
                    <c:v>11</c:v>
                  </c:pt>
                  <c:pt idx="29">
                    <c:v>10</c:v>
                  </c:pt>
                  <c:pt idx="37">
                    <c:v>09</c:v>
                  </c:pt>
                  <c:pt idx="40">
                    <c:v>08</c:v>
                  </c:pt>
                  <c:pt idx="41">
                    <c:v>06</c:v>
                  </c:pt>
                  <c:pt idx="45">
                    <c:v>04</c:v>
                  </c:pt>
                </c:lvl>
              </c:multiLvlStrCache>
            </c:multiLvlStrRef>
          </c:cat>
          <c:val>
            <c:numRef>
              <c:f>APF!$F$154:$F$203</c:f>
              <c:numCache>
                <c:formatCode>General</c:formatCode>
                <c:ptCount val="50"/>
                <c:pt idx="0">
                  <c:v>6</c:v>
                </c:pt>
                <c:pt idx="1">
                  <c:v>2</c:v>
                </c:pt>
                <c:pt idx="2">
                  <c:v>2</c:v>
                </c:pt>
                <c:pt idx="3">
                  <c:v>4</c:v>
                </c:pt>
                <c:pt idx="4">
                  <c:v>6</c:v>
                </c:pt>
                <c:pt idx="5">
                  <c:v>8</c:v>
                </c:pt>
                <c:pt idx="6">
                  <c:v>7</c:v>
                </c:pt>
                <c:pt idx="7">
                  <c:v>43</c:v>
                </c:pt>
                <c:pt idx="8">
                  <c:v>10</c:v>
                </c:pt>
                <c:pt idx="9">
                  <c:v>3</c:v>
                </c:pt>
                <c:pt idx="10">
                  <c:v>2</c:v>
                </c:pt>
                <c:pt idx="11">
                  <c:v>7</c:v>
                </c:pt>
                <c:pt idx="12">
                  <c:v>5</c:v>
                </c:pt>
                <c:pt idx="13">
                  <c:v>7</c:v>
                </c:pt>
                <c:pt idx="14">
                  <c:v>5</c:v>
                </c:pt>
                <c:pt idx="15">
                  <c:v>1</c:v>
                </c:pt>
                <c:pt idx="16">
                  <c:v>4</c:v>
                </c:pt>
                <c:pt idx="17">
                  <c:v>5</c:v>
                </c:pt>
                <c:pt idx="18">
                  <c:v>2</c:v>
                </c:pt>
                <c:pt idx="19">
                  <c:v>3</c:v>
                </c:pt>
                <c:pt idx="20">
                  <c:v>8</c:v>
                </c:pt>
                <c:pt idx="21">
                  <c:v>4</c:v>
                </c:pt>
                <c:pt idx="22">
                  <c:v>13</c:v>
                </c:pt>
                <c:pt idx="23">
                  <c:v>7</c:v>
                </c:pt>
                <c:pt idx="24">
                  <c:v>13</c:v>
                </c:pt>
                <c:pt idx="25">
                  <c:v>8</c:v>
                </c:pt>
                <c:pt idx="26">
                  <c:v>72</c:v>
                </c:pt>
                <c:pt idx="27">
                  <c:v>1</c:v>
                </c:pt>
                <c:pt idx="28">
                  <c:v>1</c:v>
                </c:pt>
                <c:pt idx="29">
                  <c:v>1</c:v>
                </c:pt>
                <c:pt idx="30">
                  <c:v>19</c:v>
                </c:pt>
                <c:pt idx="31">
                  <c:v>4</c:v>
                </c:pt>
                <c:pt idx="32">
                  <c:v>3</c:v>
                </c:pt>
                <c:pt idx="33">
                  <c:v>2</c:v>
                </c:pt>
                <c:pt idx="34">
                  <c:v>1</c:v>
                </c:pt>
                <c:pt idx="35">
                  <c:v>2</c:v>
                </c:pt>
                <c:pt idx="36">
                  <c:v>2</c:v>
                </c:pt>
                <c:pt idx="37">
                  <c:v>3</c:v>
                </c:pt>
                <c:pt idx="38">
                  <c:v>2</c:v>
                </c:pt>
                <c:pt idx="39">
                  <c:v>1</c:v>
                </c:pt>
                <c:pt idx="40">
                  <c:v>16</c:v>
                </c:pt>
                <c:pt idx="41">
                  <c:v>4</c:v>
                </c:pt>
                <c:pt idx="42">
                  <c:v>1</c:v>
                </c:pt>
                <c:pt idx="43">
                  <c:v>1</c:v>
                </c:pt>
                <c:pt idx="44">
                  <c:v>2</c:v>
                </c:pt>
                <c:pt idx="45">
                  <c:v>1</c:v>
                </c:pt>
                <c:pt idx="46">
                  <c:v>1</c:v>
                </c:pt>
                <c:pt idx="47">
                  <c:v>1</c:v>
                </c:pt>
                <c:pt idx="48">
                  <c:v>1</c:v>
                </c:pt>
                <c:pt idx="49">
                  <c:v>2</c:v>
                </c:pt>
              </c:numCache>
            </c:numRef>
          </c:val>
        </c:ser>
        <c:dLbls>
          <c:dLblPos val="outEnd"/>
          <c:showLegendKey val="0"/>
          <c:showVal val="1"/>
          <c:showCatName val="0"/>
          <c:showSerName val="0"/>
          <c:showPercent val="0"/>
          <c:showBubbleSize val="0"/>
        </c:dLbls>
        <c:gapWidth val="182"/>
        <c:axId val="2091567104"/>
        <c:axId val="2091561664"/>
      </c:barChart>
      <c:catAx>
        <c:axId val="2091567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91561664"/>
        <c:crosses val="autoZero"/>
        <c:auto val="1"/>
        <c:lblAlgn val="ctr"/>
        <c:lblOffset val="100"/>
        <c:noMultiLvlLbl val="0"/>
      </c:catAx>
      <c:valAx>
        <c:axId val="2091561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91567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800" b="1" i="0" baseline="0">
                <a:effectLst/>
                <a:latin typeface="Soberana Sans" panose="02000000000000000000" pitchFamily="50" charset="0"/>
              </a:rPr>
              <a:t>Gráfica 5. Cantidad de ASM por rango de avance porcentual al primer trimestre 2018</a:t>
            </a:r>
            <a:endParaRPr lang="es-MX" sz="80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5.1588123383888594E-2"/>
          <c:y val="0.24706073199183434"/>
          <c:w val="0.92473687189636278"/>
          <c:h val="0.529799139690872"/>
        </c:manualLayout>
      </c:layout>
      <c:barChart>
        <c:barDir val="col"/>
        <c:grouping val="clustered"/>
        <c:varyColors val="0"/>
        <c:ser>
          <c:idx val="0"/>
          <c:order val="0"/>
          <c:tx>
            <c:strRef>
              <c:f>SHCP!$C$83</c:f>
              <c:strCache>
                <c:ptCount val="1"/>
                <c:pt idx="0">
                  <c:v>Específico</c:v>
                </c:pt>
              </c:strCache>
            </c:strRef>
          </c:tx>
          <c:spPr>
            <a:solidFill>
              <a:srgbClr val="CDDBB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SHCP!$D$82:$I$82</c:f>
              <c:strCache>
                <c:ptCount val="6"/>
                <c:pt idx="0">
                  <c:v>Avance de 0%</c:v>
                </c:pt>
                <c:pt idx="1">
                  <c:v>&gt;0% a 25%</c:v>
                </c:pt>
                <c:pt idx="2">
                  <c:v>&gt;25% a 50%</c:v>
                </c:pt>
                <c:pt idx="3">
                  <c:v>&gt;50% a 75%</c:v>
                </c:pt>
                <c:pt idx="4">
                  <c:v>&gt;75% a &lt;100%</c:v>
                </c:pt>
                <c:pt idx="5">
                  <c:v>100%</c:v>
                </c:pt>
              </c:strCache>
            </c:strRef>
          </c:cat>
          <c:val>
            <c:numRef>
              <c:f>SHCP!$D$83:$I$83</c:f>
              <c:numCache>
                <c:formatCode>General</c:formatCode>
                <c:ptCount val="6"/>
                <c:pt idx="0">
                  <c:v>4</c:v>
                </c:pt>
                <c:pt idx="1">
                  <c:v>6</c:v>
                </c:pt>
                <c:pt idx="2">
                  <c:v>11</c:v>
                </c:pt>
                <c:pt idx="3">
                  <c:v>10</c:v>
                </c:pt>
                <c:pt idx="4">
                  <c:v>13</c:v>
                </c:pt>
                <c:pt idx="5">
                  <c:v>34</c:v>
                </c:pt>
              </c:numCache>
            </c:numRef>
          </c:val>
        </c:ser>
        <c:ser>
          <c:idx val="1"/>
          <c:order val="1"/>
          <c:tx>
            <c:strRef>
              <c:f>SHCP!$C$84</c:f>
              <c:strCache>
                <c:ptCount val="1"/>
                <c:pt idx="0">
                  <c:v>Institucional</c:v>
                </c:pt>
              </c:strCache>
            </c:strRef>
          </c:tx>
          <c:spPr>
            <a:solidFill>
              <a:srgbClr val="AEC6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SHCP!$D$82:$I$82</c:f>
              <c:strCache>
                <c:ptCount val="6"/>
                <c:pt idx="0">
                  <c:v>Avance de 0%</c:v>
                </c:pt>
                <c:pt idx="1">
                  <c:v>&gt;0% a 25%</c:v>
                </c:pt>
                <c:pt idx="2">
                  <c:v>&gt;25% a 50%</c:v>
                </c:pt>
                <c:pt idx="3">
                  <c:v>&gt;50% a 75%</c:v>
                </c:pt>
                <c:pt idx="4">
                  <c:v>&gt;75% a &lt;100%</c:v>
                </c:pt>
                <c:pt idx="5">
                  <c:v>100%</c:v>
                </c:pt>
              </c:strCache>
            </c:strRef>
          </c:cat>
          <c:val>
            <c:numRef>
              <c:f>SHCP!$D$84:$I$84</c:f>
              <c:numCache>
                <c:formatCode>General</c:formatCode>
                <c:ptCount val="6"/>
                <c:pt idx="0">
                  <c:v>27</c:v>
                </c:pt>
                <c:pt idx="1">
                  <c:v>1</c:v>
                </c:pt>
                <c:pt idx="2">
                  <c:v>3</c:v>
                </c:pt>
                <c:pt idx="3">
                  <c:v>6</c:v>
                </c:pt>
                <c:pt idx="4">
                  <c:v>16</c:v>
                </c:pt>
                <c:pt idx="5">
                  <c:v>21</c:v>
                </c:pt>
              </c:numCache>
            </c:numRef>
          </c:val>
        </c:ser>
        <c:ser>
          <c:idx val="2"/>
          <c:order val="2"/>
          <c:tx>
            <c:strRef>
              <c:f>SHCP!$C$85</c:f>
              <c:strCache>
                <c:ptCount val="1"/>
                <c:pt idx="0">
                  <c:v>Interinstitucional</c:v>
                </c:pt>
              </c:strCache>
            </c:strRef>
          </c:tx>
          <c:spPr>
            <a:solidFill>
              <a:srgbClr val="94AF53"/>
            </a:solidFill>
            <a:ln>
              <a:no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SHCP!$D$82:$I$82</c:f>
              <c:strCache>
                <c:ptCount val="6"/>
                <c:pt idx="0">
                  <c:v>Avance de 0%</c:v>
                </c:pt>
                <c:pt idx="1">
                  <c:v>&gt;0% a 25%</c:v>
                </c:pt>
                <c:pt idx="2">
                  <c:v>&gt;25% a 50%</c:v>
                </c:pt>
                <c:pt idx="3">
                  <c:v>&gt;50% a 75%</c:v>
                </c:pt>
                <c:pt idx="4">
                  <c:v>&gt;75% a &lt;100%</c:v>
                </c:pt>
                <c:pt idx="5">
                  <c:v>100%</c:v>
                </c:pt>
              </c:strCache>
            </c:strRef>
          </c:cat>
          <c:val>
            <c:numRef>
              <c:f>SHCP!$D$85:$I$85</c:f>
              <c:numCache>
                <c:formatCode>General</c:formatCode>
                <c:ptCount val="6"/>
                <c:pt idx="0">
                  <c:v>0</c:v>
                </c:pt>
                <c:pt idx="1">
                  <c:v>0</c:v>
                </c:pt>
                <c:pt idx="2">
                  <c:v>1</c:v>
                </c:pt>
                <c:pt idx="3">
                  <c:v>0</c:v>
                </c:pt>
                <c:pt idx="4">
                  <c:v>0</c:v>
                </c:pt>
                <c:pt idx="5">
                  <c:v>6</c:v>
                </c:pt>
              </c:numCache>
            </c:numRef>
          </c:val>
        </c:ser>
        <c:ser>
          <c:idx val="3"/>
          <c:order val="3"/>
          <c:tx>
            <c:strRef>
              <c:f>SHCP!$C$86</c:f>
              <c:strCache>
                <c:ptCount val="1"/>
                <c:pt idx="0">
                  <c:v>Intergubernamental</c:v>
                </c:pt>
              </c:strCache>
            </c:strRef>
          </c:tx>
          <c:spPr>
            <a:solidFill>
              <a:srgbClr val="4F6228"/>
            </a:solidFill>
            <a:ln>
              <a:no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SHCP!$D$82:$I$82</c:f>
              <c:strCache>
                <c:ptCount val="6"/>
                <c:pt idx="0">
                  <c:v>Avance de 0%</c:v>
                </c:pt>
                <c:pt idx="1">
                  <c:v>&gt;0% a 25%</c:v>
                </c:pt>
                <c:pt idx="2">
                  <c:v>&gt;25% a 50%</c:v>
                </c:pt>
                <c:pt idx="3">
                  <c:v>&gt;50% a 75%</c:v>
                </c:pt>
                <c:pt idx="4">
                  <c:v>&gt;75% a &lt;100%</c:v>
                </c:pt>
                <c:pt idx="5">
                  <c:v>100%</c:v>
                </c:pt>
              </c:strCache>
            </c:strRef>
          </c:cat>
          <c:val>
            <c:numRef>
              <c:f>SHCP!$D$86:$I$86</c:f>
              <c:numCache>
                <c:formatCode>General</c:formatCode>
                <c:ptCount val="6"/>
                <c:pt idx="0">
                  <c:v>0</c:v>
                </c:pt>
                <c:pt idx="1">
                  <c:v>0</c:v>
                </c:pt>
                <c:pt idx="2">
                  <c:v>0</c:v>
                </c:pt>
                <c:pt idx="3">
                  <c:v>1</c:v>
                </c:pt>
                <c:pt idx="4">
                  <c:v>0</c:v>
                </c:pt>
                <c:pt idx="5">
                  <c:v>0</c:v>
                </c:pt>
              </c:numCache>
            </c:numRef>
          </c:val>
        </c:ser>
        <c:dLbls>
          <c:dLblPos val="outEnd"/>
          <c:showLegendKey val="0"/>
          <c:showVal val="1"/>
          <c:showCatName val="0"/>
          <c:showSerName val="0"/>
          <c:showPercent val="0"/>
          <c:showBubbleSize val="0"/>
        </c:dLbls>
        <c:gapWidth val="219"/>
        <c:overlap val="-27"/>
        <c:axId val="2091570912"/>
        <c:axId val="2091568192"/>
      </c:barChart>
      <c:catAx>
        <c:axId val="209157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91568192"/>
        <c:crosses val="autoZero"/>
        <c:auto val="1"/>
        <c:lblAlgn val="ctr"/>
        <c:lblOffset val="100"/>
        <c:noMultiLvlLbl val="0"/>
      </c:catAx>
      <c:valAx>
        <c:axId val="209156819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915709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b="1" i="0" baseline="0">
                <a:effectLst/>
                <a:latin typeface="Soberana Sans" panose="02000000000000000000" pitchFamily="50" charset="0"/>
              </a:rPr>
              <a:t>Gráfica 6. ASM concluidos por Ramo, dependencia o entidad al  primer trimeste 2018</a:t>
            </a:r>
            <a:endParaRPr lang="es-MX" sz="80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36733005249343831"/>
          <c:y val="9.6793613673995416E-2"/>
          <c:w val="0.58944772528433942"/>
          <c:h val="0.83194982199856282"/>
        </c:manualLayout>
      </c:layout>
      <c:barChart>
        <c:barDir val="bar"/>
        <c:grouping val="clustered"/>
        <c:varyColors val="0"/>
        <c:ser>
          <c:idx val="0"/>
          <c:order val="0"/>
          <c:spPr>
            <a:solidFill>
              <a:srgbClr val="AEC6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SHCP!$E$104:$F$129</c:f>
              <c:multiLvlStrCache>
                <c:ptCount val="26"/>
                <c:lvl>
                  <c:pt idx="0">
                    <c:v>IMSS</c:v>
                  </c:pt>
                  <c:pt idx="1">
                    <c:v>PRODECON</c:v>
                  </c:pt>
                  <c:pt idx="2">
                    <c:v>NOTIMEX</c:v>
                  </c:pt>
                  <c:pt idx="3">
                    <c:v>CDI</c:v>
                  </c:pt>
                  <c:pt idx="4">
                    <c:v>SECTUR</c:v>
                  </c:pt>
                  <c:pt idx="5">
                    <c:v>PGR</c:v>
                  </c:pt>
                  <c:pt idx="6">
                    <c:v>ASEA</c:v>
                  </c:pt>
                  <c:pt idx="7">
                    <c:v>SEDATU</c:v>
                  </c:pt>
                  <c:pt idx="8">
                    <c:v>STPS</c:v>
                  </c:pt>
                  <c:pt idx="9">
                    <c:v>SGM</c:v>
                  </c:pt>
                  <c:pt idx="10">
                    <c:v>SE</c:v>
                  </c:pt>
                  <c:pt idx="11">
                    <c:v>SALUD</c:v>
                  </c:pt>
                  <c:pt idx="12">
                    <c:v>IMPI</c:v>
                  </c:pt>
                  <c:pt idx="13">
                    <c:v>FOFIMI</c:v>
                  </c:pt>
                  <c:pt idx="14">
                    <c:v>CENAM</c:v>
                  </c:pt>
                  <c:pt idx="15">
                    <c:v>SENEAM</c:v>
                  </c:pt>
                  <c:pt idx="16">
                    <c:v>IMT</c:v>
                  </c:pt>
                  <c:pt idx="17">
                    <c:v>FIT</c:v>
                  </c:pt>
                  <c:pt idx="18">
                    <c:v>SAE</c:v>
                  </c:pt>
                  <c:pt idx="19">
                    <c:v>FND</c:v>
                  </c:pt>
                  <c:pt idx="20">
                    <c:v>BANSEFI</c:v>
                  </c:pt>
                  <c:pt idx="21">
                    <c:v>SESNSP</c:v>
                  </c:pt>
                  <c:pt idx="22">
                    <c:v>SEGOB</c:v>
                  </c:pt>
                  <c:pt idx="23">
                    <c:v>SECRETARIADO EJECUTIVO</c:v>
                  </c:pt>
                  <c:pt idx="24">
                    <c:v>INM</c:v>
                  </c:pt>
                  <c:pt idx="25">
                    <c:v>CONAVIM</c:v>
                  </c:pt>
                </c:lvl>
                <c:lvl>
                  <c:pt idx="0">
                    <c:v>50</c:v>
                  </c:pt>
                  <c:pt idx="1">
                    <c:v>47</c:v>
                  </c:pt>
                  <c:pt idx="4">
                    <c:v>21</c:v>
                  </c:pt>
                  <c:pt idx="5">
                    <c:v>17</c:v>
                  </c:pt>
                  <c:pt idx="6">
                    <c:v>16</c:v>
                  </c:pt>
                  <c:pt idx="7">
                    <c:v>15</c:v>
                  </c:pt>
                  <c:pt idx="8">
                    <c:v>14</c:v>
                  </c:pt>
                  <c:pt idx="9">
                    <c:v>10</c:v>
                  </c:pt>
                  <c:pt idx="15">
                    <c:v>09</c:v>
                  </c:pt>
                  <c:pt idx="18">
                    <c:v>06</c:v>
                  </c:pt>
                  <c:pt idx="21">
                    <c:v>04</c:v>
                  </c:pt>
                </c:lvl>
              </c:multiLvlStrCache>
            </c:multiLvlStrRef>
          </c:cat>
          <c:val>
            <c:numRef>
              <c:f>SHCP!$G$104:$G$129</c:f>
              <c:numCache>
                <c:formatCode>General</c:formatCode>
                <c:ptCount val="26"/>
                <c:pt idx="0">
                  <c:v>1</c:v>
                </c:pt>
                <c:pt idx="1">
                  <c:v>2</c:v>
                </c:pt>
                <c:pt idx="2">
                  <c:v>4</c:v>
                </c:pt>
                <c:pt idx="3">
                  <c:v>1</c:v>
                </c:pt>
                <c:pt idx="4">
                  <c:v>4</c:v>
                </c:pt>
                <c:pt idx="5">
                  <c:v>4</c:v>
                </c:pt>
                <c:pt idx="6">
                  <c:v>4</c:v>
                </c:pt>
                <c:pt idx="7">
                  <c:v>1</c:v>
                </c:pt>
                <c:pt idx="8">
                  <c:v>2</c:v>
                </c:pt>
                <c:pt idx="9">
                  <c:v>1</c:v>
                </c:pt>
                <c:pt idx="10">
                  <c:v>12</c:v>
                </c:pt>
                <c:pt idx="11">
                  <c:v>2</c:v>
                </c:pt>
                <c:pt idx="12">
                  <c:v>1</c:v>
                </c:pt>
                <c:pt idx="13">
                  <c:v>2</c:v>
                </c:pt>
                <c:pt idx="14">
                  <c:v>2</c:v>
                </c:pt>
                <c:pt idx="15">
                  <c:v>3</c:v>
                </c:pt>
                <c:pt idx="16">
                  <c:v>2</c:v>
                </c:pt>
                <c:pt idx="17">
                  <c:v>1</c:v>
                </c:pt>
                <c:pt idx="18">
                  <c:v>4</c:v>
                </c:pt>
                <c:pt idx="19">
                  <c:v>1</c:v>
                </c:pt>
                <c:pt idx="20">
                  <c:v>1</c:v>
                </c:pt>
                <c:pt idx="21">
                  <c:v>1</c:v>
                </c:pt>
                <c:pt idx="22">
                  <c:v>1</c:v>
                </c:pt>
                <c:pt idx="23">
                  <c:v>1</c:v>
                </c:pt>
                <c:pt idx="24">
                  <c:v>1</c:v>
                </c:pt>
                <c:pt idx="25">
                  <c:v>2</c:v>
                </c:pt>
              </c:numCache>
            </c:numRef>
          </c:val>
        </c:ser>
        <c:dLbls>
          <c:dLblPos val="outEnd"/>
          <c:showLegendKey val="0"/>
          <c:showVal val="1"/>
          <c:showCatName val="0"/>
          <c:showSerName val="0"/>
          <c:showPercent val="0"/>
          <c:showBubbleSize val="0"/>
        </c:dLbls>
        <c:gapWidth val="182"/>
        <c:axId val="2091572000"/>
        <c:axId val="2091573632"/>
      </c:barChart>
      <c:catAx>
        <c:axId val="2091572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91573632"/>
        <c:crosses val="autoZero"/>
        <c:auto val="1"/>
        <c:lblAlgn val="ctr"/>
        <c:lblOffset val="100"/>
        <c:noMultiLvlLbl val="0"/>
      </c:catAx>
      <c:valAx>
        <c:axId val="2091573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91572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800" b="1" i="0" baseline="0">
                <a:effectLst/>
                <a:latin typeface="Soberana Sans" panose="02000000000000000000" pitchFamily="50" charset="0"/>
              </a:rPr>
              <a:t>Gráfica 7. ASM por rango de avance porcentual al primer trimestre 2018</a:t>
            </a:r>
            <a:endParaRPr lang="es-MX" sz="80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7.9247594050743664E-2"/>
          <c:y val="0.29562554680664915"/>
          <c:w val="0.89019685039370078"/>
          <c:h val="0.44419728783902013"/>
        </c:manualLayout>
      </c:layout>
      <c:barChart>
        <c:barDir val="col"/>
        <c:grouping val="clustered"/>
        <c:varyColors val="0"/>
        <c:ser>
          <c:idx val="0"/>
          <c:order val="0"/>
          <c:tx>
            <c:strRef>
              <c:f>CONEVAL!$C$84</c:f>
              <c:strCache>
                <c:ptCount val="1"/>
                <c:pt idx="0">
                  <c:v>Específico</c:v>
                </c:pt>
              </c:strCache>
            </c:strRef>
          </c:tx>
          <c:spPr>
            <a:solidFill>
              <a:srgbClr val="CDDBB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CONEVAL!$D$83:$I$83</c:f>
              <c:strCache>
                <c:ptCount val="6"/>
                <c:pt idx="0">
                  <c:v>Avance de 0%</c:v>
                </c:pt>
                <c:pt idx="1">
                  <c:v>&gt;0% a 25%</c:v>
                </c:pt>
                <c:pt idx="2">
                  <c:v>&gt;25% a 50%</c:v>
                </c:pt>
                <c:pt idx="3">
                  <c:v>&gt;50% a 75%</c:v>
                </c:pt>
                <c:pt idx="4">
                  <c:v>&gt;75% a &lt;100%</c:v>
                </c:pt>
                <c:pt idx="5">
                  <c:v>100%</c:v>
                </c:pt>
              </c:strCache>
            </c:strRef>
          </c:cat>
          <c:val>
            <c:numRef>
              <c:f>CONEVAL!$D$84:$I$84</c:f>
              <c:numCache>
                <c:formatCode>General</c:formatCode>
                <c:ptCount val="6"/>
                <c:pt idx="0">
                  <c:v>21</c:v>
                </c:pt>
                <c:pt idx="1">
                  <c:v>16</c:v>
                </c:pt>
                <c:pt idx="2">
                  <c:v>20</c:v>
                </c:pt>
                <c:pt idx="3">
                  <c:v>24</c:v>
                </c:pt>
                <c:pt idx="4">
                  <c:v>34</c:v>
                </c:pt>
                <c:pt idx="5">
                  <c:v>194</c:v>
                </c:pt>
              </c:numCache>
            </c:numRef>
          </c:val>
        </c:ser>
        <c:ser>
          <c:idx val="1"/>
          <c:order val="1"/>
          <c:tx>
            <c:strRef>
              <c:f>CONEVAL!$C$85</c:f>
              <c:strCache>
                <c:ptCount val="1"/>
                <c:pt idx="0">
                  <c:v>Institucional</c:v>
                </c:pt>
              </c:strCache>
            </c:strRef>
          </c:tx>
          <c:spPr>
            <a:solidFill>
              <a:srgbClr val="AEC6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CONEVAL!$D$83:$I$83</c:f>
              <c:strCache>
                <c:ptCount val="6"/>
                <c:pt idx="0">
                  <c:v>Avance de 0%</c:v>
                </c:pt>
                <c:pt idx="1">
                  <c:v>&gt;0% a 25%</c:v>
                </c:pt>
                <c:pt idx="2">
                  <c:v>&gt;25% a 50%</c:v>
                </c:pt>
                <c:pt idx="3">
                  <c:v>&gt;50% a 75%</c:v>
                </c:pt>
                <c:pt idx="4">
                  <c:v>&gt;75% a &lt;100%</c:v>
                </c:pt>
                <c:pt idx="5">
                  <c:v>100%</c:v>
                </c:pt>
              </c:strCache>
            </c:strRef>
          </c:cat>
          <c:val>
            <c:numRef>
              <c:f>CONEVAL!$D$85:$I$85</c:f>
              <c:numCache>
                <c:formatCode>General</c:formatCode>
                <c:ptCount val="6"/>
                <c:pt idx="0">
                  <c:v>11</c:v>
                </c:pt>
                <c:pt idx="1">
                  <c:v>15</c:v>
                </c:pt>
                <c:pt idx="2">
                  <c:v>22</c:v>
                </c:pt>
                <c:pt idx="3">
                  <c:v>18</c:v>
                </c:pt>
                <c:pt idx="4">
                  <c:v>26</c:v>
                </c:pt>
                <c:pt idx="5">
                  <c:v>73</c:v>
                </c:pt>
              </c:numCache>
            </c:numRef>
          </c:val>
        </c:ser>
        <c:ser>
          <c:idx val="2"/>
          <c:order val="2"/>
          <c:tx>
            <c:strRef>
              <c:f>CONEVAL!$C$86</c:f>
              <c:strCache>
                <c:ptCount val="1"/>
                <c:pt idx="0">
                  <c:v>Interinstitucional</c:v>
                </c:pt>
              </c:strCache>
            </c:strRef>
          </c:tx>
          <c:spPr>
            <a:solidFill>
              <a:srgbClr val="94AF53"/>
            </a:solidFill>
            <a:ln>
              <a:noFill/>
            </a:ln>
            <a:effectLst/>
          </c:spPr>
          <c:invertIfNegative val="0"/>
          <c:dLbls>
            <c:dLbl>
              <c:idx val="0"/>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CONEVAL!$D$83:$I$83</c:f>
              <c:strCache>
                <c:ptCount val="6"/>
                <c:pt idx="0">
                  <c:v>Avance de 0%</c:v>
                </c:pt>
                <c:pt idx="1">
                  <c:v>&gt;0% a 25%</c:v>
                </c:pt>
                <c:pt idx="2">
                  <c:v>&gt;25% a 50%</c:v>
                </c:pt>
                <c:pt idx="3">
                  <c:v>&gt;50% a 75%</c:v>
                </c:pt>
                <c:pt idx="4">
                  <c:v>&gt;75% a &lt;100%</c:v>
                </c:pt>
                <c:pt idx="5">
                  <c:v>100%</c:v>
                </c:pt>
              </c:strCache>
            </c:strRef>
          </c:cat>
          <c:val>
            <c:numRef>
              <c:f>CONEVAL!$D$86:$I$86</c:f>
              <c:numCache>
                <c:formatCode>General</c:formatCode>
                <c:ptCount val="6"/>
                <c:pt idx="0">
                  <c:v>0</c:v>
                </c:pt>
                <c:pt idx="1">
                  <c:v>1</c:v>
                </c:pt>
                <c:pt idx="2">
                  <c:v>0</c:v>
                </c:pt>
                <c:pt idx="3">
                  <c:v>0</c:v>
                </c:pt>
                <c:pt idx="4">
                  <c:v>0</c:v>
                </c:pt>
                <c:pt idx="5">
                  <c:v>0</c:v>
                </c:pt>
              </c:numCache>
            </c:numRef>
          </c:val>
        </c:ser>
        <c:ser>
          <c:idx val="3"/>
          <c:order val="3"/>
          <c:tx>
            <c:strRef>
              <c:f>CONEVAL!$C$87</c:f>
              <c:strCache>
                <c:ptCount val="1"/>
                <c:pt idx="0">
                  <c:v>Intergubernamental</c:v>
                </c:pt>
              </c:strCache>
            </c:strRef>
          </c:tx>
          <c:spPr>
            <a:solidFill>
              <a:srgbClr val="4F6228"/>
            </a:solidFill>
            <a:ln>
              <a:no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CONEVAL!$D$83:$I$83</c:f>
              <c:strCache>
                <c:ptCount val="6"/>
                <c:pt idx="0">
                  <c:v>Avance de 0%</c:v>
                </c:pt>
                <c:pt idx="1">
                  <c:v>&gt;0% a 25%</c:v>
                </c:pt>
                <c:pt idx="2">
                  <c:v>&gt;25% a 50%</c:v>
                </c:pt>
                <c:pt idx="3">
                  <c:v>&gt;50% a 75%</c:v>
                </c:pt>
                <c:pt idx="4">
                  <c:v>&gt;75% a &lt;100%</c:v>
                </c:pt>
                <c:pt idx="5">
                  <c:v>100%</c:v>
                </c:pt>
              </c:strCache>
            </c:strRef>
          </c:cat>
          <c:val>
            <c:numRef>
              <c:f>CONEVAL!$D$87:$I$87</c:f>
              <c:numCache>
                <c:formatCode>General</c:formatCode>
                <c:ptCount val="6"/>
                <c:pt idx="0">
                  <c:v>0</c:v>
                </c:pt>
                <c:pt idx="1">
                  <c:v>0</c:v>
                </c:pt>
                <c:pt idx="2">
                  <c:v>0</c:v>
                </c:pt>
                <c:pt idx="3">
                  <c:v>0</c:v>
                </c:pt>
                <c:pt idx="4">
                  <c:v>0</c:v>
                </c:pt>
                <c:pt idx="5">
                  <c:v>1</c:v>
                </c:pt>
              </c:numCache>
            </c:numRef>
          </c:val>
        </c:ser>
        <c:dLbls>
          <c:dLblPos val="outEnd"/>
          <c:showLegendKey val="0"/>
          <c:showVal val="1"/>
          <c:showCatName val="0"/>
          <c:showSerName val="0"/>
          <c:showPercent val="0"/>
          <c:showBubbleSize val="0"/>
        </c:dLbls>
        <c:gapWidth val="219"/>
        <c:overlap val="-27"/>
        <c:axId val="24305872"/>
        <c:axId val="1864991952"/>
      </c:barChart>
      <c:catAx>
        <c:axId val="2430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64991952"/>
        <c:crosses val="autoZero"/>
        <c:auto val="1"/>
        <c:lblAlgn val="ctr"/>
        <c:lblOffset val="100"/>
        <c:noMultiLvlLbl val="0"/>
      </c:catAx>
      <c:valAx>
        <c:axId val="18649919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43058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0.86632</cdr:y>
    </cdr:from>
    <cdr:to>
      <cdr:x>0.96667</cdr:x>
      <cdr:y>1</cdr:y>
    </cdr:to>
    <cdr:sp macro="" textlink="">
      <cdr:nvSpPr>
        <cdr:cNvPr id="3" name="CuadroTexto 2"/>
        <cdr:cNvSpPr txBox="1"/>
      </cdr:nvSpPr>
      <cdr:spPr>
        <a:xfrm xmlns:a="http://schemas.openxmlformats.org/drawingml/2006/main">
          <a:off x="0" y="2376489"/>
          <a:ext cx="4419615" cy="36671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700">
              <a:latin typeface="Soberana Sans" panose="02000000000000000000" pitchFamily="50" charset="0"/>
            </a:rPr>
            <a:t>Fuente: Unidad de Evaluación del Desempeño, con información proporcionada por las dependencias y entidades de la APF a las instancias coordinadoras.</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0.86632</cdr:y>
    </cdr:from>
    <cdr:to>
      <cdr:x>1</cdr:x>
      <cdr:y>1</cdr:y>
    </cdr:to>
    <cdr:sp macro="" textlink="">
      <cdr:nvSpPr>
        <cdr:cNvPr id="2" name="CuadroTexto 1"/>
        <cdr:cNvSpPr txBox="1"/>
      </cdr:nvSpPr>
      <cdr:spPr>
        <a:xfrm xmlns:a="http://schemas.openxmlformats.org/drawingml/2006/main">
          <a:off x="0" y="2376489"/>
          <a:ext cx="4572000" cy="36671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700">
              <a:latin typeface="Soberana Sans" panose="02000000000000000000" pitchFamily="50" charset="0"/>
            </a:rPr>
            <a:t>Fuente: Unidad de Evaluación del Desempeño, con información proporcionada por las dependencias y entidades de la APF a las instancias coordinadoras.</a:t>
          </a:r>
        </a:p>
      </cdr:txBody>
    </cdr:sp>
  </cdr:relSizeAnchor>
</c:userShapes>
</file>

<file path=word/drawings/drawing3.xml><?xml version="1.0" encoding="utf-8"?>
<c:userShapes xmlns:c="http://schemas.openxmlformats.org/drawingml/2006/chart">
  <cdr:relSizeAnchor xmlns:cdr="http://schemas.openxmlformats.org/drawingml/2006/chartDrawing">
    <cdr:from>
      <cdr:x>0.00345</cdr:x>
      <cdr:y>0.87102</cdr:y>
    </cdr:from>
    <cdr:to>
      <cdr:x>1</cdr:x>
      <cdr:y>1</cdr:y>
    </cdr:to>
    <cdr:sp macro="" textlink="">
      <cdr:nvSpPr>
        <cdr:cNvPr id="2" name="CuadroTexto 1"/>
        <cdr:cNvSpPr txBox="1"/>
      </cdr:nvSpPr>
      <cdr:spPr>
        <a:xfrm xmlns:a="http://schemas.openxmlformats.org/drawingml/2006/main">
          <a:off x="21846" y="2431417"/>
          <a:ext cx="6310374" cy="36004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700">
              <a:latin typeface="Soberana Sans" panose="02000000000000000000" pitchFamily="50" charset="0"/>
            </a:rPr>
            <a:t>Fuente: Unidad de Evaluación del Desempeño, con información proporcionada por las dependencias y entidades de la APF a las instancias coordinadoras.</a:t>
          </a:r>
        </a:p>
      </cdr:txBody>
    </cdr:sp>
  </cdr:relSizeAnchor>
</c:userShapes>
</file>

<file path=word/drawings/drawing4.xml><?xml version="1.0" encoding="utf-8"?>
<c:userShapes xmlns:c="http://schemas.openxmlformats.org/drawingml/2006/chart">
  <cdr:relSizeAnchor xmlns:cdr="http://schemas.openxmlformats.org/drawingml/2006/chartDrawing">
    <cdr:from>
      <cdr:x>0.00208</cdr:x>
      <cdr:y>0.95234</cdr:y>
    </cdr:from>
    <cdr:to>
      <cdr:x>0.96875</cdr:x>
      <cdr:y>0.9978</cdr:y>
    </cdr:to>
    <cdr:sp macro="" textlink="">
      <cdr:nvSpPr>
        <cdr:cNvPr id="2" name="CuadroTexto 1"/>
        <cdr:cNvSpPr txBox="1"/>
      </cdr:nvSpPr>
      <cdr:spPr>
        <a:xfrm xmlns:a="http://schemas.openxmlformats.org/drawingml/2006/main">
          <a:off x="9510" y="8109526"/>
          <a:ext cx="4419615" cy="38705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700">
              <a:latin typeface="Soberana Sans" panose="02000000000000000000" pitchFamily="50" charset="0"/>
            </a:rPr>
            <a:t>Fuente: Unidad de Evaluación del Desempeño, con información proporcionada por las dependencias y entidades de la APF a las instancias coordinadoras.</a:t>
          </a:r>
        </a:p>
      </cdr:txBody>
    </cdr:sp>
  </cdr:relSizeAnchor>
</c:userShapes>
</file>

<file path=word/drawings/drawing5.xml><?xml version="1.0" encoding="utf-8"?>
<c:userShapes xmlns:c="http://schemas.openxmlformats.org/drawingml/2006/chart">
  <cdr:relSizeAnchor xmlns:cdr="http://schemas.openxmlformats.org/drawingml/2006/chartDrawing">
    <cdr:from>
      <cdr:x>0.02152</cdr:x>
      <cdr:y>0.86632</cdr:y>
    </cdr:from>
    <cdr:to>
      <cdr:x>0.96692</cdr:x>
      <cdr:y>1</cdr:y>
    </cdr:to>
    <cdr:sp macro="" textlink="">
      <cdr:nvSpPr>
        <cdr:cNvPr id="2" name="CuadroTexto 1"/>
        <cdr:cNvSpPr txBox="1"/>
      </cdr:nvSpPr>
      <cdr:spPr>
        <a:xfrm xmlns:a="http://schemas.openxmlformats.org/drawingml/2006/main">
          <a:off x="126977" y="2376489"/>
          <a:ext cx="5578254" cy="36671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700">
              <a:latin typeface="Soberana Sans" panose="02000000000000000000" pitchFamily="50" charset="0"/>
            </a:rPr>
            <a:t>Fuente: Unidad de Evaluación del Desempeño, con información proporcionada por las dependencias y entidades de la APF a la</a:t>
          </a:r>
          <a:r>
            <a:rPr lang="es-MX" sz="700" baseline="0">
              <a:latin typeface="Soberana Sans" panose="02000000000000000000" pitchFamily="50" charset="0"/>
            </a:rPr>
            <a:t> </a:t>
          </a:r>
          <a:r>
            <a:rPr lang="es-MX" sz="700">
              <a:latin typeface="Soberana Sans" panose="02000000000000000000" pitchFamily="50" charset="0"/>
            </a:rPr>
            <a:t>SHCP.</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0.96092</cdr:y>
    </cdr:from>
    <cdr:to>
      <cdr:x>0.96667</cdr:x>
      <cdr:y>1</cdr:y>
    </cdr:to>
    <cdr:sp macro="" textlink="">
      <cdr:nvSpPr>
        <cdr:cNvPr id="2" name="CuadroTexto 1"/>
        <cdr:cNvSpPr txBox="1"/>
      </cdr:nvSpPr>
      <cdr:spPr>
        <a:xfrm xmlns:a="http://schemas.openxmlformats.org/drawingml/2006/main">
          <a:off x="0" y="6557964"/>
          <a:ext cx="4419615" cy="2667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700">
              <a:latin typeface="Soberana Sans" panose="02000000000000000000" pitchFamily="50" charset="0"/>
            </a:rPr>
            <a:t>Fuente: Unidad de Evaluación del Desempeño, con información proporcionada por las dependencias y entidades de la APF a la SHCP.</a:t>
          </a: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0.86632</cdr:y>
    </cdr:from>
    <cdr:to>
      <cdr:x>1</cdr:x>
      <cdr:y>1</cdr:y>
    </cdr:to>
    <cdr:sp macro="" textlink="">
      <cdr:nvSpPr>
        <cdr:cNvPr id="2" name="CuadroTexto 1"/>
        <cdr:cNvSpPr txBox="1"/>
      </cdr:nvSpPr>
      <cdr:spPr>
        <a:xfrm xmlns:a="http://schemas.openxmlformats.org/drawingml/2006/main">
          <a:off x="0" y="2376489"/>
          <a:ext cx="5400675" cy="36671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700">
              <a:latin typeface="Soberana Sans" panose="02000000000000000000" pitchFamily="50" charset="0"/>
            </a:rPr>
            <a:t>Fuente: Unidad de Evaluación del Desempeño, con información proporcionada por las dependencias y entidades de la APF al CONEVAL.</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A25AE-4E75-4457-901A-3C73F5D6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PlantillaSoberana</Template>
  <TotalTime>12</TotalTime>
  <Pages>81</Pages>
  <Words>32100</Words>
  <Characters>176553</Characters>
  <Application>Microsoft Office Word</Application>
  <DocSecurity>0</DocSecurity>
  <Lines>1471</Lines>
  <Paragraphs>416</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208237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UPCP</dc:creator>
  <cp:keywords/>
  <dc:description/>
  <cp:lastModifiedBy>Fernando Rosas Perez</cp:lastModifiedBy>
  <cp:revision>5</cp:revision>
  <cp:lastPrinted>2017-10-17T18:22:00Z</cp:lastPrinted>
  <dcterms:created xsi:type="dcterms:W3CDTF">2018-04-26T01:51:00Z</dcterms:created>
  <dcterms:modified xsi:type="dcterms:W3CDTF">2018-04-30T16:33:00Z</dcterms:modified>
</cp:coreProperties>
</file>