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B73B" w14:textId="77777777" w:rsidR="00856081" w:rsidRPr="00856081" w:rsidRDefault="00DE4313" w:rsidP="00856081">
      <w:pPr>
        <w:spacing w:before="200"/>
        <w:ind w:left="567" w:hanging="567"/>
        <w:jc w:val="both"/>
        <w:rPr>
          <w:rFonts w:ascii="Soberana Titular" w:eastAsia="Times New Roman" w:hAnsi="Soberana Titular"/>
          <w:b/>
          <w:lang w:eastAsia="en-US"/>
        </w:rPr>
      </w:pPr>
      <w:bookmarkStart w:id="0" w:name="_GoBack"/>
      <w:bookmarkEnd w:id="0"/>
      <w:r w:rsidRPr="00856081">
        <w:rPr>
          <w:rFonts w:ascii="Soberana Titular" w:eastAsia="Times New Roman" w:hAnsi="Soberana Titular"/>
          <w:b/>
          <w:lang w:eastAsia="en-US"/>
        </w:rPr>
        <w:t>X</w:t>
      </w:r>
      <w:r w:rsidR="00856081" w:rsidRPr="00856081">
        <w:rPr>
          <w:rFonts w:ascii="Soberana Titular" w:eastAsia="Times New Roman" w:hAnsi="Soberana Titular"/>
          <w:b/>
          <w:lang w:eastAsia="en-US"/>
        </w:rPr>
        <w:t>I</w:t>
      </w:r>
      <w:r w:rsidR="003A0C47" w:rsidRPr="00856081">
        <w:rPr>
          <w:rFonts w:ascii="Soberana Titular" w:eastAsia="Times New Roman" w:hAnsi="Soberana Titular"/>
          <w:b/>
          <w:lang w:eastAsia="en-US"/>
        </w:rPr>
        <w:t>V</w:t>
      </w:r>
      <w:r w:rsidRPr="00856081">
        <w:rPr>
          <w:rFonts w:ascii="Soberana Titular" w:eastAsia="Times New Roman" w:hAnsi="Soberana Titular"/>
          <w:b/>
          <w:lang w:eastAsia="en-US"/>
        </w:rPr>
        <w:t xml:space="preserve">. PROGRAMA PARA UN GOBIERNO CERCANO Y MODERNO 2013-2018 – AVANCE </w:t>
      </w:r>
      <w:r w:rsidR="00856081" w:rsidRPr="00856081">
        <w:rPr>
          <w:rFonts w:ascii="Soberana Titular" w:eastAsia="Times New Roman" w:hAnsi="Soberana Titular"/>
          <w:b/>
          <w:lang w:eastAsia="en-US"/>
        </w:rPr>
        <w:t xml:space="preserve">EN EL CUMPLIMIENTO </w:t>
      </w:r>
      <w:r w:rsidRPr="00856081">
        <w:rPr>
          <w:rFonts w:ascii="Soberana Titular" w:eastAsia="Times New Roman" w:hAnsi="Soberana Titular"/>
          <w:b/>
          <w:lang w:eastAsia="en-US"/>
        </w:rPr>
        <w:t xml:space="preserve">DE COMPROMISOS EN BASES DE COLABORACIÓN. </w:t>
      </w:r>
      <w:r w:rsidR="0001093B" w:rsidRPr="00856081">
        <w:rPr>
          <w:rFonts w:ascii="Soberana Titular" w:eastAsia="Times New Roman" w:hAnsi="Soberana Titular"/>
          <w:b/>
          <w:lang w:eastAsia="en-US"/>
        </w:rPr>
        <w:br/>
      </w:r>
      <w:r w:rsidRPr="00856081">
        <w:rPr>
          <w:rFonts w:ascii="Soberana Titular" w:eastAsia="Times New Roman" w:hAnsi="Soberana Titular"/>
          <w:b/>
          <w:lang w:eastAsia="en-US"/>
        </w:rPr>
        <w:t>RESUMEN EJECUTIVO</w:t>
      </w:r>
    </w:p>
    <w:p w14:paraId="73F917E4" w14:textId="77777777" w:rsidR="00DE4313" w:rsidRPr="00E77125" w:rsidRDefault="00DE4313" w:rsidP="00E77125">
      <w:pPr>
        <w:pStyle w:val="Cdetexto"/>
      </w:pPr>
      <w:r w:rsidRPr="00E77125">
        <w:t xml:space="preserve">De conformidad con lo establecido en </w:t>
      </w:r>
      <w:r w:rsidR="00F47E00" w:rsidRPr="00E77125">
        <w:t>los</w:t>
      </w:r>
      <w:r w:rsidRPr="00E77125">
        <w:t xml:space="preserve"> artículo</w:t>
      </w:r>
      <w:r w:rsidR="00F47E00" w:rsidRPr="00E77125">
        <w:t>s</w:t>
      </w:r>
      <w:r w:rsidRPr="00E77125">
        <w:t xml:space="preserve">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w:t>
      </w:r>
      <w:r w:rsidR="006E17D9" w:rsidRPr="00E77125">
        <w:t xml:space="preserve"> y</w:t>
      </w:r>
      <w:r w:rsidRPr="00E77125">
        <w:t xml:space="preserve">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14:paraId="36168548" w14:textId="77777777" w:rsidR="00DE4313" w:rsidRPr="00E77125" w:rsidRDefault="00DE4313" w:rsidP="00E77125">
      <w:pPr>
        <w:pStyle w:val="Cdetexto"/>
      </w:pPr>
      <w:r w:rsidRPr="00E77125">
        <w:t>El artículo 61 de la LFPRH vigente en el ejercicio fiscal 2013, contemplaba la obligación por parte del Ejecutivo Federal, a través de la</w:t>
      </w:r>
      <w:r w:rsidR="000C287D" w:rsidRPr="00E77125">
        <w:t>s</w:t>
      </w:r>
      <w:r w:rsidRPr="00E77125">
        <w:t xml:space="preserve"> </w:t>
      </w:r>
      <w:r w:rsidR="000C287D" w:rsidRPr="00E77125">
        <w:t>s</w:t>
      </w:r>
      <w:r w:rsidRPr="00E77125">
        <w:t>ecretaría</w:t>
      </w:r>
      <w:r w:rsidR="00F47E00" w:rsidRPr="00E77125">
        <w:t>s</w:t>
      </w:r>
      <w:r w:rsidRPr="00E77125">
        <w:t xml:space="preserve"> de Hacienda y Crédito Público (SHCP) y de la Función Pública (SFP), de establecer un programa de mediano plazo para promover la eficiencia y eficacia en la gestión pública de la Administración Pública Federal (APF).</w:t>
      </w:r>
    </w:p>
    <w:p w14:paraId="1903F3F3" w14:textId="77777777" w:rsidR="00DE4313" w:rsidRPr="00E77125" w:rsidRDefault="00F47E00" w:rsidP="00E77125">
      <w:pPr>
        <w:pStyle w:val="Cdetexto"/>
      </w:pPr>
      <w:r w:rsidRPr="00E77125">
        <w:t>Asimismo</w:t>
      </w:r>
      <w:r w:rsidR="00DE4313" w:rsidRPr="00E77125">
        <w:t xml:space="preserv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14:paraId="47B26E1E" w14:textId="77777777" w:rsidR="00DE4313" w:rsidRPr="00E77125" w:rsidRDefault="00DE4313" w:rsidP="00E77125">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14:paraId="2337619F" w14:textId="77777777" w:rsidR="00DE4313" w:rsidRPr="00E77125" w:rsidRDefault="00DE4313" w:rsidP="00E77125">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w:t>
      </w:r>
      <w:r w:rsidR="00F47E00" w:rsidRPr="00E77125">
        <w:t>,</w:t>
      </w:r>
      <w:r w:rsidRPr="00E77125">
        <w:t xml:space="preserve"> e impulse la transparencia y la rendición de cuentas.</w:t>
      </w:r>
    </w:p>
    <w:p w14:paraId="1EA8D9BF" w14:textId="77777777" w:rsidR="00DE4313" w:rsidRPr="00E77125" w:rsidRDefault="00DE4313" w:rsidP="00E77125">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14:paraId="4EB624B7" w14:textId="77777777" w:rsidR="00DE4313" w:rsidRPr="00E77125" w:rsidRDefault="00DE4313" w:rsidP="00E77125">
      <w:pPr>
        <w:pStyle w:val="Cdetexto"/>
      </w:pPr>
      <w:r w:rsidRPr="00E77125">
        <w:t xml:space="preserve">Cabe destacar que la LFPRH y el Decreto de Austeridad, también disponen que el contenido del PGCM será uno de los puntos de partida para la elaboración de convenios o bases de colaboración o desempeño, las cuales, en términos de los ordenamientos citados, contendrán los compromisos </w:t>
      </w:r>
      <w:r w:rsidRPr="00E77125">
        <w:lastRenderedPageBreak/>
        <w:t>relativos a las medidas establecidas en dicho programa y los respectivos indicadores de desempeño que las dependencias y entidades deberán observar y cumplir.</w:t>
      </w:r>
    </w:p>
    <w:p w14:paraId="3CAB6064" w14:textId="77777777" w:rsidR="00DE4313" w:rsidRPr="00E77125" w:rsidRDefault="00DE4313" w:rsidP="00E77125">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14:paraId="159DA2FD" w14:textId="77777777" w:rsidR="00DE4313" w:rsidRPr="00E77125" w:rsidRDefault="00DE4313" w:rsidP="00E77125">
      <w:pPr>
        <w:pStyle w:val="Cdetexto"/>
      </w:pPr>
      <w:r w:rsidRPr="00E77125">
        <w:t>Los compromisos asumidos por las dependencias y entidades en estas Bases, así como los indicadores de desempeño, corresponden a los siguientes temas:</w:t>
      </w:r>
    </w:p>
    <w:p w14:paraId="5B828266" w14:textId="77777777" w:rsidR="00DE4313" w:rsidRPr="00DE4313" w:rsidRDefault="00DE4313" w:rsidP="00856081">
      <w:pPr>
        <w:pStyle w:val="Bala"/>
        <w:spacing w:after="60"/>
        <w:ind w:left="851"/>
      </w:pPr>
      <w:r w:rsidRPr="00DE4313">
        <w:t>Acceso a la Información</w:t>
      </w:r>
    </w:p>
    <w:p w14:paraId="38D16FA0" w14:textId="77777777" w:rsidR="00DE4313" w:rsidRPr="00DE4313" w:rsidRDefault="00DE4313" w:rsidP="00856081">
      <w:pPr>
        <w:pStyle w:val="Bala"/>
        <w:spacing w:after="60"/>
        <w:ind w:left="851"/>
      </w:pPr>
      <w:r w:rsidRPr="00DE4313">
        <w:t>Archivos</w:t>
      </w:r>
    </w:p>
    <w:p w14:paraId="55B42E88" w14:textId="77777777" w:rsidR="00DE4313" w:rsidRPr="00DE4313" w:rsidRDefault="00DE4313" w:rsidP="00856081">
      <w:pPr>
        <w:pStyle w:val="Bala"/>
        <w:spacing w:after="60"/>
        <w:ind w:left="851"/>
      </w:pPr>
      <w:r w:rsidRPr="00DE4313">
        <w:t>Contrataciones Públicas</w:t>
      </w:r>
    </w:p>
    <w:p w14:paraId="7C69F656" w14:textId="77777777" w:rsidR="00DE4313" w:rsidRPr="00DE4313" w:rsidRDefault="00DE4313" w:rsidP="00856081">
      <w:pPr>
        <w:pStyle w:val="Bala"/>
        <w:spacing w:after="60"/>
        <w:ind w:left="851"/>
      </w:pPr>
      <w:r w:rsidRPr="00DE4313">
        <w:t>Cultura de la Legalidad</w:t>
      </w:r>
    </w:p>
    <w:p w14:paraId="081C46C5" w14:textId="77777777" w:rsidR="00DE4313" w:rsidRPr="00DE4313" w:rsidRDefault="00DE4313" w:rsidP="00856081">
      <w:pPr>
        <w:pStyle w:val="Bala"/>
        <w:spacing w:after="60"/>
        <w:ind w:left="851"/>
      </w:pPr>
      <w:r w:rsidRPr="00DE4313">
        <w:t>Inversión e Infraestructura</w:t>
      </w:r>
    </w:p>
    <w:p w14:paraId="3FD39B0E" w14:textId="77777777" w:rsidR="00DE4313" w:rsidRPr="00DE4313" w:rsidRDefault="00DE4313" w:rsidP="00856081">
      <w:pPr>
        <w:pStyle w:val="Bala"/>
        <w:spacing w:after="60"/>
        <w:ind w:left="851"/>
      </w:pPr>
      <w:r w:rsidRPr="00DE4313">
        <w:t>Mejora Regulatoria</w:t>
      </w:r>
    </w:p>
    <w:p w14:paraId="33F0375C" w14:textId="77777777" w:rsidR="00DE4313" w:rsidRPr="00DE4313" w:rsidRDefault="00DE4313" w:rsidP="00856081">
      <w:pPr>
        <w:pStyle w:val="Bala"/>
        <w:spacing w:after="60"/>
        <w:ind w:left="851"/>
      </w:pPr>
      <w:r w:rsidRPr="00DE4313">
        <w:t xml:space="preserve">Optimización del uso de los </w:t>
      </w:r>
      <w:r w:rsidR="00D14DA2">
        <w:t>R</w:t>
      </w:r>
      <w:r w:rsidRPr="00DE4313">
        <w:t>ecursos de la APF</w:t>
      </w:r>
    </w:p>
    <w:p w14:paraId="2188A502" w14:textId="77777777" w:rsidR="00DE4313" w:rsidRPr="00DE4313" w:rsidRDefault="00DE4313" w:rsidP="00856081">
      <w:pPr>
        <w:pStyle w:val="Bala"/>
        <w:spacing w:after="60"/>
        <w:ind w:left="851"/>
      </w:pPr>
      <w:r w:rsidRPr="00DE4313">
        <w:t>Participación Ciudadana</w:t>
      </w:r>
    </w:p>
    <w:p w14:paraId="122EF660" w14:textId="77777777" w:rsidR="00DE4313" w:rsidRPr="00DE4313" w:rsidRDefault="00DE4313" w:rsidP="00856081">
      <w:pPr>
        <w:pStyle w:val="Bala"/>
        <w:spacing w:after="60"/>
        <w:ind w:left="851"/>
      </w:pPr>
      <w:r w:rsidRPr="00DE4313">
        <w:t>Política de Transparencia</w:t>
      </w:r>
    </w:p>
    <w:p w14:paraId="2EAE80A4" w14:textId="77777777" w:rsidR="00DE4313" w:rsidRPr="00DE4313" w:rsidRDefault="00DE4313" w:rsidP="00856081">
      <w:pPr>
        <w:pStyle w:val="Bala"/>
        <w:spacing w:after="60"/>
        <w:ind w:left="851"/>
      </w:pPr>
      <w:r w:rsidRPr="00DE4313">
        <w:t>Presupuesto basado en Resultados</w:t>
      </w:r>
    </w:p>
    <w:p w14:paraId="7789DD28" w14:textId="77777777" w:rsidR="00DE4313" w:rsidRPr="00DE4313" w:rsidRDefault="00DE4313" w:rsidP="00856081">
      <w:pPr>
        <w:pStyle w:val="Bala"/>
        <w:spacing w:after="60"/>
        <w:ind w:left="851"/>
      </w:pPr>
      <w:r w:rsidRPr="00DE4313">
        <w:t>Procesos</w:t>
      </w:r>
    </w:p>
    <w:p w14:paraId="7EF62F9A" w14:textId="77777777" w:rsidR="00DE4313" w:rsidRPr="00DE4313" w:rsidRDefault="00DE4313" w:rsidP="00856081">
      <w:pPr>
        <w:pStyle w:val="Bala"/>
        <w:spacing w:after="60"/>
        <w:ind w:left="851"/>
      </w:pPr>
      <w:r w:rsidRPr="00DE4313">
        <w:t>Recursos Humanos</w:t>
      </w:r>
    </w:p>
    <w:p w14:paraId="458D32B0" w14:textId="77777777" w:rsidR="00DE4313" w:rsidRPr="00DE4313" w:rsidRDefault="00DE4313" w:rsidP="00856081">
      <w:pPr>
        <w:pStyle w:val="Bala"/>
        <w:ind w:left="851"/>
      </w:pPr>
      <w:r w:rsidRPr="00DE4313">
        <w:t>Tecnologías de Información</w:t>
      </w:r>
    </w:p>
    <w:p w14:paraId="54DE5AA2" w14:textId="77777777" w:rsidR="00F611EB" w:rsidRPr="00E77125" w:rsidRDefault="00F611EB" w:rsidP="00E77125">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14:paraId="7147EABD" w14:textId="77777777" w:rsidR="00F611EB" w:rsidRPr="00E77125" w:rsidRDefault="00F611EB" w:rsidP="00E77125">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14:paraId="6F055875" w14:textId="77777777" w:rsidR="00F611EB" w:rsidRDefault="00F611EB" w:rsidP="00E77125">
      <w:pPr>
        <w:pStyle w:val="Cdetexto"/>
      </w:pPr>
      <w:r w:rsidRPr="00E77125">
        <w:t>El artículo Octavo transitorio del mencionado Decreto</w:t>
      </w:r>
      <w:r w:rsidR="00A93389" w:rsidRPr="00E77125">
        <w:t>,</w:t>
      </w:r>
      <w:r w:rsidRPr="00E77125">
        <w:t xml:space="preserve">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14:paraId="3B1F6DD3" w14:textId="77777777" w:rsidR="007F44ED" w:rsidRPr="00E77125" w:rsidRDefault="007F44ED" w:rsidP="00E77125">
      <w:pPr>
        <w:pStyle w:val="Cdetexto"/>
      </w:pPr>
    </w:p>
    <w:p w14:paraId="3FC51217" w14:textId="77777777" w:rsidR="00032C79" w:rsidRDefault="00032C79" w:rsidP="00E77125">
      <w:pPr>
        <w:pStyle w:val="Cdetexto"/>
      </w:pPr>
      <w:r w:rsidRPr="00032C79">
        <w:lastRenderedPageBreak/>
        <w:t>Conforme a lo previsto en el clausulado de las Bases, en 2015 se efectuó el proceso de revisión y actualización del Anexo Único</w:t>
      </w:r>
      <w:r w:rsidR="008E5F2C">
        <w:t xml:space="preserve"> de cada una de ellas</w:t>
      </w:r>
      <w:r w:rsidRPr="00032C79">
        <w:t>, y como resultado se realizaron precisiones a algunos compromisos e indicadores, acordes a la situación de cada uno de los temas, y se revisó la aplicabilidad de estos a cada institución pública. De esta forma, los compro</w:t>
      </w:r>
      <w:r w:rsidR="003B1054">
        <w:t>misos e indicadores que resultaron</w:t>
      </w:r>
      <w:r w:rsidRPr="00032C79">
        <w:t xml:space="preserve"> aplicables </w:t>
      </w:r>
      <w:r w:rsidR="003B1054">
        <w:t>desde</w:t>
      </w:r>
      <w:r w:rsidRPr="00032C79">
        <w:t xml:space="preserve"> el primer trimestre de 2016 a cada dependencia, órgano desconcentrado o entidad en el ámbito institucional, mantienen la orientación al logro de los objetivos previstos originalmente en el PGCM.</w:t>
      </w:r>
      <w:r w:rsidR="008B67EE">
        <w:t xml:space="preserve"> Los procesos de revisión correspondientes a los ejercicios 2016 y 2017 no requirieron la modificación de compromisos e indicadores que conforman el Anexo Único de Bases.</w:t>
      </w:r>
    </w:p>
    <w:p w14:paraId="0653DF6A" w14:textId="77777777" w:rsidR="00F611EB" w:rsidRDefault="00F611EB" w:rsidP="00E77125">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w:t>
      </w:r>
      <w:r w:rsidR="00A93389">
        <w:t xml:space="preserve">o </w:t>
      </w:r>
      <w:r>
        <w:t>siguiente:</w:t>
      </w:r>
    </w:p>
    <w:p w14:paraId="5AAE9DED" w14:textId="77777777" w:rsidR="00F611EB" w:rsidRPr="00A93389" w:rsidRDefault="00F611EB" w:rsidP="00E77125">
      <w:pPr>
        <w:pStyle w:val="Cdetexto"/>
        <w:numPr>
          <w:ilvl w:val="0"/>
          <w:numId w:val="25"/>
        </w:numPr>
      </w:pPr>
      <w:r w:rsidRPr="00A93389">
        <w:t>Informe de seguimiento a líneas de acción específicas y de coordinación de la estrategia.</w:t>
      </w:r>
    </w:p>
    <w:p w14:paraId="77ED84AE" w14:textId="77777777" w:rsidR="00F611EB" w:rsidRPr="00A93389" w:rsidRDefault="00F611EB" w:rsidP="00E77125">
      <w:pPr>
        <w:pStyle w:val="Cdetexto"/>
        <w:numPr>
          <w:ilvl w:val="0"/>
          <w:numId w:val="25"/>
        </w:numPr>
      </w:pPr>
      <w:r w:rsidRPr="00A93389">
        <w:t xml:space="preserve">Informe de avance al periodo de indicadores por </w:t>
      </w:r>
      <w:r w:rsidR="006E17D9">
        <w:t>i</w:t>
      </w:r>
      <w:r w:rsidRPr="00A93389">
        <w:t>nstitución.</w:t>
      </w:r>
    </w:p>
    <w:p w14:paraId="6E080384" w14:textId="77777777" w:rsidR="00F611EB" w:rsidRPr="00CA1AD3" w:rsidRDefault="005B25C4" w:rsidP="00E77125">
      <w:pPr>
        <w:pStyle w:val="Cdetexto"/>
        <w:numPr>
          <w:ilvl w:val="0"/>
          <w:numId w:val="25"/>
        </w:numPr>
      </w:pPr>
      <w:r>
        <w:t>Inform</w:t>
      </w:r>
      <w:r w:rsidRPr="00CA1AD3">
        <w:t>e de avance por i</w:t>
      </w:r>
      <w:r w:rsidR="00F611EB" w:rsidRPr="00CA1AD3">
        <w:t>nstitución, respecto de líneas de acción generales.</w:t>
      </w:r>
    </w:p>
    <w:p w14:paraId="447BC5FB" w14:textId="77777777" w:rsidR="00F611EB" w:rsidRDefault="00F611EB" w:rsidP="00E77125">
      <w:pPr>
        <w:pStyle w:val="Cdetexto"/>
      </w:pPr>
      <w:r w:rsidRPr="00CA1AD3">
        <w:t xml:space="preserve">En el </w:t>
      </w:r>
      <w:r w:rsidR="007A6437" w:rsidRPr="00CA1AD3">
        <w:t xml:space="preserve">Anexo </w:t>
      </w:r>
      <w:r w:rsidR="007A6437" w:rsidRPr="00915E9A">
        <w:t>X</w:t>
      </w:r>
      <w:r w:rsidR="008B67EE">
        <w:t>I</w:t>
      </w:r>
      <w:r w:rsidR="00A93389" w:rsidRPr="00915E9A">
        <w:t>V</w:t>
      </w:r>
      <w:r w:rsidR="00A93389">
        <w:t xml:space="preserve"> </w:t>
      </w:r>
      <w:r>
        <w:t xml:space="preserve">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BC3EA9">
        <w:t>enero</w:t>
      </w:r>
      <w:r w:rsidR="003B1054">
        <w:t>-</w:t>
      </w:r>
      <w:r w:rsidR="00BC3EA9">
        <w:t>dic</w:t>
      </w:r>
      <w:r w:rsidR="007549D6">
        <w:t>iembre</w:t>
      </w:r>
      <w:r w:rsidR="004A345F">
        <w:t xml:space="preserve"> de 2017</w:t>
      </w:r>
      <w:r w:rsidRPr="00BE28A6">
        <w:t>.</w:t>
      </w:r>
    </w:p>
    <w:p w14:paraId="5B66FEBB" w14:textId="77777777" w:rsidR="00BC3EA9" w:rsidRDefault="00BC3EA9" w:rsidP="00BC3EA9">
      <w:pPr>
        <w:pStyle w:val="Cdetextonegrita"/>
        <w:ind w:left="426"/>
      </w:pPr>
      <w:r>
        <w:t>Acceso a la Información</w:t>
      </w:r>
    </w:p>
    <w:p w14:paraId="19472FE4" w14:textId="77777777" w:rsidR="00BC3EA9" w:rsidRDefault="00BC3EA9" w:rsidP="00BC3EA9">
      <w:pPr>
        <w:pStyle w:val="Vieta1"/>
        <w:numPr>
          <w:ilvl w:val="0"/>
          <w:numId w:val="21"/>
        </w:numPr>
        <w:ind w:left="709" w:hanging="283"/>
      </w:pPr>
      <w:r>
        <w:t>Tiempo de respuesta a solicitudes de información y calidad de las mismas</w:t>
      </w:r>
    </w:p>
    <w:p w14:paraId="5B04FD24" w14:textId="77777777" w:rsidR="00BC3EA9" w:rsidRDefault="00BC3EA9" w:rsidP="00BC3EA9">
      <w:pPr>
        <w:pStyle w:val="Cdetextonegrita"/>
        <w:ind w:left="426"/>
      </w:pPr>
      <w:r>
        <w:t>Archivos</w:t>
      </w:r>
    </w:p>
    <w:p w14:paraId="69703A92" w14:textId="77777777" w:rsidR="00BC3EA9" w:rsidRDefault="00BC3EA9" w:rsidP="00BC3EA9">
      <w:pPr>
        <w:pStyle w:val="Vieta1"/>
        <w:numPr>
          <w:ilvl w:val="0"/>
          <w:numId w:val="21"/>
        </w:numPr>
        <w:ind w:left="709" w:hanging="283"/>
      </w:pPr>
      <w:r>
        <w:t>Porcentaje de archivos de concentración liberado</w:t>
      </w:r>
    </w:p>
    <w:p w14:paraId="1183F3D8" w14:textId="77777777" w:rsidR="00BC3EA9" w:rsidRDefault="00BC3EA9" w:rsidP="00BC3EA9">
      <w:pPr>
        <w:pStyle w:val="Vieta1"/>
        <w:numPr>
          <w:ilvl w:val="0"/>
          <w:numId w:val="21"/>
        </w:numPr>
        <w:ind w:left="709" w:hanging="283"/>
      </w:pPr>
      <w:r>
        <w:t>Porcentaje de expedientes actualizados del archivo de trámite</w:t>
      </w:r>
    </w:p>
    <w:p w14:paraId="0E2E622A" w14:textId="77777777" w:rsidR="00BC3EA9" w:rsidRDefault="00BC3EA9" w:rsidP="00BC3EA9">
      <w:pPr>
        <w:pStyle w:val="Cdetextonegrita"/>
        <w:ind w:left="426"/>
      </w:pPr>
      <w:r>
        <w:t>Contrataciones Públicas</w:t>
      </w:r>
    </w:p>
    <w:p w14:paraId="24789DAE" w14:textId="77777777" w:rsidR="00BC3EA9" w:rsidRDefault="00BC3EA9" w:rsidP="00BC3EA9">
      <w:pPr>
        <w:pStyle w:val="Vieta1"/>
        <w:numPr>
          <w:ilvl w:val="0"/>
          <w:numId w:val="21"/>
        </w:numPr>
        <w:ind w:left="709" w:hanging="283"/>
      </w:pPr>
      <w:r>
        <w:t>Porcentaje de procedimientos de contratación competidos con posibilidad de recibir proposiciones de manera electrónica</w:t>
      </w:r>
    </w:p>
    <w:p w14:paraId="4245ED6F" w14:textId="77777777" w:rsidR="00BC3EA9" w:rsidRDefault="00BC3EA9" w:rsidP="00BC3EA9">
      <w:pPr>
        <w:pStyle w:val="Vieta1"/>
        <w:numPr>
          <w:ilvl w:val="0"/>
          <w:numId w:val="21"/>
        </w:numPr>
        <w:ind w:left="709" w:hanging="283"/>
      </w:pPr>
      <w:r>
        <w:t>Índice de estrategias de contratación instrumentadas</w:t>
      </w:r>
    </w:p>
    <w:p w14:paraId="0FB29145" w14:textId="77777777" w:rsidR="00BC3EA9" w:rsidRDefault="00BC3EA9" w:rsidP="00BC3EA9">
      <w:pPr>
        <w:pStyle w:val="Cdetextonegrita"/>
        <w:ind w:left="426"/>
      </w:pPr>
      <w:r>
        <w:t>Inversión e Infraestructura</w:t>
      </w:r>
    </w:p>
    <w:p w14:paraId="507BC4A7" w14:textId="77777777" w:rsidR="00BC3EA9" w:rsidRDefault="00BC3EA9" w:rsidP="00BC3EA9">
      <w:pPr>
        <w:pStyle w:val="Vieta1"/>
        <w:numPr>
          <w:ilvl w:val="0"/>
          <w:numId w:val="21"/>
        </w:numPr>
        <w:ind w:left="709" w:hanging="283"/>
      </w:pPr>
      <w:r>
        <w:t>Porcentaje de cumplimiento de las dependencias y entidades respecto a las evaluaciones ex post de programas y proyectos de inversión</w:t>
      </w:r>
    </w:p>
    <w:p w14:paraId="37342A89" w14:textId="77777777" w:rsidR="00BC3EA9" w:rsidRDefault="00BC3EA9" w:rsidP="00BC3EA9">
      <w:pPr>
        <w:pStyle w:val="Vieta1"/>
        <w:numPr>
          <w:ilvl w:val="0"/>
          <w:numId w:val="21"/>
        </w:numPr>
        <w:ind w:left="709" w:hanging="283"/>
      </w:pPr>
      <w:r>
        <w:t>Porcentaje de cumplimiento de las dependencias y entidades respecto al seguimiento del ejercicio de programas y proyectos de inversión</w:t>
      </w:r>
    </w:p>
    <w:p w14:paraId="6750AAE0" w14:textId="77777777" w:rsidR="00BC3EA9" w:rsidRDefault="00BC3EA9" w:rsidP="00BC3EA9">
      <w:pPr>
        <w:pStyle w:val="Cdetextonegrita"/>
        <w:ind w:left="426"/>
      </w:pPr>
      <w:r>
        <w:t>Mejora Regulatoria</w:t>
      </w:r>
    </w:p>
    <w:p w14:paraId="1CB83CCD" w14:textId="77777777" w:rsidR="00BC3EA9" w:rsidRDefault="00BC3EA9" w:rsidP="00BC3EA9">
      <w:pPr>
        <w:pStyle w:val="Vieta1"/>
        <w:numPr>
          <w:ilvl w:val="0"/>
          <w:numId w:val="21"/>
        </w:numPr>
        <w:ind w:left="709" w:hanging="283"/>
      </w:pPr>
      <w:r>
        <w:t>Simplificación normativa en trámites prioritarios</w:t>
      </w:r>
    </w:p>
    <w:p w14:paraId="63014DC0" w14:textId="77777777" w:rsidR="00BC3EA9" w:rsidRDefault="00BC3EA9" w:rsidP="00BC3EA9">
      <w:pPr>
        <w:pStyle w:val="Vieta1"/>
        <w:numPr>
          <w:ilvl w:val="0"/>
          <w:numId w:val="21"/>
        </w:numPr>
        <w:ind w:left="709" w:hanging="283"/>
      </w:pPr>
      <w:r>
        <w:t>Reducción de la carga administrativa al ciudadano</w:t>
      </w:r>
    </w:p>
    <w:p w14:paraId="4410B151" w14:textId="77777777" w:rsidR="00BC3EA9" w:rsidRDefault="00BC3EA9" w:rsidP="00BC3EA9">
      <w:pPr>
        <w:pStyle w:val="Vieta1"/>
        <w:numPr>
          <w:ilvl w:val="0"/>
          <w:numId w:val="21"/>
        </w:numPr>
        <w:ind w:left="709" w:hanging="283"/>
      </w:pPr>
      <w:r>
        <w:lastRenderedPageBreak/>
        <w:t>Porcentaje de normas simplificadas</w:t>
      </w:r>
      <w:r>
        <w:rPr>
          <w:rStyle w:val="Refdenotaalpie"/>
        </w:rPr>
        <w:footnoteReference w:id="1"/>
      </w:r>
    </w:p>
    <w:p w14:paraId="4F6F3FD9" w14:textId="77777777" w:rsidR="00BC3EA9" w:rsidRDefault="00BC3EA9" w:rsidP="00BC3EA9">
      <w:pPr>
        <w:pStyle w:val="Cdetextonegrita"/>
        <w:ind w:left="426"/>
      </w:pPr>
      <w:r>
        <w:t>Optimización del uso de los recursos en la APF</w:t>
      </w:r>
    </w:p>
    <w:p w14:paraId="79F15659" w14:textId="77777777" w:rsidR="00BC3EA9" w:rsidRDefault="00BC3EA9" w:rsidP="00BC3EA9">
      <w:pPr>
        <w:pStyle w:val="Vieta1"/>
        <w:numPr>
          <w:ilvl w:val="0"/>
          <w:numId w:val="21"/>
        </w:numPr>
        <w:ind w:left="709" w:hanging="283"/>
      </w:pPr>
      <w:r>
        <w:t>Unidades administrativas orientadas a objetivos estratégicos</w:t>
      </w:r>
    </w:p>
    <w:p w14:paraId="3A8A9177" w14:textId="77777777" w:rsidR="00BC3EA9" w:rsidRDefault="00BC3EA9" w:rsidP="00BC3EA9">
      <w:pPr>
        <w:pStyle w:val="Vieta1"/>
        <w:numPr>
          <w:ilvl w:val="0"/>
          <w:numId w:val="21"/>
        </w:numPr>
        <w:ind w:left="709" w:hanging="283"/>
      </w:pPr>
      <w:r>
        <w:t>Proporción del gasto en servicios personales respecto al gasto programable</w:t>
      </w:r>
    </w:p>
    <w:p w14:paraId="70FB42E4" w14:textId="77777777" w:rsidR="00BC3EA9" w:rsidRDefault="00BC3EA9" w:rsidP="00BC3EA9">
      <w:pPr>
        <w:pStyle w:val="Vieta1"/>
        <w:numPr>
          <w:ilvl w:val="0"/>
          <w:numId w:val="21"/>
        </w:numPr>
        <w:ind w:left="709" w:hanging="283"/>
      </w:pPr>
      <w:r>
        <w:t>Cociente del gasto de operación administrativo</w:t>
      </w:r>
    </w:p>
    <w:p w14:paraId="72421BA9" w14:textId="77777777" w:rsidR="00BC3EA9" w:rsidRDefault="00BC3EA9" w:rsidP="00BC3EA9">
      <w:pPr>
        <w:pStyle w:val="Cdetextonegrita"/>
        <w:ind w:left="426"/>
      </w:pPr>
      <w:r>
        <w:t>Política de Transparencia</w:t>
      </w:r>
    </w:p>
    <w:p w14:paraId="6D2C25E4" w14:textId="77777777" w:rsidR="00BC3EA9" w:rsidRDefault="00BC3EA9" w:rsidP="00BC3EA9">
      <w:pPr>
        <w:pStyle w:val="Vieta1"/>
        <w:numPr>
          <w:ilvl w:val="0"/>
          <w:numId w:val="21"/>
        </w:numPr>
        <w:ind w:left="709" w:hanging="283"/>
      </w:pPr>
      <w:r>
        <w:t>Acciones de transparencia focalizada</w:t>
      </w:r>
    </w:p>
    <w:p w14:paraId="51B693A3" w14:textId="77777777" w:rsidR="00BC3EA9" w:rsidRDefault="00BC3EA9" w:rsidP="00BC3EA9">
      <w:pPr>
        <w:pStyle w:val="Cdetextonegrita"/>
        <w:ind w:left="426"/>
      </w:pPr>
      <w:r>
        <w:t>Presupuesto basado en Resultados</w:t>
      </w:r>
    </w:p>
    <w:p w14:paraId="644ABF23" w14:textId="77777777" w:rsidR="00BC3EA9" w:rsidRDefault="00BC3EA9" w:rsidP="00BC3EA9">
      <w:pPr>
        <w:pStyle w:val="Vieta1"/>
        <w:numPr>
          <w:ilvl w:val="0"/>
          <w:numId w:val="21"/>
        </w:numPr>
        <w:ind w:left="709" w:hanging="283"/>
      </w:pPr>
      <w:r>
        <w:t>Porcentaje de programas presupuestarios con información de desempeño con un nivel de logro satisfactorio</w:t>
      </w:r>
      <w:r w:rsidR="00A27CC5">
        <w:rPr>
          <w:rStyle w:val="Refdenotaalpie"/>
        </w:rPr>
        <w:footnoteReference w:id="2"/>
      </w:r>
    </w:p>
    <w:p w14:paraId="22938346" w14:textId="77777777" w:rsidR="00BC3EA9" w:rsidRDefault="00BC3EA9" w:rsidP="00BC3EA9">
      <w:pPr>
        <w:pStyle w:val="Cdetextonegrita"/>
        <w:ind w:left="426"/>
      </w:pPr>
      <w:r>
        <w:t>Procesos</w:t>
      </w:r>
    </w:p>
    <w:p w14:paraId="101FDAF1" w14:textId="77777777" w:rsidR="00BC3EA9" w:rsidRDefault="00BC3EA9" w:rsidP="00BC3EA9">
      <w:pPr>
        <w:pStyle w:val="Vieta1"/>
        <w:numPr>
          <w:ilvl w:val="0"/>
          <w:numId w:val="21"/>
        </w:numPr>
        <w:ind w:left="709" w:hanging="283"/>
      </w:pPr>
      <w:r>
        <w:t>Porcentaje de procesos prioritarios optimizados</w:t>
      </w:r>
      <w:r w:rsidRPr="008D6847">
        <w:rPr>
          <w:vertAlign w:val="superscript"/>
        </w:rPr>
        <w:t>1</w:t>
      </w:r>
    </w:p>
    <w:p w14:paraId="311F001B" w14:textId="77777777" w:rsidR="00BC3EA9" w:rsidRDefault="00BC3EA9" w:rsidP="00BC3EA9">
      <w:pPr>
        <w:pStyle w:val="Vieta1"/>
        <w:numPr>
          <w:ilvl w:val="0"/>
          <w:numId w:val="21"/>
        </w:numPr>
        <w:ind w:left="709" w:hanging="283"/>
      </w:pPr>
      <w:r>
        <w:t>Porcentaje de procesos estandarizados</w:t>
      </w:r>
      <w:r w:rsidRPr="008D6847">
        <w:rPr>
          <w:vertAlign w:val="superscript"/>
        </w:rPr>
        <w:t>1</w:t>
      </w:r>
    </w:p>
    <w:p w14:paraId="0D53DA43" w14:textId="77777777" w:rsidR="00BC3EA9" w:rsidRDefault="00BC3EA9" w:rsidP="00BC3EA9">
      <w:pPr>
        <w:pStyle w:val="Cdetextonegrita"/>
        <w:ind w:left="426"/>
      </w:pPr>
      <w:r>
        <w:t>Recursos Humanos</w:t>
      </w:r>
    </w:p>
    <w:p w14:paraId="64E8F6A2" w14:textId="77777777" w:rsidR="00BC3EA9" w:rsidRDefault="00BC3EA9" w:rsidP="00BC3EA9">
      <w:pPr>
        <w:pStyle w:val="Vieta1"/>
        <w:numPr>
          <w:ilvl w:val="0"/>
          <w:numId w:val="21"/>
        </w:numPr>
        <w:ind w:left="709" w:hanging="283"/>
      </w:pPr>
      <w:r>
        <w:t>Recursos humanos profesionalizados</w:t>
      </w:r>
    </w:p>
    <w:p w14:paraId="584A8AD4" w14:textId="77777777" w:rsidR="00BC3EA9" w:rsidRDefault="00BC3EA9" w:rsidP="00BC3EA9">
      <w:pPr>
        <w:pStyle w:val="Cdetextonegrita"/>
        <w:ind w:left="426"/>
      </w:pPr>
      <w:r>
        <w:t>Tecnologías de la Información</w:t>
      </w:r>
    </w:p>
    <w:p w14:paraId="3EBCC906" w14:textId="77777777" w:rsidR="00BC3EA9" w:rsidRDefault="00BC3EA9" w:rsidP="00BC3EA9">
      <w:pPr>
        <w:pStyle w:val="Vieta1"/>
        <w:numPr>
          <w:ilvl w:val="0"/>
          <w:numId w:val="21"/>
        </w:numPr>
        <w:ind w:left="709" w:hanging="283"/>
      </w:pPr>
      <w:r>
        <w:t>Trámites y servicios digitalizados</w:t>
      </w:r>
    </w:p>
    <w:p w14:paraId="6B78B522" w14:textId="77777777" w:rsidR="00B97336" w:rsidRDefault="00BC3EA9" w:rsidP="00B97336">
      <w:pPr>
        <w:pStyle w:val="Vieta1"/>
        <w:numPr>
          <w:ilvl w:val="0"/>
          <w:numId w:val="21"/>
        </w:numPr>
        <w:ind w:left="709" w:hanging="283"/>
      </w:pPr>
      <w:r>
        <w:t>Procesos administrativos optimizados digitalizados</w:t>
      </w:r>
    </w:p>
    <w:p w14:paraId="10C9BDE9" w14:textId="77777777" w:rsidR="00BC3EA9" w:rsidRDefault="00BC3EA9" w:rsidP="00B97336">
      <w:pPr>
        <w:pStyle w:val="Vieta1"/>
        <w:numPr>
          <w:ilvl w:val="0"/>
          <w:numId w:val="21"/>
        </w:numPr>
        <w:ind w:left="709" w:hanging="283"/>
      </w:pPr>
      <w:r>
        <w:t>Índice de datos abiertos</w:t>
      </w:r>
    </w:p>
    <w:p w14:paraId="26873E21" w14:textId="77777777" w:rsidR="00B51C97" w:rsidRPr="00B51C97" w:rsidRDefault="00B51C97" w:rsidP="004A345F">
      <w:pPr>
        <w:pStyle w:val="Bala"/>
        <w:numPr>
          <w:ilvl w:val="0"/>
          <w:numId w:val="0"/>
        </w:numPr>
        <w:rPr>
          <w:highlight w:val="yellow"/>
          <w:lang w:val="es-MX"/>
        </w:rPr>
      </w:pPr>
    </w:p>
    <w:p w14:paraId="2D675174" w14:textId="70F8EF3A" w:rsidR="00B51C97" w:rsidRPr="00D77966" w:rsidRDefault="00B51C97" w:rsidP="00B51C97">
      <w:pPr>
        <w:pStyle w:val="Cdetextonegrita"/>
        <w:rPr>
          <w:szCs w:val="22"/>
        </w:rPr>
      </w:pPr>
      <w:r w:rsidRPr="00D77966">
        <w:rPr>
          <w:b w:val="0"/>
        </w:rPr>
        <w:t xml:space="preserve">En lo que respecta al indicador del tema </w:t>
      </w:r>
      <w:r w:rsidRPr="00D77966">
        <w:t>Participación Ciudadana</w:t>
      </w:r>
      <w:r w:rsidRPr="00D77966">
        <w:rPr>
          <w:b w:val="0"/>
        </w:rPr>
        <w:t xml:space="preserve">, IPC.1.- </w:t>
      </w:r>
      <w:r w:rsidRPr="00D77966">
        <w:rPr>
          <w:b w:val="0"/>
          <w:i/>
        </w:rPr>
        <w:t>Porcentaje de propuestas de los sectores privado y social atendidas</w:t>
      </w:r>
      <w:r w:rsidRPr="00D77966">
        <w:rPr>
          <w:b w:val="0"/>
        </w:rPr>
        <w:t xml:space="preserve">, mediante el oficio No. UPAGCI/117/037/2018, de fecha 25 de enero de 2018, firmado por la MAPP Adriana Fabiola de la Rosa Zapata, </w:t>
      </w:r>
      <w:r w:rsidR="00C301F1" w:rsidRPr="00D77966">
        <w:rPr>
          <w:b w:val="0"/>
        </w:rPr>
        <w:t>e</w:t>
      </w:r>
      <w:r w:rsidRPr="00D77966">
        <w:rPr>
          <w:b w:val="0"/>
        </w:rPr>
        <w:t xml:space="preserve">ncargada del despacho de los asuntos de la Unidad de Políticas de Apertura Gubernamental y Cooperación Internacional (UPAGCI) de la Secretaría de la Función Pública (SFP), se hizo del conocimiento del Titular de la Unidad de Evaluación del Desempeño </w:t>
      </w:r>
      <w:r w:rsidR="00327464" w:rsidRPr="00D77966">
        <w:rPr>
          <w:b w:val="0"/>
        </w:rPr>
        <w:t>(UED) de la Secretar</w:t>
      </w:r>
      <w:r w:rsidR="00327464" w:rsidRPr="00D77966">
        <w:rPr>
          <w:b w:val="0"/>
          <w:lang w:val="es-MX"/>
        </w:rPr>
        <w:t>í</w:t>
      </w:r>
      <w:r w:rsidR="00E578A0">
        <w:rPr>
          <w:b w:val="0"/>
        </w:rPr>
        <w:t>a</w:t>
      </w:r>
      <w:r w:rsidR="00327464" w:rsidRPr="00D77966">
        <w:rPr>
          <w:b w:val="0"/>
        </w:rPr>
        <w:t xml:space="preserve"> de Hacienda y Crédito Público </w:t>
      </w:r>
      <w:r w:rsidRPr="00D77966">
        <w:rPr>
          <w:b w:val="0"/>
        </w:rPr>
        <w:t xml:space="preserve">que dicho indicador resultó </w:t>
      </w:r>
      <w:r w:rsidRPr="00D77966">
        <w:rPr>
          <w:szCs w:val="22"/>
        </w:rPr>
        <w:t>no aplicable</w:t>
      </w:r>
      <w:r w:rsidRPr="00D77966">
        <w:rPr>
          <w:b w:val="0"/>
          <w:szCs w:val="22"/>
        </w:rPr>
        <w:t xml:space="preserve"> en función de lo siguiente:</w:t>
      </w:r>
    </w:p>
    <w:p w14:paraId="6FACA455" w14:textId="77777777" w:rsidR="00B51C97" w:rsidRPr="00D77966" w:rsidRDefault="00B51C97" w:rsidP="00B51C97">
      <w:pPr>
        <w:rPr>
          <w:rFonts w:cs="Arial"/>
          <w:szCs w:val="22"/>
        </w:rPr>
      </w:pPr>
    </w:p>
    <w:p w14:paraId="4D293EE0" w14:textId="77777777" w:rsidR="00B51C97" w:rsidRPr="00D77966" w:rsidRDefault="00B51C97" w:rsidP="00B51C97">
      <w:pPr>
        <w:pStyle w:val="Prrafodelista"/>
        <w:numPr>
          <w:ilvl w:val="0"/>
          <w:numId w:val="26"/>
        </w:numPr>
        <w:spacing w:after="0"/>
        <w:jc w:val="both"/>
        <w:rPr>
          <w:rFonts w:cs="Arial"/>
          <w:szCs w:val="22"/>
        </w:rPr>
      </w:pPr>
      <w:r w:rsidRPr="00D77966">
        <w:rPr>
          <w:rFonts w:cs="Arial"/>
          <w:szCs w:val="22"/>
        </w:rPr>
        <w:t xml:space="preserve">El 15 de mayo de 2017, la SFP emitió las </w:t>
      </w:r>
      <w:r w:rsidRPr="00D77966">
        <w:rPr>
          <w:rFonts w:cs="Arial"/>
          <w:i/>
          <w:szCs w:val="22"/>
        </w:rPr>
        <w:t>Disposiciones Generales en las materias de Archivos y de Gobierno Abierto para la Administración Pública Federal y su Anexo Único</w:t>
      </w:r>
      <w:r w:rsidRPr="00D77966">
        <w:rPr>
          <w:rFonts w:cs="Arial"/>
          <w:szCs w:val="22"/>
        </w:rPr>
        <w:t xml:space="preserve">, </w:t>
      </w:r>
      <w:r w:rsidRPr="00D77966">
        <w:rPr>
          <w:rFonts w:cs="Arial"/>
          <w:szCs w:val="22"/>
        </w:rPr>
        <w:lastRenderedPageBreak/>
        <w:t>en el Diario Oficial de la Federación (DOF). Dichas disposiciones señalan lo siguiente en su Capítulo IV, referente a la participación ciudadana:</w:t>
      </w:r>
    </w:p>
    <w:p w14:paraId="425DE3BA" w14:textId="77777777" w:rsidR="00B51C97" w:rsidRPr="00D77966" w:rsidRDefault="00B51C97" w:rsidP="00D77966">
      <w:pPr>
        <w:shd w:val="clear" w:color="auto" w:fill="FFFFFF"/>
        <w:spacing w:after="80"/>
        <w:ind w:left="1985" w:hanging="545"/>
        <w:jc w:val="both"/>
        <w:rPr>
          <w:rFonts w:eastAsia="Times New Roman" w:cs="Arial"/>
          <w:i/>
          <w:szCs w:val="22"/>
          <w:lang w:val="es-MX"/>
        </w:rPr>
      </w:pPr>
      <w:r w:rsidRPr="00D77966">
        <w:rPr>
          <w:rFonts w:eastAsia="Times New Roman" w:cs="Arial"/>
          <w:bCs/>
          <w:i/>
          <w:szCs w:val="22"/>
          <w:lang w:val="es-MX"/>
        </w:rPr>
        <w:t>46.</w:t>
      </w:r>
      <w:r w:rsidRPr="00D77966">
        <w:rPr>
          <w:rFonts w:eastAsia="Times New Roman" w:cs="Arial"/>
          <w:i/>
          <w:szCs w:val="22"/>
          <w:lang w:val="es-MX"/>
        </w:rPr>
        <w:t>   </w:t>
      </w:r>
      <w:r w:rsidR="00C301F1" w:rsidRPr="00D77966">
        <w:rPr>
          <w:rFonts w:eastAsia="Times New Roman" w:cs="Arial"/>
          <w:i/>
          <w:szCs w:val="22"/>
          <w:lang w:val="es-MX"/>
        </w:rPr>
        <w:tab/>
      </w:r>
      <w:r w:rsidRPr="00D77966">
        <w:rPr>
          <w:rFonts w:eastAsia="Times New Roman" w:cs="Arial"/>
          <w:i/>
          <w:szCs w:val="22"/>
          <w:lang w:val="es-MX"/>
        </w:rPr>
        <w:t>Las dependencias y entidades que tengan a su cargo mecanismos de participación ciudadana, deberán observar los lineamientos y criterios que en su caso emita la autoridad competente en la materia. La UPAGCI emitirá los criterios necesarios para dar seguimiento y evaluar los resultados de la implementación de dichos lineamientos y criterios al interior de la Administración Pública Federal para asegurar su eficaz funcionamiento.</w:t>
      </w:r>
    </w:p>
    <w:p w14:paraId="26F633EF" w14:textId="77777777" w:rsidR="00C301F1" w:rsidRPr="00D77966" w:rsidRDefault="00C301F1" w:rsidP="00D77966">
      <w:pPr>
        <w:shd w:val="clear" w:color="auto" w:fill="FFFFFF"/>
        <w:spacing w:after="80"/>
        <w:ind w:left="1985" w:hanging="545"/>
        <w:jc w:val="both"/>
        <w:rPr>
          <w:rFonts w:eastAsia="Times New Roman" w:cs="Arial"/>
          <w:i/>
          <w:szCs w:val="22"/>
          <w:lang w:val="es-MX"/>
        </w:rPr>
      </w:pPr>
    </w:p>
    <w:p w14:paraId="4E3317BD" w14:textId="77777777" w:rsidR="00B51C97" w:rsidRPr="00D77966" w:rsidRDefault="00B51C97" w:rsidP="00B51C97">
      <w:pPr>
        <w:pStyle w:val="Prrafodelista"/>
        <w:numPr>
          <w:ilvl w:val="0"/>
          <w:numId w:val="26"/>
        </w:numPr>
        <w:spacing w:after="0"/>
        <w:jc w:val="both"/>
        <w:rPr>
          <w:rFonts w:cs="Arial"/>
          <w:szCs w:val="22"/>
        </w:rPr>
      </w:pPr>
      <w:r w:rsidRPr="00D77966">
        <w:rPr>
          <w:rFonts w:cs="Arial"/>
          <w:szCs w:val="22"/>
        </w:rPr>
        <w:t xml:space="preserve">El 11 de agosto 2017, la Secretaría de Gobernación (SEGOB) emitió los </w:t>
      </w:r>
      <w:r w:rsidRPr="00D77966">
        <w:rPr>
          <w:rFonts w:cs="Arial"/>
          <w:i/>
          <w:szCs w:val="22"/>
        </w:rPr>
        <w:t>Lineamientos para el impulso, conformación, organización y funcionamiento de los mecanismos de participación ciudadana en las dependencias y entidades de la Administración Pública Federal</w:t>
      </w:r>
      <w:r w:rsidRPr="00D77966">
        <w:rPr>
          <w:rFonts w:cs="Arial"/>
          <w:szCs w:val="22"/>
        </w:rPr>
        <w:t xml:space="preserve"> (los Lineamientos) en el DOF. </w:t>
      </w:r>
    </w:p>
    <w:p w14:paraId="1922852E" w14:textId="77777777" w:rsidR="00B51C97" w:rsidRPr="00D77966" w:rsidRDefault="00B51C97" w:rsidP="00B51C97">
      <w:pPr>
        <w:rPr>
          <w:rFonts w:cs="Arial"/>
          <w:szCs w:val="22"/>
        </w:rPr>
      </w:pPr>
    </w:p>
    <w:p w14:paraId="5C5BEF2E" w14:textId="77777777" w:rsidR="00B51C97" w:rsidRPr="00D77966" w:rsidRDefault="00B51C97" w:rsidP="00B51C97">
      <w:pPr>
        <w:pStyle w:val="Prrafodelista"/>
        <w:numPr>
          <w:ilvl w:val="0"/>
          <w:numId w:val="26"/>
        </w:numPr>
        <w:spacing w:after="0"/>
        <w:jc w:val="both"/>
        <w:rPr>
          <w:rFonts w:cs="Arial"/>
          <w:szCs w:val="22"/>
        </w:rPr>
      </w:pPr>
      <w:r w:rsidRPr="00D77966">
        <w:rPr>
          <w:rFonts w:cs="Arial"/>
          <w:szCs w:val="22"/>
        </w:rPr>
        <w:t>En este marco, la SEGOB y la SFP se coordinaron para orientar sus trabajos en Participación Ciudadana al cumplimiento de los Lineamientos emitidos por la SEGOB; lo que significó para la SFP establecer, en el transcurso de 2017, un esquema de trabajo en Participación Ciudadana distinta a lo que contemplan las Bases de Colaboración.</w:t>
      </w:r>
    </w:p>
    <w:p w14:paraId="4DF39DC3" w14:textId="77777777" w:rsidR="00B51C97" w:rsidRPr="00D77966" w:rsidRDefault="00B51C97" w:rsidP="00B51C97">
      <w:pPr>
        <w:rPr>
          <w:rFonts w:cs="Arial"/>
          <w:szCs w:val="22"/>
        </w:rPr>
      </w:pPr>
    </w:p>
    <w:p w14:paraId="15F82AD1" w14:textId="77777777" w:rsidR="00B51C97" w:rsidRPr="00D77966" w:rsidRDefault="00B51C97" w:rsidP="00B51C97">
      <w:pPr>
        <w:pStyle w:val="Bala"/>
        <w:numPr>
          <w:ilvl w:val="0"/>
          <w:numId w:val="0"/>
        </w:numPr>
        <w:rPr>
          <w:sz w:val="20"/>
        </w:rPr>
      </w:pPr>
      <w:r w:rsidRPr="00D77966">
        <w:rPr>
          <w:szCs w:val="24"/>
        </w:rPr>
        <w:t xml:space="preserve">Considerando lo anterior, la UPAGCI </w:t>
      </w:r>
      <w:r w:rsidR="00C301F1" w:rsidRPr="00D77966">
        <w:rPr>
          <w:szCs w:val="24"/>
        </w:rPr>
        <w:t xml:space="preserve">consideró pertinente </w:t>
      </w:r>
      <w:r w:rsidRPr="00D77966">
        <w:rPr>
          <w:szCs w:val="24"/>
        </w:rPr>
        <w:t xml:space="preserve">no incorporar en el Informe </w:t>
      </w:r>
      <w:r w:rsidR="00327464" w:rsidRPr="00D77966">
        <w:rPr>
          <w:szCs w:val="24"/>
        </w:rPr>
        <w:t xml:space="preserve">sobre la Situación Económica, las finanzas Públicas y la Deuda Pública, </w:t>
      </w:r>
      <w:r w:rsidRPr="00D77966">
        <w:rPr>
          <w:szCs w:val="24"/>
        </w:rPr>
        <w:t xml:space="preserve">la información correspondiente al indicador de Participación Ciudadana. Ello sin demérito de que </w:t>
      </w:r>
      <w:r w:rsidR="00327464" w:rsidRPr="00D77966">
        <w:rPr>
          <w:szCs w:val="24"/>
        </w:rPr>
        <w:t xml:space="preserve">una nueva medición en este tema, </w:t>
      </w:r>
      <w:r w:rsidRPr="00D77966">
        <w:rPr>
          <w:szCs w:val="24"/>
        </w:rPr>
        <w:t>realizada para 2017</w:t>
      </w:r>
      <w:r w:rsidR="00327464" w:rsidRPr="00D77966">
        <w:rPr>
          <w:szCs w:val="24"/>
        </w:rPr>
        <w:t>,</w:t>
      </w:r>
      <w:r w:rsidRPr="00D77966">
        <w:rPr>
          <w:szCs w:val="24"/>
        </w:rPr>
        <w:t xml:space="preserve"> constituye un referente de partida para la nueva orientación de los trabajos en la materia; reiterando que éstos trabajos se desarrollan en coordinación con la SEGOB, dependencia a la que la </w:t>
      </w:r>
      <w:r w:rsidRPr="00D77966">
        <w:rPr>
          <w:i/>
          <w:szCs w:val="24"/>
        </w:rPr>
        <w:t>Ley Orgánica de la Administración Pública Federal</w:t>
      </w:r>
      <w:r w:rsidRPr="00D77966">
        <w:rPr>
          <w:szCs w:val="24"/>
        </w:rPr>
        <w:t xml:space="preserve"> le confiere la atribución de promover la participación ciudadana.</w:t>
      </w:r>
    </w:p>
    <w:p w14:paraId="6C8F59C2" w14:textId="77777777" w:rsidR="00BB1F9E" w:rsidRPr="00D77966" w:rsidRDefault="00BB1F9E" w:rsidP="004A345F">
      <w:pPr>
        <w:pStyle w:val="Bala"/>
        <w:numPr>
          <w:ilvl w:val="0"/>
          <w:numId w:val="0"/>
        </w:numPr>
      </w:pPr>
    </w:p>
    <w:p w14:paraId="52734C67" w14:textId="77777777" w:rsidR="00375D03" w:rsidRDefault="00375D03" w:rsidP="00375D03">
      <w:pPr>
        <w:pStyle w:val="Bala"/>
        <w:numPr>
          <w:ilvl w:val="0"/>
          <w:numId w:val="0"/>
        </w:numPr>
      </w:pPr>
      <w:r w:rsidRPr="00D77966">
        <w:t>Por otra parte, e</w:t>
      </w:r>
      <w:r w:rsidRPr="00D77966">
        <w:rPr>
          <w:rFonts w:eastAsia="Times New Roman"/>
        </w:rPr>
        <w:t>l 17 de enero de 2018, mediante oficio S/N, firmado conjuntamente por el Director General Adjunto de Administración y Finanzas, y el Director de Recursos Humanos, Materiales y Servicios, del Banco Nacional de Comercio Exterior, S.N.C. (BANCOMEXT) se hizo del conocimiento del Titular de la UED, que por causas de fuerza mayor, relacionadas con la afectación de sus sistemas informáticos, BANCOMEXT se encontró en imposibilidad material y acreditada para dar atención al reporte de avances en el cumplimiento de la mayoría de los compromisos y todos indicadores de Bases de Colaboración. Asimismo, mediante la comunicación referida, la institución notificó que una vez que se reestablezcan los sistemas y se recuperen los archivos correspondientes, se estará en posibilidad de reportar la información de referencia.</w:t>
      </w:r>
    </w:p>
    <w:p w14:paraId="2C46FF09" w14:textId="77777777" w:rsidR="00BC3EA9" w:rsidRPr="00BC3EA9" w:rsidRDefault="00BC3EA9" w:rsidP="00BC3EA9">
      <w:pPr>
        <w:rPr>
          <w:lang w:val="es-ES"/>
        </w:rPr>
      </w:pPr>
    </w:p>
    <w:p w14:paraId="3AB2BA29" w14:textId="77777777" w:rsidR="00BC3EA9" w:rsidRDefault="00BC3EA9" w:rsidP="00BC3EA9">
      <w:pPr>
        <w:rPr>
          <w:lang w:val="es-ES"/>
        </w:rPr>
      </w:pPr>
    </w:p>
    <w:p w14:paraId="759C9214" w14:textId="77777777" w:rsidR="00F611EB" w:rsidRPr="00BC3EA9" w:rsidRDefault="00F611EB" w:rsidP="00BC3EA9">
      <w:pPr>
        <w:tabs>
          <w:tab w:val="left" w:pos="3641"/>
        </w:tabs>
        <w:rPr>
          <w:lang w:val="es-ES"/>
        </w:rPr>
      </w:pPr>
    </w:p>
    <w:sectPr w:rsidR="00F611EB" w:rsidRPr="00BC3EA9" w:rsidSect="00891439">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4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E1F6" w14:textId="77777777" w:rsidR="00CE6246" w:rsidRDefault="00CE6246" w:rsidP="008A5271">
      <w:r>
        <w:separator/>
      </w:r>
    </w:p>
  </w:endnote>
  <w:endnote w:type="continuationSeparator" w:id="0">
    <w:p w14:paraId="31396B87" w14:textId="77777777" w:rsidR="00CE6246" w:rsidRDefault="00CE6246"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31724"/>
      <w:docPartObj>
        <w:docPartGallery w:val="Page Numbers (Bottom of Page)"/>
        <w:docPartUnique/>
      </w:docPartObj>
    </w:sdtPr>
    <w:sdtEndPr/>
    <w:sdtContent>
      <w:p w14:paraId="6D089801" w14:textId="534B0480" w:rsidR="00AA33AF" w:rsidRDefault="00AA33AF">
        <w:pPr>
          <w:pStyle w:val="Piedepgina"/>
          <w:jc w:val="center"/>
        </w:pPr>
        <w:r>
          <w:t>B</w:t>
        </w:r>
        <w:r>
          <w:fldChar w:fldCharType="begin"/>
        </w:r>
        <w:r>
          <w:instrText>PAGE   \* MERGEFORMAT</w:instrText>
        </w:r>
        <w:r>
          <w:fldChar w:fldCharType="separate"/>
        </w:r>
        <w:r w:rsidR="00891439" w:rsidRPr="00891439">
          <w:rPr>
            <w:noProof/>
            <w:lang w:val="es-ES"/>
          </w:rPr>
          <w:t>244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330004"/>
      <w:docPartObj>
        <w:docPartGallery w:val="Page Numbers (Bottom of Page)"/>
        <w:docPartUnique/>
      </w:docPartObj>
    </w:sdtPr>
    <w:sdtEndPr/>
    <w:sdtContent>
      <w:p w14:paraId="17144B9F" w14:textId="385B926F" w:rsidR="00AA33AF" w:rsidRDefault="00AA33AF">
        <w:pPr>
          <w:pStyle w:val="Piedepgina"/>
          <w:jc w:val="center"/>
        </w:pPr>
        <w:r>
          <w:t>B</w:t>
        </w:r>
        <w:r>
          <w:fldChar w:fldCharType="begin"/>
        </w:r>
        <w:r>
          <w:instrText>PAGE   \* MERGEFORMAT</w:instrText>
        </w:r>
        <w:r>
          <w:fldChar w:fldCharType="separate"/>
        </w:r>
        <w:r w:rsidR="00891439" w:rsidRPr="00891439">
          <w:rPr>
            <w:noProof/>
            <w:lang w:val="es-ES"/>
          </w:rPr>
          <w:t>243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C048" w14:textId="77777777" w:rsidR="00CE6246" w:rsidRDefault="00CE6246" w:rsidP="008A5271">
      <w:r>
        <w:separator/>
      </w:r>
    </w:p>
  </w:footnote>
  <w:footnote w:type="continuationSeparator" w:id="0">
    <w:p w14:paraId="2434C448" w14:textId="77777777" w:rsidR="00CE6246" w:rsidRDefault="00CE6246" w:rsidP="008A5271">
      <w:r>
        <w:continuationSeparator/>
      </w:r>
    </w:p>
  </w:footnote>
  <w:footnote w:id="1">
    <w:p w14:paraId="4B622F90" w14:textId="77777777" w:rsidR="00BC3EA9" w:rsidRPr="006C020B" w:rsidRDefault="00BC3EA9" w:rsidP="00BC3EA9">
      <w:pPr>
        <w:pStyle w:val="Textonotapie"/>
        <w:ind w:left="284" w:hanging="284"/>
        <w:jc w:val="both"/>
        <w:rPr>
          <w:sz w:val="16"/>
          <w:szCs w:val="16"/>
          <w:lang w:val="es-MX"/>
        </w:rPr>
      </w:pPr>
      <w:r w:rsidRPr="006C020B">
        <w:rPr>
          <w:rStyle w:val="Refdenotaalpie"/>
          <w:sz w:val="16"/>
          <w:szCs w:val="16"/>
        </w:rPr>
        <w:footnoteRef/>
      </w:r>
      <w:r w:rsidRPr="006C020B">
        <w:rPr>
          <w:sz w:val="16"/>
          <w:szCs w:val="16"/>
        </w:rPr>
        <w:t xml:space="preserve"> </w:t>
      </w:r>
      <w:r w:rsidRPr="006C020B">
        <w:rPr>
          <w:sz w:val="16"/>
          <w:szCs w:val="16"/>
        </w:rPr>
        <w:tab/>
        <w:t>En estos casos l</w:t>
      </w:r>
      <w:r w:rsidRPr="006C020B">
        <w:rPr>
          <w:sz w:val="16"/>
          <w:szCs w:val="16"/>
          <w:lang w:val="es-MX"/>
        </w:rPr>
        <w:t>a información corresponde al período enero 2014 - diciembre de 201</w:t>
      </w:r>
      <w:r w:rsidR="004A345F">
        <w:rPr>
          <w:sz w:val="16"/>
          <w:szCs w:val="16"/>
          <w:lang w:val="es-MX"/>
        </w:rPr>
        <w:t>7</w:t>
      </w:r>
      <w:r w:rsidRPr="006C020B">
        <w:rPr>
          <w:sz w:val="16"/>
          <w:szCs w:val="16"/>
        </w:rPr>
        <w:t xml:space="preserve"> </w:t>
      </w:r>
      <w:r w:rsidRPr="006C020B">
        <w:rPr>
          <w:sz w:val="16"/>
          <w:szCs w:val="16"/>
          <w:lang w:val="es-MX"/>
        </w:rPr>
        <w:t>en tanto la medición de dichos indicadores es acumulativa.</w:t>
      </w:r>
    </w:p>
  </w:footnote>
  <w:footnote w:id="2">
    <w:p w14:paraId="10C77684" w14:textId="77777777" w:rsidR="00A27CC5" w:rsidRPr="006C020B" w:rsidRDefault="00A27CC5" w:rsidP="00A27CC5">
      <w:pPr>
        <w:pStyle w:val="Textonotapie"/>
        <w:ind w:left="284" w:hanging="284"/>
        <w:jc w:val="both"/>
        <w:rPr>
          <w:sz w:val="16"/>
          <w:szCs w:val="16"/>
          <w:lang w:val="es-MX"/>
        </w:rPr>
      </w:pPr>
      <w:r w:rsidRPr="006C020B">
        <w:rPr>
          <w:rStyle w:val="Refdenotaalpie"/>
          <w:sz w:val="16"/>
          <w:szCs w:val="16"/>
        </w:rPr>
        <w:footnoteRef/>
      </w:r>
      <w:r w:rsidRPr="006C020B">
        <w:rPr>
          <w:sz w:val="16"/>
          <w:szCs w:val="16"/>
        </w:rPr>
        <w:t xml:space="preserve"> </w:t>
      </w:r>
      <w:r w:rsidR="00FF75AF" w:rsidRPr="006C020B">
        <w:rPr>
          <w:sz w:val="16"/>
          <w:szCs w:val="16"/>
        </w:rPr>
        <w:tab/>
      </w:r>
      <w:r w:rsidRPr="006C020B">
        <w:rPr>
          <w:rFonts w:cs="Soberana Sans"/>
          <w:color w:val="0D0D0D"/>
          <w:sz w:val="16"/>
          <w:szCs w:val="16"/>
        </w:rPr>
        <w:t>La información reportada del indicador Porcentaje de programas con información de desempeño con un nivel de logro satisfactorio</w:t>
      </w:r>
      <w:r w:rsidR="00FF75AF" w:rsidRPr="006C020B">
        <w:rPr>
          <w:rFonts w:cs="Soberana Sans"/>
          <w:color w:val="0D0D0D"/>
          <w:sz w:val="16"/>
          <w:szCs w:val="16"/>
        </w:rPr>
        <w:t>,</w:t>
      </w:r>
      <w:r w:rsidRPr="006C020B">
        <w:rPr>
          <w:rFonts w:cs="Soberana Sans"/>
          <w:color w:val="0D0D0D"/>
          <w:sz w:val="16"/>
          <w:szCs w:val="16"/>
        </w:rPr>
        <w:t xml:space="preserve"> corresponde al ejercicio 201</w:t>
      </w:r>
      <w:r w:rsidR="004A345F">
        <w:rPr>
          <w:rFonts w:cs="Soberana Sans"/>
          <w:color w:val="0D0D0D"/>
          <w:sz w:val="16"/>
          <w:szCs w:val="16"/>
        </w:rPr>
        <w:t>6</w:t>
      </w:r>
      <w:r w:rsidRPr="006C020B">
        <w:rPr>
          <w:rFonts w:cs="Soberana Sans"/>
          <w:color w:val="0D0D0D"/>
          <w:sz w:val="16"/>
          <w:szCs w:val="16"/>
        </w:rPr>
        <w:t xml:space="preserve"> en tanto este utiliza como fuente la información definitiva la Cuenta Pública, misma que está disponible en abril de cada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E52A" w14:textId="77777777" w:rsidR="00B623DB" w:rsidRDefault="00B623DB" w:rsidP="00984F29">
    <w:pPr>
      <w:pStyle w:val="Encabezado"/>
      <w:tabs>
        <w:tab w:val="left" w:pos="9781"/>
      </w:tabs>
    </w:pPr>
    <w:r>
      <w:rPr>
        <w:noProof/>
        <w:lang w:val="es-MX" w:eastAsia="es-MX"/>
      </w:rPr>
      <mc:AlternateContent>
        <mc:Choice Requires="wps">
          <w:drawing>
            <wp:anchor distT="0" distB="0" distL="114300" distR="114300" simplePos="0" relativeHeight="251662336" behindDoc="0" locked="0" layoutInCell="1" allowOverlap="1" wp14:anchorId="2584B490" wp14:editId="6F0FB4C7">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0DD0305" w14:textId="77777777"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4B490"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14:paraId="40DD0305" w14:textId="77777777"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14:paraId="1DFC3D39" w14:textId="77777777" w:rsidR="00B623DB" w:rsidRDefault="00856081" w:rsidP="00984F29">
    <w:pPr>
      <w:pStyle w:val="Encabezado"/>
      <w:tabs>
        <w:tab w:val="left" w:pos="9781"/>
      </w:tabs>
      <w:rPr>
        <w:noProof/>
        <w:lang w:val="es-MX" w:eastAsia="es-MX"/>
      </w:rPr>
    </w:pPr>
    <w:r>
      <w:t>Cuarto Trimestre de 2017</w:t>
    </w:r>
    <w:r w:rsidR="00B623DB" w:rsidRPr="00B623DB">
      <w:rPr>
        <w:noProof/>
        <w:lang w:val="es-MX" w:eastAsia="es-MX"/>
      </w:rPr>
      <w:t xml:space="preserve"> </w:t>
    </w:r>
  </w:p>
  <w:p w14:paraId="70C579B0" w14:textId="77777777"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48972689" wp14:editId="69AE3381">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B016EE"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6ED8" w14:textId="77777777" w:rsidR="004A7995" w:rsidRDefault="004A7995" w:rsidP="008E5805">
    <w:pPr>
      <w:pStyle w:val="Encabezado"/>
      <w:spacing w:after="0"/>
    </w:pPr>
  </w:p>
  <w:p w14:paraId="31063979" w14:textId="77777777" w:rsidR="004A7995" w:rsidRDefault="00B623DB" w:rsidP="008E5805">
    <w:pPr>
      <w:pStyle w:val="Encabezado"/>
      <w:spacing w:after="0"/>
    </w:pPr>
    <w:r>
      <w:rPr>
        <w:noProof/>
        <w:lang w:val="es-MX" w:eastAsia="es-MX"/>
      </w:rPr>
      <w:drawing>
        <wp:inline distT="0" distB="0" distL="0" distR="0" wp14:anchorId="5AFABE9E" wp14:editId="606F9CAC">
          <wp:extent cx="1274445" cy="3898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14:paraId="56D7AB1A" w14:textId="77777777"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34DA5431" wp14:editId="36DCB03F">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491FCE24"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F746E3"/>
    <w:multiLevelType w:val="hybridMultilevel"/>
    <w:tmpl w:val="4820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9"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6"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8"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9"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0"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7"/>
  </w:num>
  <w:num w:numId="2">
    <w:abstractNumId w:val="18"/>
  </w:num>
  <w:num w:numId="3">
    <w:abstractNumId w:val="18"/>
  </w:num>
  <w:num w:numId="4">
    <w:abstractNumId w:val="18"/>
  </w:num>
  <w:num w:numId="5">
    <w:abstractNumId w:val="18"/>
  </w:num>
  <w:num w:numId="6">
    <w:abstractNumId w:val="18"/>
  </w:num>
  <w:num w:numId="7">
    <w:abstractNumId w:val="15"/>
  </w:num>
  <w:num w:numId="8">
    <w:abstractNumId w:val="11"/>
  </w:num>
  <w:num w:numId="9">
    <w:abstractNumId w:val="19"/>
  </w:num>
  <w:num w:numId="10">
    <w:abstractNumId w:val="14"/>
  </w:num>
  <w:num w:numId="11">
    <w:abstractNumId w:val="13"/>
  </w:num>
  <w:num w:numId="12">
    <w:abstractNumId w:val="0"/>
  </w:num>
  <w:num w:numId="13">
    <w:abstractNumId w:val="17"/>
  </w:num>
  <w:num w:numId="14">
    <w:abstractNumId w:val="21"/>
  </w:num>
  <w:num w:numId="15">
    <w:abstractNumId w:val="20"/>
  </w:num>
  <w:num w:numId="16">
    <w:abstractNumId w:val="10"/>
  </w:num>
  <w:num w:numId="17">
    <w:abstractNumId w:val="5"/>
  </w:num>
  <w:num w:numId="18">
    <w:abstractNumId w:val="16"/>
  </w:num>
  <w:num w:numId="19">
    <w:abstractNumId w:val="12"/>
  </w:num>
  <w:num w:numId="20">
    <w:abstractNumId w:val="9"/>
  </w:num>
  <w:num w:numId="21">
    <w:abstractNumId w:val="3"/>
  </w:num>
  <w:num w:numId="22">
    <w:abstractNumId w:val="8"/>
  </w:num>
  <w:num w:numId="23">
    <w:abstractNumId w:val="2"/>
  </w:num>
  <w:num w:numId="24">
    <w:abstractNumId w:val="6"/>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6E8"/>
    <w:rsid w:val="0001093B"/>
    <w:rsid w:val="000147A2"/>
    <w:rsid w:val="00017F28"/>
    <w:rsid w:val="000318EE"/>
    <w:rsid w:val="00032C79"/>
    <w:rsid w:val="000334A9"/>
    <w:rsid w:val="00043120"/>
    <w:rsid w:val="000466D0"/>
    <w:rsid w:val="000645CC"/>
    <w:rsid w:val="00070FA4"/>
    <w:rsid w:val="000735B0"/>
    <w:rsid w:val="00074A8B"/>
    <w:rsid w:val="000754D4"/>
    <w:rsid w:val="000818F4"/>
    <w:rsid w:val="00082478"/>
    <w:rsid w:val="000831E9"/>
    <w:rsid w:val="000A0B5E"/>
    <w:rsid w:val="000A22C6"/>
    <w:rsid w:val="000A2E2A"/>
    <w:rsid w:val="000B66D1"/>
    <w:rsid w:val="000C0153"/>
    <w:rsid w:val="000C287D"/>
    <w:rsid w:val="000D43CE"/>
    <w:rsid w:val="000E65C4"/>
    <w:rsid w:val="00101626"/>
    <w:rsid w:val="00107564"/>
    <w:rsid w:val="0011100D"/>
    <w:rsid w:val="0011245B"/>
    <w:rsid w:val="00113A1D"/>
    <w:rsid w:val="001220DD"/>
    <w:rsid w:val="00122A19"/>
    <w:rsid w:val="00156A6D"/>
    <w:rsid w:val="00157D06"/>
    <w:rsid w:val="00161607"/>
    <w:rsid w:val="001706E8"/>
    <w:rsid w:val="00171A3B"/>
    <w:rsid w:val="00172527"/>
    <w:rsid w:val="00174AAE"/>
    <w:rsid w:val="00180A3B"/>
    <w:rsid w:val="00186BFE"/>
    <w:rsid w:val="001878A0"/>
    <w:rsid w:val="00187F81"/>
    <w:rsid w:val="00190204"/>
    <w:rsid w:val="0019357D"/>
    <w:rsid w:val="001A4508"/>
    <w:rsid w:val="001B1859"/>
    <w:rsid w:val="001B345D"/>
    <w:rsid w:val="001B3A9C"/>
    <w:rsid w:val="001C5AF5"/>
    <w:rsid w:val="001D6B6F"/>
    <w:rsid w:val="001E1744"/>
    <w:rsid w:val="001E2A81"/>
    <w:rsid w:val="001E694C"/>
    <w:rsid w:val="001F32EC"/>
    <w:rsid w:val="00202E0B"/>
    <w:rsid w:val="00204F14"/>
    <w:rsid w:val="00224A8F"/>
    <w:rsid w:val="0022528B"/>
    <w:rsid w:val="00233800"/>
    <w:rsid w:val="002375E8"/>
    <w:rsid w:val="00267C9C"/>
    <w:rsid w:val="00271C1F"/>
    <w:rsid w:val="002816F4"/>
    <w:rsid w:val="002828F1"/>
    <w:rsid w:val="00294333"/>
    <w:rsid w:val="00294A39"/>
    <w:rsid w:val="00297DC8"/>
    <w:rsid w:val="002A5F10"/>
    <w:rsid w:val="002B4E7B"/>
    <w:rsid w:val="002B74FE"/>
    <w:rsid w:val="002D08D4"/>
    <w:rsid w:val="002D37B9"/>
    <w:rsid w:val="002D56CA"/>
    <w:rsid w:val="002E30B0"/>
    <w:rsid w:val="002E4101"/>
    <w:rsid w:val="002E6CEA"/>
    <w:rsid w:val="002F07D5"/>
    <w:rsid w:val="002F6030"/>
    <w:rsid w:val="00305E0F"/>
    <w:rsid w:val="0030707A"/>
    <w:rsid w:val="00314F63"/>
    <w:rsid w:val="00322164"/>
    <w:rsid w:val="00323771"/>
    <w:rsid w:val="00327464"/>
    <w:rsid w:val="00335691"/>
    <w:rsid w:val="003417D2"/>
    <w:rsid w:val="00347634"/>
    <w:rsid w:val="00347832"/>
    <w:rsid w:val="00347C2D"/>
    <w:rsid w:val="00353D90"/>
    <w:rsid w:val="00363D07"/>
    <w:rsid w:val="003658C6"/>
    <w:rsid w:val="00375D03"/>
    <w:rsid w:val="003844F5"/>
    <w:rsid w:val="00385788"/>
    <w:rsid w:val="00396385"/>
    <w:rsid w:val="003A0C47"/>
    <w:rsid w:val="003B1054"/>
    <w:rsid w:val="003B6012"/>
    <w:rsid w:val="003C1811"/>
    <w:rsid w:val="00401190"/>
    <w:rsid w:val="004020D4"/>
    <w:rsid w:val="0040342F"/>
    <w:rsid w:val="004217B7"/>
    <w:rsid w:val="004236A3"/>
    <w:rsid w:val="004320A1"/>
    <w:rsid w:val="004350B8"/>
    <w:rsid w:val="00445065"/>
    <w:rsid w:val="00445BE7"/>
    <w:rsid w:val="00450F7C"/>
    <w:rsid w:val="00452383"/>
    <w:rsid w:val="00452B99"/>
    <w:rsid w:val="00455207"/>
    <w:rsid w:val="0045730D"/>
    <w:rsid w:val="004609F7"/>
    <w:rsid w:val="00465A92"/>
    <w:rsid w:val="0048559E"/>
    <w:rsid w:val="00493E3D"/>
    <w:rsid w:val="00495467"/>
    <w:rsid w:val="004A0C69"/>
    <w:rsid w:val="004A345F"/>
    <w:rsid w:val="004A36A2"/>
    <w:rsid w:val="004A3E79"/>
    <w:rsid w:val="004A7995"/>
    <w:rsid w:val="004A7BB1"/>
    <w:rsid w:val="004B056D"/>
    <w:rsid w:val="004B5937"/>
    <w:rsid w:val="004C0521"/>
    <w:rsid w:val="004C3647"/>
    <w:rsid w:val="004C6AAD"/>
    <w:rsid w:val="004C78AD"/>
    <w:rsid w:val="004D0AB8"/>
    <w:rsid w:val="004D3A6D"/>
    <w:rsid w:val="004E6B3B"/>
    <w:rsid w:val="004F2D08"/>
    <w:rsid w:val="00504FFB"/>
    <w:rsid w:val="005052FB"/>
    <w:rsid w:val="00511187"/>
    <w:rsid w:val="00512D1A"/>
    <w:rsid w:val="00520B29"/>
    <w:rsid w:val="00535351"/>
    <w:rsid w:val="00556B03"/>
    <w:rsid w:val="00557DDE"/>
    <w:rsid w:val="005711A3"/>
    <w:rsid w:val="005831DD"/>
    <w:rsid w:val="00590907"/>
    <w:rsid w:val="00591142"/>
    <w:rsid w:val="0059139D"/>
    <w:rsid w:val="005A25CA"/>
    <w:rsid w:val="005B25C4"/>
    <w:rsid w:val="005B318C"/>
    <w:rsid w:val="005B73CF"/>
    <w:rsid w:val="005C24DB"/>
    <w:rsid w:val="005C4D73"/>
    <w:rsid w:val="005D6459"/>
    <w:rsid w:val="005D759D"/>
    <w:rsid w:val="005E483C"/>
    <w:rsid w:val="005E4A3E"/>
    <w:rsid w:val="005F1285"/>
    <w:rsid w:val="005F345E"/>
    <w:rsid w:val="005F34CD"/>
    <w:rsid w:val="00605FA1"/>
    <w:rsid w:val="00617580"/>
    <w:rsid w:val="00632430"/>
    <w:rsid w:val="00632B52"/>
    <w:rsid w:val="00645917"/>
    <w:rsid w:val="00645FC4"/>
    <w:rsid w:val="00660439"/>
    <w:rsid w:val="0066350A"/>
    <w:rsid w:val="00664AEB"/>
    <w:rsid w:val="006664DD"/>
    <w:rsid w:val="00670360"/>
    <w:rsid w:val="0067564E"/>
    <w:rsid w:val="00683966"/>
    <w:rsid w:val="00683EAD"/>
    <w:rsid w:val="00690D7A"/>
    <w:rsid w:val="006940AE"/>
    <w:rsid w:val="006943AC"/>
    <w:rsid w:val="006A2EB1"/>
    <w:rsid w:val="006A3496"/>
    <w:rsid w:val="006A4FB9"/>
    <w:rsid w:val="006B2A9E"/>
    <w:rsid w:val="006B4E5F"/>
    <w:rsid w:val="006C020B"/>
    <w:rsid w:val="006C6F07"/>
    <w:rsid w:val="006E17D9"/>
    <w:rsid w:val="006E583F"/>
    <w:rsid w:val="006E5BA2"/>
    <w:rsid w:val="006E79E8"/>
    <w:rsid w:val="006F7A23"/>
    <w:rsid w:val="007027E8"/>
    <w:rsid w:val="00704DA7"/>
    <w:rsid w:val="00707018"/>
    <w:rsid w:val="0070748E"/>
    <w:rsid w:val="00713A74"/>
    <w:rsid w:val="00714770"/>
    <w:rsid w:val="007159CB"/>
    <w:rsid w:val="007205F3"/>
    <w:rsid w:val="0072570A"/>
    <w:rsid w:val="007259BA"/>
    <w:rsid w:val="00726990"/>
    <w:rsid w:val="00730C98"/>
    <w:rsid w:val="007338C6"/>
    <w:rsid w:val="00734E51"/>
    <w:rsid w:val="007360B5"/>
    <w:rsid w:val="00743565"/>
    <w:rsid w:val="00747F63"/>
    <w:rsid w:val="007549A2"/>
    <w:rsid w:val="007549D6"/>
    <w:rsid w:val="00761346"/>
    <w:rsid w:val="00764BFE"/>
    <w:rsid w:val="00771705"/>
    <w:rsid w:val="00777876"/>
    <w:rsid w:val="007829F7"/>
    <w:rsid w:val="007928FC"/>
    <w:rsid w:val="007931EF"/>
    <w:rsid w:val="007A20D8"/>
    <w:rsid w:val="007A6437"/>
    <w:rsid w:val="007A6E77"/>
    <w:rsid w:val="007B433A"/>
    <w:rsid w:val="007B7847"/>
    <w:rsid w:val="007C4B84"/>
    <w:rsid w:val="007C5B72"/>
    <w:rsid w:val="007E5089"/>
    <w:rsid w:val="007E6637"/>
    <w:rsid w:val="007F44ED"/>
    <w:rsid w:val="007F45CE"/>
    <w:rsid w:val="007F7C25"/>
    <w:rsid w:val="00830D65"/>
    <w:rsid w:val="008313F7"/>
    <w:rsid w:val="00851121"/>
    <w:rsid w:val="00852DD3"/>
    <w:rsid w:val="00856081"/>
    <w:rsid w:val="008602B1"/>
    <w:rsid w:val="008606E4"/>
    <w:rsid w:val="008653ED"/>
    <w:rsid w:val="00865737"/>
    <w:rsid w:val="008674B1"/>
    <w:rsid w:val="0087029E"/>
    <w:rsid w:val="00875E7D"/>
    <w:rsid w:val="00876AA8"/>
    <w:rsid w:val="008834D9"/>
    <w:rsid w:val="00886116"/>
    <w:rsid w:val="00891439"/>
    <w:rsid w:val="00892EBD"/>
    <w:rsid w:val="00893AF8"/>
    <w:rsid w:val="008A5271"/>
    <w:rsid w:val="008B2FB8"/>
    <w:rsid w:val="008B67EE"/>
    <w:rsid w:val="008B6C97"/>
    <w:rsid w:val="008C148D"/>
    <w:rsid w:val="008C431C"/>
    <w:rsid w:val="008C5C4B"/>
    <w:rsid w:val="008D3395"/>
    <w:rsid w:val="008E5805"/>
    <w:rsid w:val="008E5F2C"/>
    <w:rsid w:val="00900695"/>
    <w:rsid w:val="009027BC"/>
    <w:rsid w:val="00915E9A"/>
    <w:rsid w:val="0092116C"/>
    <w:rsid w:val="009215C1"/>
    <w:rsid w:val="0093389F"/>
    <w:rsid w:val="0094221D"/>
    <w:rsid w:val="009513B0"/>
    <w:rsid w:val="00953A84"/>
    <w:rsid w:val="009811C5"/>
    <w:rsid w:val="00984F29"/>
    <w:rsid w:val="00996A95"/>
    <w:rsid w:val="009A0A16"/>
    <w:rsid w:val="009A1620"/>
    <w:rsid w:val="009A41B4"/>
    <w:rsid w:val="009A7C2E"/>
    <w:rsid w:val="009B23FF"/>
    <w:rsid w:val="009B31A9"/>
    <w:rsid w:val="009C2991"/>
    <w:rsid w:val="009D5C9A"/>
    <w:rsid w:val="009E5FFA"/>
    <w:rsid w:val="009F41E8"/>
    <w:rsid w:val="009F620B"/>
    <w:rsid w:val="009F7D19"/>
    <w:rsid w:val="00A0161F"/>
    <w:rsid w:val="00A20A28"/>
    <w:rsid w:val="00A2337C"/>
    <w:rsid w:val="00A27307"/>
    <w:rsid w:val="00A27CC5"/>
    <w:rsid w:val="00A30A1B"/>
    <w:rsid w:val="00A31520"/>
    <w:rsid w:val="00A33F62"/>
    <w:rsid w:val="00A36FA3"/>
    <w:rsid w:val="00A42609"/>
    <w:rsid w:val="00A45DC6"/>
    <w:rsid w:val="00A50FA9"/>
    <w:rsid w:val="00A54542"/>
    <w:rsid w:val="00A56705"/>
    <w:rsid w:val="00A56A1F"/>
    <w:rsid w:val="00A63DBC"/>
    <w:rsid w:val="00A656A9"/>
    <w:rsid w:val="00A6679C"/>
    <w:rsid w:val="00A6754B"/>
    <w:rsid w:val="00A702D1"/>
    <w:rsid w:val="00A71302"/>
    <w:rsid w:val="00A86309"/>
    <w:rsid w:val="00A93389"/>
    <w:rsid w:val="00AA33AF"/>
    <w:rsid w:val="00AA745A"/>
    <w:rsid w:val="00AA77EE"/>
    <w:rsid w:val="00AB4179"/>
    <w:rsid w:val="00AB4B0B"/>
    <w:rsid w:val="00AC50FE"/>
    <w:rsid w:val="00AC5A65"/>
    <w:rsid w:val="00AD035B"/>
    <w:rsid w:val="00AD7379"/>
    <w:rsid w:val="00AE1811"/>
    <w:rsid w:val="00AF0F75"/>
    <w:rsid w:val="00B055C7"/>
    <w:rsid w:val="00B05864"/>
    <w:rsid w:val="00B239C1"/>
    <w:rsid w:val="00B33B28"/>
    <w:rsid w:val="00B4098B"/>
    <w:rsid w:val="00B51C97"/>
    <w:rsid w:val="00B53816"/>
    <w:rsid w:val="00B623DB"/>
    <w:rsid w:val="00B641B9"/>
    <w:rsid w:val="00B6446F"/>
    <w:rsid w:val="00B666D5"/>
    <w:rsid w:val="00B67EBE"/>
    <w:rsid w:val="00B77884"/>
    <w:rsid w:val="00B82045"/>
    <w:rsid w:val="00B918BF"/>
    <w:rsid w:val="00B97336"/>
    <w:rsid w:val="00B978D8"/>
    <w:rsid w:val="00BA7C4F"/>
    <w:rsid w:val="00BB049D"/>
    <w:rsid w:val="00BB1F9E"/>
    <w:rsid w:val="00BB2A53"/>
    <w:rsid w:val="00BC3EA9"/>
    <w:rsid w:val="00BC74E3"/>
    <w:rsid w:val="00BD4A6A"/>
    <w:rsid w:val="00BE28A6"/>
    <w:rsid w:val="00BE3351"/>
    <w:rsid w:val="00BE4647"/>
    <w:rsid w:val="00BE66C2"/>
    <w:rsid w:val="00BF0272"/>
    <w:rsid w:val="00BF0F45"/>
    <w:rsid w:val="00C145EF"/>
    <w:rsid w:val="00C158D2"/>
    <w:rsid w:val="00C301F1"/>
    <w:rsid w:val="00C441AA"/>
    <w:rsid w:val="00C46B80"/>
    <w:rsid w:val="00C51464"/>
    <w:rsid w:val="00C5182D"/>
    <w:rsid w:val="00C569C2"/>
    <w:rsid w:val="00C6242A"/>
    <w:rsid w:val="00C839E8"/>
    <w:rsid w:val="00C914FE"/>
    <w:rsid w:val="00C92F7A"/>
    <w:rsid w:val="00C968D7"/>
    <w:rsid w:val="00C96F4F"/>
    <w:rsid w:val="00CA01A1"/>
    <w:rsid w:val="00CA1AD3"/>
    <w:rsid w:val="00CA4F52"/>
    <w:rsid w:val="00CB5FC6"/>
    <w:rsid w:val="00CB60FD"/>
    <w:rsid w:val="00CB63F3"/>
    <w:rsid w:val="00CC3D21"/>
    <w:rsid w:val="00CD5BAE"/>
    <w:rsid w:val="00CD6BB3"/>
    <w:rsid w:val="00CD7507"/>
    <w:rsid w:val="00CD7E85"/>
    <w:rsid w:val="00CE6246"/>
    <w:rsid w:val="00CE647B"/>
    <w:rsid w:val="00CF36F6"/>
    <w:rsid w:val="00D0252E"/>
    <w:rsid w:val="00D05A58"/>
    <w:rsid w:val="00D14DA2"/>
    <w:rsid w:val="00D21573"/>
    <w:rsid w:val="00D302D4"/>
    <w:rsid w:val="00D406D6"/>
    <w:rsid w:val="00D411A9"/>
    <w:rsid w:val="00D46ADC"/>
    <w:rsid w:val="00D566C7"/>
    <w:rsid w:val="00D57F4F"/>
    <w:rsid w:val="00D60013"/>
    <w:rsid w:val="00D606B8"/>
    <w:rsid w:val="00D64A69"/>
    <w:rsid w:val="00D6613F"/>
    <w:rsid w:val="00D73974"/>
    <w:rsid w:val="00D77099"/>
    <w:rsid w:val="00D77966"/>
    <w:rsid w:val="00D900BA"/>
    <w:rsid w:val="00DA0254"/>
    <w:rsid w:val="00DA02E1"/>
    <w:rsid w:val="00DA246A"/>
    <w:rsid w:val="00DA2EE8"/>
    <w:rsid w:val="00DA3388"/>
    <w:rsid w:val="00DA3D2F"/>
    <w:rsid w:val="00DA4213"/>
    <w:rsid w:val="00DA4DC6"/>
    <w:rsid w:val="00DB0644"/>
    <w:rsid w:val="00DD091F"/>
    <w:rsid w:val="00DD1EBD"/>
    <w:rsid w:val="00DE4313"/>
    <w:rsid w:val="00DF3BFD"/>
    <w:rsid w:val="00DF5D40"/>
    <w:rsid w:val="00E00016"/>
    <w:rsid w:val="00E06141"/>
    <w:rsid w:val="00E1701A"/>
    <w:rsid w:val="00E23513"/>
    <w:rsid w:val="00E23D53"/>
    <w:rsid w:val="00E23E6E"/>
    <w:rsid w:val="00E25EDB"/>
    <w:rsid w:val="00E40A98"/>
    <w:rsid w:val="00E46EC8"/>
    <w:rsid w:val="00E537A0"/>
    <w:rsid w:val="00E578A0"/>
    <w:rsid w:val="00E60E26"/>
    <w:rsid w:val="00E760DD"/>
    <w:rsid w:val="00E77125"/>
    <w:rsid w:val="00E8103D"/>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C30AA"/>
    <w:rsid w:val="00FE0250"/>
    <w:rsid w:val="00FE2566"/>
    <w:rsid w:val="00FE5296"/>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FBEDC"/>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unhideWhenUsed/>
    <w:rsid w:val="000E65C4"/>
    <w:rPr>
      <w:sz w:val="20"/>
      <w:szCs w:val="20"/>
    </w:rPr>
  </w:style>
  <w:style w:type="character" w:customStyle="1" w:styleId="TextocomentarioCar">
    <w:name w:val="Texto comentario Car"/>
    <w:basedOn w:val="Fuentedeprrafopredeter"/>
    <w:link w:val="Textocomentario"/>
    <w:uiPriority w:val="99"/>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34"/>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1BD34-BC9A-4CAB-88E5-02B48CB8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1980</Words>
  <Characters>10891</Characters>
  <Application>Microsoft Office Word</Application>
  <DocSecurity>0</DocSecurity>
  <Lines>90</Lines>
  <Paragraphs>25</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5</cp:revision>
  <cp:lastPrinted>2016-07-27T15:32:00Z</cp:lastPrinted>
  <dcterms:created xsi:type="dcterms:W3CDTF">2018-01-29T20:53:00Z</dcterms:created>
  <dcterms:modified xsi:type="dcterms:W3CDTF">2018-01-30T01:24:00Z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