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252" w:rsidRPr="00293B22" w:rsidRDefault="001B5252" w:rsidP="001B5252">
      <w:pPr>
        <w:ind w:left="426" w:hanging="426"/>
        <w:rPr>
          <w:rFonts w:ascii="Soberana Titular" w:hAnsi="Soberana Titular"/>
          <w:sz w:val="24"/>
        </w:rPr>
      </w:pPr>
      <w:bookmarkStart w:id="0" w:name="_Toc408852234"/>
      <w:bookmarkStart w:id="1" w:name="_Toc414671798"/>
      <w:r w:rsidRPr="00293B22">
        <w:rPr>
          <w:rFonts w:ascii="Soberana Titular" w:hAnsi="Soberana Titular"/>
          <w:sz w:val="24"/>
        </w:rPr>
        <w:t>XX EVALUACIÓN DE LOS PROGRAMAS FEDERALES DE LA ADMINISTRACIÓN PÚBLICA FEDERAL</w:t>
      </w:r>
    </w:p>
    <w:p w:rsidR="001B5252" w:rsidRDefault="001B5252" w:rsidP="001B5252">
      <w:pPr>
        <w:pStyle w:val="TDC2"/>
        <w:tabs>
          <w:tab w:val="right" w:leader="dot" w:pos="9962"/>
        </w:tabs>
        <w:spacing w:after="120"/>
        <w:ind w:left="0"/>
        <w:rPr>
          <w:rFonts w:ascii="Soberana Titular" w:hAnsi="Soberana Titular"/>
          <w:lang w:val="es-ES_tradnl"/>
        </w:rPr>
      </w:pPr>
    </w:p>
    <w:p w:rsidR="001B5252" w:rsidRDefault="001B5252" w:rsidP="001B5252">
      <w:pPr>
        <w:pStyle w:val="TDC2"/>
        <w:tabs>
          <w:tab w:val="right" w:leader="dot" w:pos="9962"/>
        </w:tabs>
        <w:spacing w:after="120"/>
        <w:ind w:left="0"/>
        <w:rPr>
          <w:rFonts w:ascii="Soberana Titular" w:hAnsi="Soberana Titular"/>
          <w:lang w:val="es-ES_tradnl"/>
        </w:rPr>
      </w:pPr>
      <w:r w:rsidRPr="006A524A">
        <w:rPr>
          <w:rFonts w:ascii="Soberana Titular" w:hAnsi="Soberana Titular"/>
          <w:lang w:val="es-ES_tradnl"/>
        </w:rPr>
        <w:t>CONTENIDO</w:t>
      </w:r>
    </w:p>
    <w:p w:rsidR="001B5252" w:rsidRPr="001B5252" w:rsidRDefault="001B5252" w:rsidP="001B5252">
      <w:pPr>
        <w:pStyle w:val="TDC2"/>
        <w:tabs>
          <w:tab w:val="right" w:leader="dot" w:pos="9962"/>
        </w:tabs>
        <w:spacing w:after="120"/>
        <w:ind w:left="0"/>
        <w:rPr>
          <w:rFonts w:ascii="Soberana Sans" w:hAnsi="Soberana Sans"/>
          <w:lang w:val="es-ES_tradnl"/>
        </w:rPr>
      </w:pPr>
    </w:p>
    <w:p w:rsidR="00C66416" w:rsidRPr="00C66416" w:rsidRDefault="001B5252" w:rsidP="00C66416">
      <w:pPr>
        <w:pStyle w:val="TDC2"/>
        <w:tabs>
          <w:tab w:val="right" w:leader="dot" w:pos="9962"/>
        </w:tabs>
        <w:spacing w:after="240"/>
        <w:rPr>
          <w:rFonts w:ascii="Soberana Sans" w:eastAsiaTheme="minorEastAsia" w:hAnsi="Soberana Sans" w:cstheme="minorBidi"/>
          <w:b w:val="0"/>
          <w:bCs w:val="0"/>
          <w:noProof/>
          <w:lang w:val="es-MX" w:eastAsia="es-MX"/>
        </w:rPr>
      </w:pPr>
      <w:r w:rsidRPr="00C66416">
        <w:rPr>
          <w:rFonts w:ascii="Soberana Sans" w:hAnsi="Soberana Sans"/>
        </w:rPr>
        <w:fldChar w:fldCharType="begin"/>
      </w:r>
      <w:r w:rsidRPr="00C66416">
        <w:rPr>
          <w:rFonts w:ascii="Soberana Sans" w:hAnsi="Soberana Sans"/>
          <w:lang w:val="es-MX"/>
        </w:rPr>
        <w:instrText xml:space="preserve"> TOC \o "1-3" \u </w:instrText>
      </w:r>
      <w:r w:rsidRPr="00C66416">
        <w:rPr>
          <w:rFonts w:ascii="Soberana Sans" w:hAnsi="Soberana Sans"/>
        </w:rPr>
        <w:fldChar w:fldCharType="separate"/>
      </w:r>
      <w:r w:rsidR="00C66416" w:rsidRPr="00C66416">
        <w:rPr>
          <w:rFonts w:ascii="Soberana Sans" w:hAnsi="Soberana Sans"/>
          <w:noProof/>
          <w:lang w:val="es-MX"/>
        </w:rPr>
        <w:t>EVALUACIONES EN EL SEGUNDO TRIMESTRE DE 2016</w:t>
      </w:r>
      <w:r w:rsidR="00C66416" w:rsidRPr="00C66416">
        <w:rPr>
          <w:rFonts w:ascii="Soberana Sans" w:hAnsi="Soberana Sans"/>
          <w:noProof/>
          <w:lang w:val="es-MX"/>
        </w:rPr>
        <w:tab/>
      </w:r>
      <w:r w:rsidR="00C66416" w:rsidRPr="00C66416">
        <w:rPr>
          <w:rFonts w:ascii="Soberana Sans" w:hAnsi="Soberana Sans"/>
          <w:noProof/>
        </w:rPr>
        <w:fldChar w:fldCharType="begin"/>
      </w:r>
      <w:r w:rsidR="00C66416" w:rsidRPr="00C66416">
        <w:rPr>
          <w:rFonts w:ascii="Soberana Sans" w:hAnsi="Soberana Sans"/>
          <w:noProof/>
          <w:lang w:val="es-MX"/>
        </w:rPr>
        <w:instrText xml:space="preserve"> PAGEREF _Toc456894634 \h </w:instrText>
      </w:r>
      <w:r w:rsidR="00C66416" w:rsidRPr="00C66416">
        <w:rPr>
          <w:rFonts w:ascii="Soberana Sans" w:hAnsi="Soberana Sans"/>
          <w:noProof/>
        </w:rPr>
      </w:r>
      <w:r w:rsidR="00C66416" w:rsidRPr="00C66416">
        <w:rPr>
          <w:rFonts w:ascii="Soberana Sans" w:hAnsi="Soberana Sans"/>
          <w:noProof/>
        </w:rPr>
        <w:fldChar w:fldCharType="separate"/>
      </w:r>
      <w:r w:rsidR="00C66416" w:rsidRPr="00C66416">
        <w:rPr>
          <w:rFonts w:ascii="Soberana Sans" w:hAnsi="Soberana Sans"/>
          <w:noProof/>
          <w:lang w:val="es-MX"/>
        </w:rPr>
        <w:t>2</w:t>
      </w:r>
      <w:r w:rsidR="00C66416" w:rsidRPr="00C66416">
        <w:rPr>
          <w:rFonts w:ascii="Soberana Sans" w:hAnsi="Soberana Sans"/>
          <w:noProof/>
        </w:rPr>
        <w:fldChar w:fldCharType="end"/>
      </w:r>
    </w:p>
    <w:p w:rsidR="00C66416" w:rsidRPr="00C66416" w:rsidRDefault="00C66416" w:rsidP="00C66416">
      <w:pPr>
        <w:pStyle w:val="TDC3"/>
        <w:tabs>
          <w:tab w:val="right" w:leader="dot" w:pos="9962"/>
        </w:tabs>
        <w:spacing w:after="240"/>
        <w:rPr>
          <w:rFonts w:ascii="Soberana Sans" w:eastAsiaTheme="minorEastAsia" w:hAnsi="Soberana Sans" w:cstheme="minorBidi"/>
          <w:noProof/>
          <w:sz w:val="22"/>
          <w:szCs w:val="22"/>
          <w:lang w:val="es-MX" w:eastAsia="es-MX"/>
        </w:rPr>
      </w:pPr>
      <w:r w:rsidRPr="00C66416">
        <w:rPr>
          <w:rFonts w:ascii="Soberana Sans" w:hAnsi="Soberana Sans"/>
          <w:noProof/>
          <w:sz w:val="22"/>
          <w:szCs w:val="22"/>
          <w:lang w:val="es-MX"/>
        </w:rPr>
        <w:t>EVALUACIÓN ESPECÍFICA DE COSTO-EFECTIVIDAD</w:t>
      </w:r>
      <w:r w:rsidRPr="00C66416">
        <w:rPr>
          <w:rFonts w:ascii="Soberana Sans" w:hAnsi="Soberana Sans"/>
          <w:noProof/>
          <w:sz w:val="22"/>
          <w:szCs w:val="22"/>
          <w:lang w:val="es-MX"/>
        </w:rPr>
        <w:tab/>
      </w:r>
      <w:r w:rsidRPr="00C66416">
        <w:rPr>
          <w:rFonts w:ascii="Soberana Sans" w:hAnsi="Soberana Sans"/>
          <w:noProof/>
          <w:sz w:val="22"/>
          <w:szCs w:val="22"/>
        </w:rPr>
        <w:fldChar w:fldCharType="begin"/>
      </w:r>
      <w:r w:rsidRPr="00C66416">
        <w:rPr>
          <w:rFonts w:ascii="Soberana Sans" w:hAnsi="Soberana Sans"/>
          <w:noProof/>
          <w:sz w:val="22"/>
          <w:szCs w:val="22"/>
          <w:lang w:val="es-MX"/>
        </w:rPr>
        <w:instrText xml:space="preserve"> PAGEREF _Toc456894635 \h </w:instrText>
      </w:r>
      <w:r w:rsidRPr="00C66416">
        <w:rPr>
          <w:rFonts w:ascii="Soberana Sans" w:hAnsi="Soberana Sans"/>
          <w:noProof/>
          <w:sz w:val="22"/>
          <w:szCs w:val="22"/>
        </w:rPr>
      </w:r>
      <w:r w:rsidRPr="00C66416">
        <w:rPr>
          <w:rFonts w:ascii="Soberana Sans" w:hAnsi="Soberana Sans"/>
          <w:noProof/>
          <w:sz w:val="22"/>
          <w:szCs w:val="22"/>
        </w:rPr>
        <w:fldChar w:fldCharType="separate"/>
      </w:r>
      <w:r w:rsidRPr="00C66416">
        <w:rPr>
          <w:rFonts w:ascii="Soberana Sans" w:hAnsi="Soberana Sans"/>
          <w:noProof/>
          <w:sz w:val="22"/>
          <w:szCs w:val="22"/>
          <w:lang w:val="es-MX"/>
        </w:rPr>
        <w:t>4</w:t>
      </w:r>
      <w:r w:rsidRPr="00C66416">
        <w:rPr>
          <w:rFonts w:ascii="Soberana Sans" w:hAnsi="Soberana Sans"/>
          <w:noProof/>
          <w:sz w:val="22"/>
          <w:szCs w:val="22"/>
        </w:rPr>
        <w:fldChar w:fldCharType="end"/>
      </w:r>
    </w:p>
    <w:p w:rsidR="00C66416" w:rsidRPr="00C66416" w:rsidRDefault="00C66416" w:rsidP="00C66416">
      <w:pPr>
        <w:pStyle w:val="TDC3"/>
        <w:tabs>
          <w:tab w:val="right" w:leader="dot" w:pos="9962"/>
        </w:tabs>
        <w:spacing w:after="240"/>
        <w:rPr>
          <w:rFonts w:ascii="Soberana Sans" w:eastAsiaTheme="minorEastAsia" w:hAnsi="Soberana Sans" w:cstheme="minorBidi"/>
          <w:noProof/>
          <w:sz w:val="22"/>
          <w:szCs w:val="22"/>
          <w:lang w:val="es-MX" w:eastAsia="es-MX"/>
        </w:rPr>
      </w:pPr>
      <w:r w:rsidRPr="00C66416">
        <w:rPr>
          <w:rFonts w:ascii="Soberana Sans" w:hAnsi="Soberana Sans"/>
          <w:noProof/>
          <w:sz w:val="22"/>
          <w:szCs w:val="22"/>
          <w:lang w:val="es-MX"/>
        </w:rPr>
        <w:t>EVALUACIÓN COMPLEMENTARIA</w:t>
      </w:r>
      <w:r w:rsidRPr="00C66416">
        <w:rPr>
          <w:rFonts w:ascii="Soberana Sans" w:hAnsi="Soberana Sans"/>
          <w:noProof/>
          <w:sz w:val="22"/>
          <w:szCs w:val="22"/>
          <w:lang w:val="es-MX"/>
        </w:rPr>
        <w:tab/>
      </w:r>
      <w:r w:rsidRPr="00C66416">
        <w:rPr>
          <w:rFonts w:ascii="Soberana Sans" w:hAnsi="Soberana Sans"/>
          <w:noProof/>
          <w:sz w:val="22"/>
          <w:szCs w:val="22"/>
        </w:rPr>
        <w:fldChar w:fldCharType="begin"/>
      </w:r>
      <w:r w:rsidRPr="00C66416">
        <w:rPr>
          <w:rFonts w:ascii="Soberana Sans" w:hAnsi="Soberana Sans"/>
          <w:noProof/>
          <w:sz w:val="22"/>
          <w:szCs w:val="22"/>
          <w:lang w:val="es-MX"/>
        </w:rPr>
        <w:instrText xml:space="preserve"> PAGEREF _Toc456894636 \h </w:instrText>
      </w:r>
      <w:r w:rsidRPr="00C66416">
        <w:rPr>
          <w:rFonts w:ascii="Soberana Sans" w:hAnsi="Soberana Sans"/>
          <w:noProof/>
          <w:sz w:val="22"/>
          <w:szCs w:val="22"/>
        </w:rPr>
      </w:r>
      <w:r w:rsidRPr="00C66416">
        <w:rPr>
          <w:rFonts w:ascii="Soberana Sans" w:hAnsi="Soberana Sans"/>
          <w:noProof/>
          <w:sz w:val="22"/>
          <w:szCs w:val="22"/>
        </w:rPr>
        <w:fldChar w:fldCharType="separate"/>
      </w:r>
      <w:r w:rsidRPr="00C66416">
        <w:rPr>
          <w:rFonts w:ascii="Soberana Sans" w:hAnsi="Soberana Sans"/>
          <w:noProof/>
          <w:sz w:val="22"/>
          <w:szCs w:val="22"/>
          <w:lang w:val="es-MX"/>
        </w:rPr>
        <w:t>7</w:t>
      </w:r>
      <w:r w:rsidRPr="00C66416">
        <w:rPr>
          <w:rFonts w:ascii="Soberana Sans" w:hAnsi="Soberana Sans"/>
          <w:noProof/>
          <w:sz w:val="22"/>
          <w:szCs w:val="22"/>
        </w:rPr>
        <w:fldChar w:fldCharType="end"/>
      </w:r>
    </w:p>
    <w:p w:rsidR="00C66416" w:rsidRPr="00C66416" w:rsidRDefault="00C66416" w:rsidP="00C66416">
      <w:pPr>
        <w:pStyle w:val="TDC2"/>
        <w:tabs>
          <w:tab w:val="right" w:leader="dot" w:pos="9962"/>
        </w:tabs>
        <w:spacing w:after="240"/>
        <w:rPr>
          <w:rFonts w:ascii="Soberana Sans" w:eastAsiaTheme="minorEastAsia" w:hAnsi="Soberana Sans" w:cstheme="minorBidi"/>
          <w:b w:val="0"/>
          <w:bCs w:val="0"/>
          <w:noProof/>
          <w:lang w:val="es-MX" w:eastAsia="es-MX"/>
        </w:rPr>
      </w:pPr>
      <w:r w:rsidRPr="00C66416">
        <w:rPr>
          <w:rFonts w:ascii="Soberana Sans" w:hAnsi="Soberana Sans"/>
          <w:noProof/>
          <w:lang w:val="es-MX"/>
        </w:rPr>
        <w:t>ASPECTOS SUSCEPTIBLES DE MEJORA (ASM) PARA EL SEGUNDO TRIMESTRE DE 2016</w:t>
      </w:r>
      <w:r w:rsidRPr="00C66416">
        <w:rPr>
          <w:rFonts w:ascii="Soberana Sans" w:hAnsi="Soberana Sans"/>
          <w:noProof/>
          <w:lang w:val="es-MX"/>
        </w:rPr>
        <w:tab/>
      </w:r>
      <w:r w:rsidRPr="00C66416">
        <w:rPr>
          <w:rFonts w:ascii="Soberana Sans" w:hAnsi="Soberana Sans"/>
          <w:noProof/>
        </w:rPr>
        <w:fldChar w:fldCharType="begin"/>
      </w:r>
      <w:r w:rsidRPr="00C66416">
        <w:rPr>
          <w:rFonts w:ascii="Soberana Sans" w:hAnsi="Soberana Sans"/>
          <w:noProof/>
          <w:lang w:val="es-MX"/>
        </w:rPr>
        <w:instrText xml:space="preserve"> PAGEREF _Toc456894637 \h </w:instrText>
      </w:r>
      <w:r w:rsidRPr="00C66416">
        <w:rPr>
          <w:rFonts w:ascii="Soberana Sans" w:hAnsi="Soberana Sans"/>
          <w:noProof/>
        </w:rPr>
      </w:r>
      <w:r w:rsidRPr="00C66416">
        <w:rPr>
          <w:rFonts w:ascii="Soberana Sans" w:hAnsi="Soberana Sans"/>
          <w:noProof/>
        </w:rPr>
        <w:fldChar w:fldCharType="separate"/>
      </w:r>
      <w:r w:rsidRPr="00C66416">
        <w:rPr>
          <w:rFonts w:ascii="Soberana Sans" w:hAnsi="Soberana Sans"/>
          <w:noProof/>
          <w:lang w:val="es-MX"/>
        </w:rPr>
        <w:t>10</w:t>
      </w:r>
      <w:r w:rsidRPr="00C66416">
        <w:rPr>
          <w:rFonts w:ascii="Soberana Sans" w:hAnsi="Soberana Sans"/>
          <w:noProof/>
        </w:rPr>
        <w:fldChar w:fldCharType="end"/>
      </w:r>
    </w:p>
    <w:p w:rsidR="001B5252" w:rsidRDefault="001B5252" w:rsidP="00C66416">
      <w:pPr>
        <w:spacing w:before="120" w:after="240"/>
        <w:rPr>
          <w:rFonts w:ascii="Soberana Titular" w:eastAsia="MS Gothic" w:hAnsi="Soberana Titular"/>
          <w:b/>
          <w:bCs/>
          <w:sz w:val="24"/>
          <w:szCs w:val="26"/>
        </w:rPr>
      </w:pPr>
      <w:r w:rsidRPr="00C66416">
        <w:rPr>
          <w:szCs w:val="22"/>
        </w:rPr>
        <w:fldChar w:fldCharType="end"/>
      </w:r>
      <w:r>
        <w:br w:type="page"/>
      </w:r>
    </w:p>
    <w:p w:rsidR="001B5252" w:rsidRPr="00044940" w:rsidRDefault="001B5252" w:rsidP="001B5252">
      <w:pPr>
        <w:pStyle w:val="Ttulo2"/>
      </w:pPr>
      <w:bookmarkStart w:id="2" w:name="_Toc456894634"/>
      <w:r w:rsidRPr="00044940">
        <w:lastRenderedPageBreak/>
        <w:t>EVALUACI</w:t>
      </w:r>
      <w:bookmarkEnd w:id="0"/>
      <w:bookmarkEnd w:id="1"/>
      <w:r>
        <w:t>ONES EN EL SEGUNDO TRIMESTRE DE 2016</w:t>
      </w:r>
      <w:bookmarkEnd w:id="2"/>
    </w:p>
    <w:p w:rsidR="001B5252" w:rsidRPr="00FC7306" w:rsidRDefault="001B5252" w:rsidP="001B5252">
      <w:pPr>
        <w:pStyle w:val="Cdetexto"/>
        <w:rPr>
          <w:szCs w:val="22"/>
        </w:rPr>
      </w:pPr>
      <w:r w:rsidRPr="00FC7306">
        <w:rPr>
          <w:szCs w:val="22"/>
        </w:rPr>
        <w:t xml:space="preserve">En cumplimiento a lo establecido en los artículos 45, 78, 85, 110 y 111 de la Ley Federal de Presupuesto y Responsabilidad Hacendaria (LFPRH) y 28 del Decreto de Presupuesto de Egresos de la Federación para el Ejercicio Fiscal 2016 (PEF 2016), y conforme a lo señalado en los numerales Décimo Sexto y Décimo Séptimo de los Lineamientos </w:t>
      </w:r>
      <w:r>
        <w:rPr>
          <w:szCs w:val="22"/>
        </w:rPr>
        <w:t>g</w:t>
      </w:r>
      <w:r w:rsidRPr="00FC7306">
        <w:rPr>
          <w:szCs w:val="22"/>
        </w:rPr>
        <w:t xml:space="preserve">enerales para la </w:t>
      </w:r>
      <w:r>
        <w:rPr>
          <w:szCs w:val="22"/>
        </w:rPr>
        <w:t>e</w:t>
      </w:r>
      <w:r w:rsidRPr="00FC7306">
        <w:rPr>
          <w:szCs w:val="22"/>
        </w:rPr>
        <w:t>valuación de los Programas Federales de la Administración Pública Federal (Lineamientos), publicados en el Diario Oficial de la Federación el 30 de marzo de 2007, se informa sobre la</w:t>
      </w:r>
      <w:r>
        <w:rPr>
          <w:szCs w:val="22"/>
        </w:rPr>
        <w:t>s</w:t>
      </w:r>
      <w:r w:rsidRPr="00FC7306">
        <w:rPr>
          <w:szCs w:val="22"/>
        </w:rPr>
        <w:t xml:space="preserve"> evaluaci</w:t>
      </w:r>
      <w:r>
        <w:rPr>
          <w:szCs w:val="22"/>
        </w:rPr>
        <w:t>ones</w:t>
      </w:r>
      <w:r w:rsidRPr="00FC7306">
        <w:rPr>
          <w:szCs w:val="22"/>
        </w:rPr>
        <w:t xml:space="preserve"> externa</w:t>
      </w:r>
      <w:r>
        <w:rPr>
          <w:szCs w:val="22"/>
        </w:rPr>
        <w:t>s</w:t>
      </w:r>
      <w:r w:rsidRPr="00FC7306">
        <w:rPr>
          <w:szCs w:val="22"/>
        </w:rPr>
        <w:t xml:space="preserve"> entregada</w:t>
      </w:r>
      <w:r>
        <w:rPr>
          <w:szCs w:val="22"/>
        </w:rPr>
        <w:t>s</w:t>
      </w:r>
      <w:r w:rsidRPr="00FC7306">
        <w:rPr>
          <w:szCs w:val="22"/>
        </w:rPr>
        <w:t xml:space="preserve"> a la Secretaría de Hacienda y Crédito Público (SHCP)</w:t>
      </w:r>
      <w:r>
        <w:rPr>
          <w:szCs w:val="22"/>
        </w:rPr>
        <w:t xml:space="preserve"> </w:t>
      </w:r>
      <w:r w:rsidRPr="00FC7306">
        <w:rPr>
          <w:szCs w:val="22"/>
        </w:rPr>
        <w:t>por las dependencias y entidades responsables de los Programas Presupuestarios (Pp) evaluados</w:t>
      </w:r>
      <w:r>
        <w:rPr>
          <w:szCs w:val="22"/>
        </w:rPr>
        <w:t xml:space="preserve">, </w:t>
      </w:r>
      <w:r w:rsidRPr="00FC7306">
        <w:rPr>
          <w:szCs w:val="22"/>
        </w:rPr>
        <w:t xml:space="preserve">durante el periodo comprendido entre los meses de </w:t>
      </w:r>
      <w:r>
        <w:rPr>
          <w:szCs w:val="22"/>
        </w:rPr>
        <w:t>abril</w:t>
      </w:r>
      <w:r w:rsidRPr="00FC7306">
        <w:rPr>
          <w:szCs w:val="22"/>
        </w:rPr>
        <w:t xml:space="preserve"> </w:t>
      </w:r>
      <w:r>
        <w:rPr>
          <w:szCs w:val="22"/>
        </w:rPr>
        <w:t>a</w:t>
      </w:r>
      <w:r w:rsidRPr="00FC7306">
        <w:rPr>
          <w:szCs w:val="22"/>
        </w:rPr>
        <w:t xml:space="preserve"> </w:t>
      </w:r>
      <w:r>
        <w:rPr>
          <w:szCs w:val="22"/>
        </w:rPr>
        <w:t>junio</w:t>
      </w:r>
      <w:r w:rsidRPr="00FC7306">
        <w:rPr>
          <w:szCs w:val="22"/>
        </w:rPr>
        <w:t xml:space="preserve"> de 2016</w:t>
      </w:r>
      <w:r>
        <w:rPr>
          <w:szCs w:val="22"/>
        </w:rPr>
        <w:t>.</w:t>
      </w:r>
      <w:r w:rsidRPr="00FC7306">
        <w:rPr>
          <w:szCs w:val="22"/>
        </w:rPr>
        <w:t xml:space="preserve"> </w:t>
      </w:r>
    </w:p>
    <w:p w:rsidR="001B5252" w:rsidRDefault="001B5252" w:rsidP="001B5252">
      <w:pPr>
        <w:pStyle w:val="Cdetexto"/>
      </w:pPr>
      <w:r>
        <w:rPr>
          <w:szCs w:val="22"/>
        </w:rPr>
        <w:t xml:space="preserve">En este contexto, se describen los resultados de una </w:t>
      </w:r>
      <w:r w:rsidRPr="00FC7306">
        <w:rPr>
          <w:szCs w:val="22"/>
        </w:rPr>
        <w:t>evaluaci</w:t>
      </w:r>
      <w:r>
        <w:rPr>
          <w:szCs w:val="22"/>
        </w:rPr>
        <w:t>ón</w:t>
      </w:r>
      <w:r w:rsidRPr="00FC7306">
        <w:rPr>
          <w:szCs w:val="22"/>
        </w:rPr>
        <w:t xml:space="preserve"> realizada </w:t>
      </w:r>
      <w:r>
        <w:rPr>
          <w:szCs w:val="22"/>
        </w:rPr>
        <w:t xml:space="preserve">a un programa presupuestario (Pp) del Ramo 09 Comunicaciones y Transportes, </w:t>
      </w:r>
      <w:r w:rsidRPr="00FC7306">
        <w:rPr>
          <w:szCs w:val="22"/>
        </w:rPr>
        <w:t>con base en el Programa Anual de Evaluación</w:t>
      </w:r>
      <w:r>
        <w:rPr>
          <w:szCs w:val="22"/>
        </w:rPr>
        <w:t xml:space="preserve"> </w:t>
      </w:r>
      <w:r w:rsidRPr="00FC7306">
        <w:rPr>
          <w:szCs w:val="22"/>
        </w:rPr>
        <w:t xml:space="preserve">para </w:t>
      </w:r>
      <w:r>
        <w:rPr>
          <w:szCs w:val="22"/>
        </w:rPr>
        <w:t>el</w:t>
      </w:r>
      <w:r w:rsidRPr="00FC7306">
        <w:rPr>
          <w:szCs w:val="22"/>
        </w:rPr>
        <w:t xml:space="preserve"> ejercicio fiscal 201</w:t>
      </w:r>
      <w:r>
        <w:rPr>
          <w:szCs w:val="22"/>
        </w:rPr>
        <w:t xml:space="preserve">3 </w:t>
      </w:r>
      <w:r w:rsidRPr="00FC7306">
        <w:rPr>
          <w:szCs w:val="22"/>
        </w:rPr>
        <w:t>de los Programas Federales de la Administración Pública Federal (PAE</w:t>
      </w:r>
      <w:r>
        <w:rPr>
          <w:szCs w:val="22"/>
        </w:rPr>
        <w:t xml:space="preserve"> 2013</w:t>
      </w:r>
      <w:r w:rsidRPr="00FC7306">
        <w:rPr>
          <w:szCs w:val="22"/>
        </w:rPr>
        <w:t xml:space="preserve">), emitido de manera conjunta por la SHCP, la Secretaría de la Función Pública (SFP) y el Consejo Nacional de Evaluación de la Política de Desarrollo Social (CONEVAL), así como </w:t>
      </w:r>
      <w:r>
        <w:rPr>
          <w:szCs w:val="22"/>
        </w:rPr>
        <w:t xml:space="preserve">los correspondientes </w:t>
      </w:r>
      <w:r w:rsidRPr="00FC7306">
        <w:rPr>
          <w:szCs w:val="22"/>
        </w:rPr>
        <w:t>a</w:t>
      </w:r>
      <w:r>
        <w:rPr>
          <w:szCs w:val="22"/>
        </w:rPr>
        <w:t xml:space="preserve"> una evaluación</w:t>
      </w:r>
      <w:r w:rsidRPr="00FC7306">
        <w:rPr>
          <w:szCs w:val="22"/>
        </w:rPr>
        <w:t xml:space="preserve"> externa realizada por iniciativa de la dependencia o entidad responsable del Pp a analizar </w:t>
      </w:r>
      <w:r>
        <w:rPr>
          <w:szCs w:val="22"/>
        </w:rPr>
        <w:t>(</w:t>
      </w:r>
      <w:r w:rsidRPr="00FC7306">
        <w:rPr>
          <w:szCs w:val="22"/>
        </w:rPr>
        <w:t>evaluaci</w:t>
      </w:r>
      <w:r>
        <w:rPr>
          <w:szCs w:val="22"/>
        </w:rPr>
        <w:t>ón</w:t>
      </w:r>
      <w:r w:rsidRPr="00FC7306">
        <w:rPr>
          <w:szCs w:val="22"/>
        </w:rPr>
        <w:t xml:space="preserve"> complementaria</w:t>
      </w:r>
      <w:r>
        <w:rPr>
          <w:rStyle w:val="Refdenotaalpie"/>
          <w:szCs w:val="22"/>
        </w:rPr>
        <w:footnoteReference w:id="1"/>
      </w:r>
      <w:r w:rsidRPr="00EE71AF">
        <w:rPr>
          <w:szCs w:val="22"/>
          <w:vertAlign w:val="superscript"/>
        </w:rPr>
        <w:t>_/</w:t>
      </w:r>
      <w:r w:rsidRPr="0061239C">
        <w:rPr>
          <w:szCs w:val="22"/>
        </w:rPr>
        <w:t>)</w:t>
      </w:r>
      <w:r>
        <w:t>, de acuerdo con el siguiente cuadro:</w:t>
      </w:r>
      <w:r w:rsidRPr="00FC7306">
        <w:t xml:space="preserve"> </w:t>
      </w:r>
    </w:p>
    <w:p w:rsidR="001B5252" w:rsidRPr="00FC7306" w:rsidRDefault="001B5252" w:rsidP="001B5252">
      <w:pPr>
        <w:pStyle w:val="Cdetexto"/>
      </w:pPr>
    </w:p>
    <w:tbl>
      <w:tblPr>
        <w:tblW w:w="0" w:type="auto"/>
        <w:jc w:val="center"/>
        <w:tblLayout w:type="fixed"/>
        <w:tblCellMar>
          <w:left w:w="70" w:type="dxa"/>
          <w:right w:w="70" w:type="dxa"/>
        </w:tblCellMar>
        <w:tblLook w:val="04A0" w:firstRow="1" w:lastRow="0" w:firstColumn="1" w:lastColumn="0" w:noHBand="0" w:noVBand="1"/>
      </w:tblPr>
      <w:tblGrid>
        <w:gridCol w:w="657"/>
        <w:gridCol w:w="2835"/>
        <w:gridCol w:w="2052"/>
        <w:gridCol w:w="2101"/>
      </w:tblGrid>
      <w:tr w:rsidR="001B5252" w:rsidRPr="007529AB" w:rsidTr="001B5252">
        <w:trPr>
          <w:trHeight w:hRule="exact" w:val="585"/>
          <w:tblHeader/>
          <w:jc w:val="center"/>
        </w:trPr>
        <w:tc>
          <w:tcPr>
            <w:tcW w:w="7645" w:type="dxa"/>
            <w:gridSpan w:val="4"/>
            <w:shd w:val="clear" w:color="auto" w:fill="EAF1DD" w:themeFill="accent3" w:themeFillTint="33"/>
            <w:noWrap/>
            <w:vAlign w:val="center"/>
          </w:tcPr>
          <w:p w:rsidR="001B5252" w:rsidRDefault="001B5252" w:rsidP="00C66416">
            <w:pPr>
              <w:pStyle w:val="CABEZA"/>
              <w:spacing w:before="0" w:after="0"/>
              <w:jc w:val="center"/>
              <w:rPr>
                <w:lang w:val="es-MX"/>
              </w:rPr>
            </w:pPr>
            <w:r>
              <w:rPr>
                <w:lang w:val="es-MX"/>
              </w:rPr>
              <w:t>Tabla 1. Evaluaciones recibidas por la SHCP durante el periodo abril-junio 2016, y evaluaciones acumuladas en el periodo.</w:t>
            </w:r>
          </w:p>
        </w:tc>
      </w:tr>
      <w:tr w:rsidR="001B5252" w:rsidRPr="00843ED3" w:rsidTr="001B5252">
        <w:trPr>
          <w:trHeight w:hRule="exact" w:val="162"/>
          <w:tblHeader/>
          <w:jc w:val="center"/>
        </w:trPr>
        <w:tc>
          <w:tcPr>
            <w:tcW w:w="3492" w:type="dxa"/>
            <w:gridSpan w:val="2"/>
            <w:vMerge w:val="restart"/>
            <w:shd w:val="clear" w:color="auto" w:fill="FFFFFF" w:themeFill="background1"/>
            <w:noWrap/>
            <w:vAlign w:val="center"/>
            <w:hideMark/>
          </w:tcPr>
          <w:p w:rsidR="001B5252" w:rsidRPr="00C66416" w:rsidRDefault="001B5252" w:rsidP="001B5252">
            <w:pPr>
              <w:pStyle w:val="SUBCAB7"/>
              <w:jc w:val="left"/>
              <w:rPr>
                <w:szCs w:val="14"/>
              </w:rPr>
            </w:pPr>
            <w:r w:rsidRPr="00C66416">
              <w:rPr>
                <w:szCs w:val="14"/>
              </w:rPr>
              <w:t>Ramo</w:t>
            </w:r>
          </w:p>
        </w:tc>
        <w:tc>
          <w:tcPr>
            <w:tcW w:w="4153" w:type="dxa"/>
            <w:gridSpan w:val="2"/>
            <w:shd w:val="clear" w:color="auto" w:fill="FFFFFF" w:themeFill="background1"/>
            <w:noWrap/>
            <w:vAlign w:val="center"/>
            <w:hideMark/>
          </w:tcPr>
          <w:p w:rsidR="001B5252" w:rsidRPr="00C66416" w:rsidRDefault="001B5252" w:rsidP="001B5252">
            <w:pPr>
              <w:pStyle w:val="SUBCAB7"/>
              <w:rPr>
                <w:szCs w:val="14"/>
              </w:rPr>
            </w:pPr>
            <w:r w:rsidRPr="00C66416">
              <w:rPr>
                <w:szCs w:val="14"/>
              </w:rPr>
              <w:t>Número de Evaluaciones Recibidas</w:t>
            </w:r>
          </w:p>
        </w:tc>
      </w:tr>
      <w:tr w:rsidR="001B5252" w:rsidRPr="00843ED3" w:rsidTr="001B5252">
        <w:trPr>
          <w:trHeight w:hRule="exact" w:val="433"/>
          <w:tblHeader/>
          <w:jc w:val="center"/>
        </w:trPr>
        <w:tc>
          <w:tcPr>
            <w:tcW w:w="3492" w:type="dxa"/>
            <w:gridSpan w:val="2"/>
            <w:vMerge/>
            <w:tcBorders>
              <w:bottom w:val="single" w:sz="6" w:space="0" w:color="auto"/>
            </w:tcBorders>
            <w:shd w:val="clear" w:color="auto" w:fill="FFFFFF" w:themeFill="background1"/>
            <w:noWrap/>
            <w:vAlign w:val="center"/>
          </w:tcPr>
          <w:p w:rsidR="001B5252" w:rsidRPr="00C66416" w:rsidRDefault="001B5252" w:rsidP="001B5252">
            <w:pPr>
              <w:pStyle w:val="SUBCAB7"/>
              <w:jc w:val="left"/>
              <w:rPr>
                <w:szCs w:val="14"/>
              </w:rPr>
            </w:pPr>
          </w:p>
        </w:tc>
        <w:tc>
          <w:tcPr>
            <w:tcW w:w="2052" w:type="dxa"/>
            <w:tcBorders>
              <w:bottom w:val="single" w:sz="6" w:space="0" w:color="auto"/>
            </w:tcBorders>
            <w:shd w:val="clear" w:color="auto" w:fill="FFFFFF" w:themeFill="background1"/>
            <w:noWrap/>
            <w:vAlign w:val="center"/>
          </w:tcPr>
          <w:p w:rsidR="001B5252" w:rsidRPr="00C66416" w:rsidRDefault="001B5252" w:rsidP="001B5252">
            <w:pPr>
              <w:pStyle w:val="SUBCAB7"/>
              <w:rPr>
                <w:szCs w:val="14"/>
              </w:rPr>
            </w:pPr>
            <w:r w:rsidRPr="00C66416">
              <w:rPr>
                <w:szCs w:val="14"/>
              </w:rPr>
              <w:t>Durante el segundo trimestre (abril-junio 2016)</w:t>
            </w:r>
          </w:p>
        </w:tc>
        <w:tc>
          <w:tcPr>
            <w:tcW w:w="2101" w:type="dxa"/>
            <w:tcBorders>
              <w:bottom w:val="single" w:sz="6" w:space="0" w:color="auto"/>
            </w:tcBorders>
            <w:shd w:val="clear" w:color="auto" w:fill="FFFFFF" w:themeFill="background1"/>
            <w:vAlign w:val="center"/>
          </w:tcPr>
          <w:p w:rsidR="001B5252" w:rsidRPr="00C66416" w:rsidRDefault="001B5252" w:rsidP="001B5252">
            <w:pPr>
              <w:pStyle w:val="SUBCAB7"/>
              <w:rPr>
                <w:szCs w:val="14"/>
              </w:rPr>
            </w:pPr>
            <w:r w:rsidRPr="00C66416">
              <w:rPr>
                <w:szCs w:val="14"/>
              </w:rPr>
              <w:t>Acumulado al segundo trimestre (enero-junio 2016)</w:t>
            </w:r>
          </w:p>
        </w:tc>
      </w:tr>
      <w:tr w:rsidR="001B5252" w:rsidRPr="00C86D71" w:rsidTr="001B5252">
        <w:trPr>
          <w:trHeight w:hRule="exact" w:val="227"/>
          <w:jc w:val="center"/>
        </w:trPr>
        <w:tc>
          <w:tcPr>
            <w:tcW w:w="3492" w:type="dxa"/>
            <w:gridSpan w:val="2"/>
            <w:tcBorders>
              <w:top w:val="single" w:sz="6" w:space="0" w:color="auto"/>
            </w:tcBorders>
            <w:shd w:val="clear" w:color="000000" w:fill="D9D9D9"/>
            <w:noWrap/>
            <w:vAlign w:val="center"/>
            <w:hideMark/>
          </w:tcPr>
          <w:p w:rsidR="001B5252" w:rsidRPr="00C66416" w:rsidRDefault="001B5252" w:rsidP="001B5252">
            <w:pPr>
              <w:pStyle w:val="Textocuadroneg"/>
              <w:rPr>
                <w:sz w:val="14"/>
                <w:szCs w:val="14"/>
              </w:rPr>
            </w:pPr>
            <w:r w:rsidRPr="00C66416">
              <w:rPr>
                <w:sz w:val="14"/>
                <w:szCs w:val="14"/>
              </w:rPr>
              <w:t>Total</w:t>
            </w:r>
          </w:p>
          <w:p w:rsidR="001B5252" w:rsidRPr="00C66416" w:rsidRDefault="001B5252" w:rsidP="001B5252">
            <w:pPr>
              <w:pStyle w:val="Textocuadroneg"/>
              <w:rPr>
                <w:sz w:val="14"/>
                <w:szCs w:val="14"/>
              </w:rPr>
            </w:pPr>
          </w:p>
          <w:p w:rsidR="001B5252" w:rsidRPr="00C66416" w:rsidRDefault="001B5252" w:rsidP="001B5252">
            <w:pPr>
              <w:pStyle w:val="Textocuadroneg"/>
              <w:rPr>
                <w:sz w:val="14"/>
                <w:szCs w:val="14"/>
              </w:rPr>
            </w:pPr>
          </w:p>
        </w:tc>
        <w:tc>
          <w:tcPr>
            <w:tcW w:w="2052" w:type="dxa"/>
            <w:tcBorders>
              <w:top w:val="single" w:sz="6" w:space="0" w:color="auto"/>
            </w:tcBorders>
            <w:shd w:val="clear" w:color="000000" w:fill="D9D9D9"/>
            <w:noWrap/>
            <w:vAlign w:val="center"/>
            <w:hideMark/>
          </w:tcPr>
          <w:p w:rsidR="001B5252" w:rsidRPr="00C66416" w:rsidRDefault="001B5252" w:rsidP="001B5252">
            <w:pPr>
              <w:pStyle w:val="Cifrascentradasnegrita"/>
              <w:rPr>
                <w:sz w:val="14"/>
                <w:szCs w:val="14"/>
              </w:rPr>
            </w:pPr>
            <w:r w:rsidRPr="00C66416">
              <w:rPr>
                <w:sz w:val="14"/>
                <w:szCs w:val="14"/>
              </w:rPr>
              <w:t>02</w:t>
            </w:r>
          </w:p>
          <w:p w:rsidR="001B5252" w:rsidRPr="00C66416" w:rsidRDefault="001B5252" w:rsidP="001B5252">
            <w:pPr>
              <w:pStyle w:val="Cifrascentradasnegrita"/>
              <w:rPr>
                <w:sz w:val="14"/>
                <w:szCs w:val="14"/>
              </w:rPr>
            </w:pPr>
          </w:p>
          <w:p w:rsidR="001B5252" w:rsidRPr="00C66416" w:rsidRDefault="001B5252" w:rsidP="001B5252">
            <w:pPr>
              <w:pStyle w:val="Cifrascentradasnegrita"/>
              <w:rPr>
                <w:sz w:val="14"/>
                <w:szCs w:val="14"/>
              </w:rPr>
            </w:pPr>
            <w:r w:rsidRPr="00C66416">
              <w:rPr>
                <w:sz w:val="14"/>
                <w:szCs w:val="14"/>
              </w:rPr>
              <w:t>147</w:t>
            </w:r>
          </w:p>
        </w:tc>
        <w:tc>
          <w:tcPr>
            <w:tcW w:w="2101" w:type="dxa"/>
            <w:tcBorders>
              <w:top w:val="single" w:sz="6" w:space="0" w:color="auto"/>
            </w:tcBorders>
            <w:shd w:val="clear" w:color="000000" w:fill="D9D9D9"/>
            <w:noWrap/>
            <w:vAlign w:val="center"/>
            <w:hideMark/>
          </w:tcPr>
          <w:p w:rsidR="001B5252" w:rsidRPr="00C66416" w:rsidRDefault="001B5252" w:rsidP="001B5252">
            <w:pPr>
              <w:pStyle w:val="Cifrascentradasnegrita"/>
              <w:rPr>
                <w:sz w:val="14"/>
                <w:szCs w:val="14"/>
              </w:rPr>
            </w:pPr>
            <w:r w:rsidRPr="00C66416">
              <w:rPr>
                <w:sz w:val="14"/>
                <w:szCs w:val="14"/>
              </w:rPr>
              <w:t>18</w:t>
            </w:r>
          </w:p>
        </w:tc>
      </w:tr>
      <w:tr w:rsidR="001B5252" w:rsidRPr="00892BEA" w:rsidTr="001B5252">
        <w:trPr>
          <w:trHeight w:hRule="exact" w:val="51"/>
          <w:jc w:val="center"/>
        </w:trPr>
        <w:tc>
          <w:tcPr>
            <w:tcW w:w="3492" w:type="dxa"/>
            <w:gridSpan w:val="2"/>
            <w:shd w:val="clear" w:color="auto" w:fill="FFFFFF" w:themeFill="background1"/>
            <w:noWrap/>
            <w:vAlign w:val="center"/>
            <w:hideMark/>
          </w:tcPr>
          <w:p w:rsidR="001B5252" w:rsidRPr="00C66416" w:rsidRDefault="001B5252" w:rsidP="001B5252">
            <w:pPr>
              <w:pStyle w:val="Textocuadroneg"/>
              <w:rPr>
                <w:sz w:val="14"/>
                <w:szCs w:val="14"/>
              </w:rPr>
            </w:pPr>
          </w:p>
          <w:p w:rsidR="001B5252" w:rsidRPr="00C66416" w:rsidRDefault="001B5252" w:rsidP="001B5252">
            <w:pPr>
              <w:pStyle w:val="Textocuadroneg"/>
              <w:rPr>
                <w:sz w:val="14"/>
                <w:szCs w:val="14"/>
              </w:rPr>
            </w:pPr>
          </w:p>
          <w:p w:rsidR="001B5252" w:rsidRPr="00C66416" w:rsidRDefault="001B5252" w:rsidP="001B5252">
            <w:pPr>
              <w:pStyle w:val="Textocuadroneg"/>
              <w:rPr>
                <w:sz w:val="14"/>
                <w:szCs w:val="14"/>
              </w:rPr>
            </w:pPr>
          </w:p>
        </w:tc>
        <w:tc>
          <w:tcPr>
            <w:tcW w:w="2052" w:type="dxa"/>
            <w:shd w:val="clear" w:color="auto" w:fill="FFFFFF" w:themeFill="background1"/>
            <w:noWrap/>
            <w:vAlign w:val="center"/>
            <w:hideMark/>
          </w:tcPr>
          <w:p w:rsidR="001B5252" w:rsidRPr="00C66416" w:rsidRDefault="001B5252" w:rsidP="001B5252">
            <w:pPr>
              <w:pStyle w:val="Cifrascentradasnegrita"/>
              <w:rPr>
                <w:sz w:val="14"/>
                <w:szCs w:val="14"/>
              </w:rPr>
            </w:pPr>
          </w:p>
          <w:p w:rsidR="001B5252" w:rsidRPr="00C66416" w:rsidRDefault="001B5252" w:rsidP="001B5252">
            <w:pPr>
              <w:pStyle w:val="Cifrascentradasnegrita"/>
              <w:rPr>
                <w:sz w:val="14"/>
                <w:szCs w:val="14"/>
              </w:rPr>
            </w:pPr>
          </w:p>
        </w:tc>
        <w:tc>
          <w:tcPr>
            <w:tcW w:w="2101" w:type="dxa"/>
            <w:shd w:val="clear" w:color="auto" w:fill="FFFFFF" w:themeFill="background1"/>
            <w:noWrap/>
            <w:vAlign w:val="center"/>
            <w:hideMark/>
          </w:tcPr>
          <w:p w:rsidR="001B5252" w:rsidRPr="00C66416" w:rsidRDefault="001B5252" w:rsidP="001B5252">
            <w:pPr>
              <w:pStyle w:val="Cifrascentradasnegrita"/>
              <w:rPr>
                <w:sz w:val="14"/>
                <w:szCs w:val="14"/>
              </w:rPr>
            </w:pPr>
          </w:p>
        </w:tc>
      </w:tr>
      <w:tr w:rsidR="001B5252" w:rsidRPr="00892BEA" w:rsidTr="001B5252">
        <w:trPr>
          <w:trHeight w:hRule="exact" w:val="51"/>
          <w:jc w:val="center"/>
        </w:trPr>
        <w:tc>
          <w:tcPr>
            <w:tcW w:w="3492" w:type="dxa"/>
            <w:gridSpan w:val="2"/>
            <w:shd w:val="clear" w:color="auto" w:fill="FFFFFF" w:themeFill="background1"/>
            <w:noWrap/>
            <w:vAlign w:val="center"/>
          </w:tcPr>
          <w:p w:rsidR="001B5252" w:rsidRPr="00C66416" w:rsidRDefault="001B5252" w:rsidP="001B5252">
            <w:pPr>
              <w:pStyle w:val="Textocuadroneg"/>
              <w:rPr>
                <w:sz w:val="14"/>
                <w:szCs w:val="14"/>
              </w:rPr>
            </w:pPr>
          </w:p>
        </w:tc>
        <w:tc>
          <w:tcPr>
            <w:tcW w:w="2052" w:type="dxa"/>
            <w:shd w:val="clear" w:color="auto" w:fill="FFFFFF" w:themeFill="background1"/>
            <w:noWrap/>
            <w:vAlign w:val="center"/>
          </w:tcPr>
          <w:p w:rsidR="001B5252" w:rsidRPr="00C66416" w:rsidRDefault="001B5252" w:rsidP="001B5252">
            <w:pPr>
              <w:pStyle w:val="Cifrascentradasnegrita"/>
              <w:rPr>
                <w:sz w:val="14"/>
                <w:szCs w:val="14"/>
              </w:rPr>
            </w:pPr>
          </w:p>
        </w:tc>
        <w:tc>
          <w:tcPr>
            <w:tcW w:w="2101" w:type="dxa"/>
            <w:shd w:val="clear" w:color="auto" w:fill="FFFFFF" w:themeFill="background1"/>
            <w:noWrap/>
            <w:vAlign w:val="center"/>
          </w:tcPr>
          <w:p w:rsidR="001B5252" w:rsidRPr="00C66416" w:rsidRDefault="001B5252" w:rsidP="001B5252">
            <w:pPr>
              <w:pStyle w:val="Cifrascentradasnegrita"/>
              <w:rPr>
                <w:sz w:val="14"/>
                <w:szCs w:val="14"/>
              </w:rPr>
            </w:pPr>
          </w:p>
        </w:tc>
      </w:tr>
      <w:tr w:rsidR="001B5252" w:rsidRPr="00D72C46" w:rsidTr="001B5252">
        <w:trPr>
          <w:trHeight w:hRule="exact" w:val="227"/>
          <w:jc w:val="center"/>
        </w:trPr>
        <w:tc>
          <w:tcPr>
            <w:tcW w:w="3492" w:type="dxa"/>
            <w:gridSpan w:val="2"/>
            <w:shd w:val="clear" w:color="auto" w:fill="D9D9D9" w:themeFill="background1" w:themeFillShade="D9"/>
            <w:noWrap/>
            <w:vAlign w:val="center"/>
          </w:tcPr>
          <w:p w:rsidR="001B5252" w:rsidRPr="00C66416" w:rsidRDefault="001B5252" w:rsidP="001B5252">
            <w:pPr>
              <w:pStyle w:val="Textocuadroneg"/>
              <w:rPr>
                <w:bCs/>
                <w:sz w:val="14"/>
                <w:szCs w:val="14"/>
              </w:rPr>
            </w:pPr>
            <w:r w:rsidRPr="00C66416">
              <w:rPr>
                <w:bCs/>
                <w:sz w:val="14"/>
                <w:szCs w:val="14"/>
              </w:rPr>
              <w:t>PAE 2013</w:t>
            </w:r>
          </w:p>
          <w:p w:rsidR="001B5252" w:rsidRPr="00C66416" w:rsidDel="002E5590" w:rsidRDefault="001B5252" w:rsidP="001B5252">
            <w:pPr>
              <w:pStyle w:val="Textocuadro"/>
              <w:rPr>
                <w:b/>
                <w:color w:val="A6A6A6" w:themeColor="background1" w:themeShade="A6"/>
                <w:sz w:val="14"/>
                <w:szCs w:val="14"/>
              </w:rPr>
            </w:pPr>
          </w:p>
        </w:tc>
        <w:tc>
          <w:tcPr>
            <w:tcW w:w="2052" w:type="dxa"/>
            <w:shd w:val="clear" w:color="auto" w:fill="D9D9D9" w:themeFill="background1" w:themeFillShade="D9"/>
            <w:noWrap/>
            <w:vAlign w:val="center"/>
          </w:tcPr>
          <w:p w:rsidR="001B5252" w:rsidRPr="00C66416" w:rsidRDefault="001B5252" w:rsidP="001B5252">
            <w:pPr>
              <w:pStyle w:val="Cifrascentradasnegrita"/>
              <w:rPr>
                <w:sz w:val="14"/>
                <w:szCs w:val="14"/>
              </w:rPr>
            </w:pPr>
            <w:r w:rsidRPr="00C66416">
              <w:rPr>
                <w:sz w:val="14"/>
                <w:szCs w:val="14"/>
              </w:rPr>
              <w:t>01</w:t>
            </w:r>
          </w:p>
        </w:tc>
        <w:tc>
          <w:tcPr>
            <w:tcW w:w="2101" w:type="dxa"/>
            <w:shd w:val="clear" w:color="auto" w:fill="D9D9D9" w:themeFill="background1" w:themeFillShade="D9"/>
            <w:noWrap/>
            <w:vAlign w:val="center"/>
          </w:tcPr>
          <w:p w:rsidR="001B5252" w:rsidRPr="00C66416" w:rsidRDefault="001B5252" w:rsidP="001B5252">
            <w:pPr>
              <w:pStyle w:val="Cifrascentradasnegrita"/>
              <w:rPr>
                <w:sz w:val="14"/>
                <w:szCs w:val="14"/>
              </w:rPr>
            </w:pPr>
            <w:r w:rsidRPr="00C66416">
              <w:rPr>
                <w:sz w:val="14"/>
                <w:szCs w:val="14"/>
              </w:rPr>
              <w:t>01</w:t>
            </w:r>
          </w:p>
        </w:tc>
      </w:tr>
      <w:tr w:rsidR="001B5252" w:rsidRPr="00C7227C" w:rsidTr="001B5252">
        <w:trPr>
          <w:trHeight w:hRule="exact" w:val="66"/>
          <w:jc w:val="center"/>
        </w:trPr>
        <w:tc>
          <w:tcPr>
            <w:tcW w:w="3492" w:type="dxa"/>
            <w:gridSpan w:val="2"/>
            <w:shd w:val="clear" w:color="auto" w:fill="auto"/>
            <w:noWrap/>
            <w:vAlign w:val="center"/>
          </w:tcPr>
          <w:p w:rsidR="001B5252" w:rsidRPr="00C66416" w:rsidRDefault="001B5252" w:rsidP="001B5252">
            <w:pPr>
              <w:pStyle w:val="Textocuadroneg"/>
              <w:ind w:left="567"/>
              <w:rPr>
                <w:sz w:val="14"/>
                <w:szCs w:val="14"/>
              </w:rPr>
            </w:pPr>
          </w:p>
        </w:tc>
        <w:tc>
          <w:tcPr>
            <w:tcW w:w="2052" w:type="dxa"/>
            <w:shd w:val="clear" w:color="auto" w:fill="auto"/>
            <w:noWrap/>
            <w:vAlign w:val="center"/>
          </w:tcPr>
          <w:p w:rsidR="001B5252" w:rsidRPr="00C66416" w:rsidRDefault="001B5252" w:rsidP="001B5252">
            <w:pPr>
              <w:pStyle w:val="Cifrascentradasnegrita"/>
              <w:rPr>
                <w:sz w:val="14"/>
                <w:szCs w:val="14"/>
              </w:rPr>
            </w:pPr>
          </w:p>
        </w:tc>
        <w:tc>
          <w:tcPr>
            <w:tcW w:w="2101" w:type="dxa"/>
            <w:shd w:val="clear" w:color="auto" w:fill="auto"/>
            <w:noWrap/>
            <w:vAlign w:val="center"/>
          </w:tcPr>
          <w:p w:rsidR="001B5252" w:rsidRPr="00C66416" w:rsidRDefault="001B5252" w:rsidP="001B5252">
            <w:pPr>
              <w:pStyle w:val="Cifrascentradasnegrita"/>
              <w:rPr>
                <w:sz w:val="14"/>
                <w:szCs w:val="14"/>
              </w:rPr>
            </w:pPr>
          </w:p>
        </w:tc>
      </w:tr>
      <w:tr w:rsidR="001B5252" w:rsidRPr="000E636B" w:rsidTr="001B5252">
        <w:trPr>
          <w:trHeight w:hRule="exact" w:val="227"/>
          <w:jc w:val="center"/>
        </w:trPr>
        <w:tc>
          <w:tcPr>
            <w:tcW w:w="3492" w:type="dxa"/>
            <w:gridSpan w:val="2"/>
            <w:shd w:val="clear" w:color="auto" w:fill="D9D9D9" w:themeFill="background1" w:themeFillShade="D9"/>
            <w:noWrap/>
            <w:vAlign w:val="center"/>
          </w:tcPr>
          <w:p w:rsidR="001B5252" w:rsidRPr="00C66416" w:rsidRDefault="001B5252" w:rsidP="001B5252">
            <w:pPr>
              <w:pStyle w:val="Textocuadroneg"/>
              <w:ind w:left="567"/>
              <w:rPr>
                <w:sz w:val="14"/>
                <w:szCs w:val="14"/>
              </w:rPr>
            </w:pPr>
            <w:r w:rsidRPr="00C66416">
              <w:rPr>
                <w:sz w:val="14"/>
                <w:szCs w:val="14"/>
              </w:rPr>
              <w:t>Específica de Costo-Efectividad</w:t>
            </w:r>
          </w:p>
        </w:tc>
        <w:tc>
          <w:tcPr>
            <w:tcW w:w="2052" w:type="dxa"/>
            <w:shd w:val="clear" w:color="auto" w:fill="D9D9D9" w:themeFill="background1" w:themeFillShade="D9"/>
            <w:noWrap/>
            <w:vAlign w:val="center"/>
          </w:tcPr>
          <w:p w:rsidR="001B5252" w:rsidRPr="00C66416" w:rsidRDefault="001B5252" w:rsidP="001B5252">
            <w:pPr>
              <w:pStyle w:val="Cifrascentradasnegrita"/>
              <w:rPr>
                <w:sz w:val="14"/>
                <w:szCs w:val="14"/>
              </w:rPr>
            </w:pPr>
            <w:r w:rsidRPr="00C66416">
              <w:rPr>
                <w:sz w:val="14"/>
                <w:szCs w:val="14"/>
              </w:rPr>
              <w:t>01</w:t>
            </w:r>
          </w:p>
        </w:tc>
        <w:tc>
          <w:tcPr>
            <w:tcW w:w="2101" w:type="dxa"/>
            <w:shd w:val="clear" w:color="auto" w:fill="D9D9D9" w:themeFill="background1" w:themeFillShade="D9"/>
            <w:noWrap/>
            <w:vAlign w:val="center"/>
          </w:tcPr>
          <w:p w:rsidR="001B5252" w:rsidRPr="00C66416" w:rsidRDefault="001B5252" w:rsidP="001B5252">
            <w:pPr>
              <w:pStyle w:val="Cifrascentradasnegrita"/>
              <w:rPr>
                <w:sz w:val="14"/>
                <w:szCs w:val="14"/>
              </w:rPr>
            </w:pPr>
            <w:r w:rsidRPr="00C66416">
              <w:rPr>
                <w:sz w:val="14"/>
                <w:szCs w:val="14"/>
              </w:rPr>
              <w:t>01</w:t>
            </w:r>
          </w:p>
        </w:tc>
      </w:tr>
      <w:tr w:rsidR="001B5252" w:rsidRPr="000E636B" w:rsidTr="001B5252">
        <w:trPr>
          <w:trHeight w:hRule="exact" w:val="454"/>
          <w:jc w:val="center"/>
        </w:trPr>
        <w:tc>
          <w:tcPr>
            <w:tcW w:w="657" w:type="dxa"/>
            <w:shd w:val="clear" w:color="auto" w:fill="auto"/>
            <w:noWrap/>
            <w:vAlign w:val="center"/>
          </w:tcPr>
          <w:p w:rsidR="001B5252" w:rsidRPr="00C66416" w:rsidRDefault="001B5252" w:rsidP="001B5252">
            <w:pPr>
              <w:pStyle w:val="Textocuadro"/>
              <w:rPr>
                <w:b/>
                <w:sz w:val="14"/>
                <w:szCs w:val="14"/>
              </w:rPr>
            </w:pPr>
          </w:p>
        </w:tc>
        <w:tc>
          <w:tcPr>
            <w:tcW w:w="2835" w:type="dxa"/>
            <w:shd w:val="clear" w:color="auto" w:fill="auto"/>
            <w:noWrap/>
            <w:vAlign w:val="center"/>
          </w:tcPr>
          <w:p w:rsidR="001B5252" w:rsidRPr="00C66416" w:rsidRDefault="001B5252" w:rsidP="001B5252">
            <w:pPr>
              <w:pStyle w:val="Textocuadro"/>
              <w:rPr>
                <w:sz w:val="14"/>
                <w:szCs w:val="14"/>
              </w:rPr>
            </w:pPr>
            <w:r w:rsidRPr="00C66416">
              <w:rPr>
                <w:sz w:val="14"/>
                <w:szCs w:val="14"/>
              </w:rPr>
              <w:t>09 – Secretaría de Comunicaciones y Transportes</w:t>
            </w:r>
          </w:p>
        </w:tc>
        <w:tc>
          <w:tcPr>
            <w:tcW w:w="2052" w:type="dxa"/>
            <w:shd w:val="clear" w:color="auto" w:fill="auto"/>
            <w:noWrap/>
            <w:vAlign w:val="center"/>
          </w:tcPr>
          <w:p w:rsidR="001B5252" w:rsidRPr="00C66416" w:rsidRDefault="001B5252" w:rsidP="001B5252">
            <w:pPr>
              <w:pStyle w:val="Cirascentradas"/>
              <w:rPr>
                <w:sz w:val="14"/>
                <w:szCs w:val="14"/>
              </w:rPr>
            </w:pPr>
            <w:r w:rsidRPr="00C66416">
              <w:rPr>
                <w:sz w:val="14"/>
                <w:szCs w:val="14"/>
              </w:rPr>
              <w:t>01</w:t>
            </w:r>
          </w:p>
        </w:tc>
        <w:tc>
          <w:tcPr>
            <w:tcW w:w="2101" w:type="dxa"/>
            <w:shd w:val="clear" w:color="auto" w:fill="auto"/>
            <w:noWrap/>
            <w:vAlign w:val="center"/>
          </w:tcPr>
          <w:p w:rsidR="001B5252" w:rsidRPr="00C66416" w:rsidRDefault="001B5252" w:rsidP="001B5252">
            <w:pPr>
              <w:pStyle w:val="Cirascentradas"/>
              <w:rPr>
                <w:sz w:val="14"/>
                <w:szCs w:val="14"/>
              </w:rPr>
            </w:pPr>
            <w:r w:rsidRPr="00C66416">
              <w:rPr>
                <w:sz w:val="14"/>
                <w:szCs w:val="14"/>
              </w:rPr>
              <w:t>01</w:t>
            </w:r>
          </w:p>
        </w:tc>
      </w:tr>
      <w:tr w:rsidR="001B5252" w:rsidRPr="000E636B" w:rsidTr="001B5252">
        <w:trPr>
          <w:trHeight w:hRule="exact" w:val="270"/>
          <w:jc w:val="center"/>
        </w:trPr>
        <w:tc>
          <w:tcPr>
            <w:tcW w:w="3492" w:type="dxa"/>
            <w:gridSpan w:val="2"/>
            <w:shd w:val="clear" w:color="auto" w:fill="D9D9D9" w:themeFill="background1" w:themeFillShade="D9"/>
            <w:noWrap/>
            <w:vAlign w:val="center"/>
          </w:tcPr>
          <w:p w:rsidR="001B5252" w:rsidRPr="00C66416" w:rsidRDefault="001B5252" w:rsidP="001B5252">
            <w:pPr>
              <w:pStyle w:val="Textocuadroneg"/>
              <w:rPr>
                <w:bCs/>
                <w:sz w:val="14"/>
                <w:szCs w:val="14"/>
              </w:rPr>
            </w:pPr>
            <w:r w:rsidRPr="00C66416">
              <w:rPr>
                <w:bCs/>
                <w:sz w:val="14"/>
                <w:szCs w:val="14"/>
              </w:rPr>
              <w:t>PAE 2015</w:t>
            </w:r>
          </w:p>
          <w:p w:rsidR="001B5252" w:rsidRPr="00C66416" w:rsidRDefault="001B5252" w:rsidP="001B5252">
            <w:pPr>
              <w:pStyle w:val="Textocuadroneg"/>
              <w:rPr>
                <w:bCs/>
                <w:sz w:val="14"/>
                <w:szCs w:val="14"/>
              </w:rPr>
            </w:pPr>
          </w:p>
          <w:p w:rsidR="001B5252" w:rsidRPr="00C66416" w:rsidRDefault="001B5252" w:rsidP="001B5252">
            <w:pPr>
              <w:pStyle w:val="Textocuadroneg"/>
              <w:rPr>
                <w:bCs/>
                <w:sz w:val="14"/>
                <w:szCs w:val="14"/>
              </w:rPr>
            </w:pPr>
          </w:p>
        </w:tc>
        <w:tc>
          <w:tcPr>
            <w:tcW w:w="2052" w:type="dxa"/>
            <w:shd w:val="clear" w:color="auto" w:fill="D9D9D9" w:themeFill="background1" w:themeFillShade="D9"/>
            <w:noWrap/>
            <w:vAlign w:val="center"/>
          </w:tcPr>
          <w:p w:rsidR="001B5252" w:rsidRPr="00C66416" w:rsidRDefault="001B5252" w:rsidP="001B5252">
            <w:pPr>
              <w:pStyle w:val="Cifrascentradasnegrita"/>
              <w:rPr>
                <w:bCs/>
                <w:sz w:val="14"/>
                <w:szCs w:val="14"/>
              </w:rPr>
            </w:pPr>
            <w:r w:rsidRPr="00C66416">
              <w:rPr>
                <w:bCs/>
                <w:sz w:val="14"/>
                <w:szCs w:val="14"/>
              </w:rPr>
              <w:t>00</w:t>
            </w:r>
          </w:p>
        </w:tc>
        <w:tc>
          <w:tcPr>
            <w:tcW w:w="2101" w:type="dxa"/>
            <w:shd w:val="clear" w:color="auto" w:fill="D9D9D9" w:themeFill="background1" w:themeFillShade="D9"/>
            <w:noWrap/>
            <w:vAlign w:val="center"/>
          </w:tcPr>
          <w:p w:rsidR="001B5252" w:rsidRPr="00C66416" w:rsidRDefault="001B5252" w:rsidP="001B5252">
            <w:pPr>
              <w:pStyle w:val="Cifrascentradasnegrita"/>
              <w:rPr>
                <w:bCs/>
                <w:sz w:val="14"/>
                <w:szCs w:val="14"/>
              </w:rPr>
            </w:pPr>
            <w:r w:rsidRPr="00C66416">
              <w:rPr>
                <w:bCs/>
                <w:sz w:val="14"/>
                <w:szCs w:val="14"/>
              </w:rPr>
              <w:t>14</w:t>
            </w:r>
          </w:p>
        </w:tc>
      </w:tr>
      <w:tr w:rsidR="001B5252" w:rsidRPr="000E636B" w:rsidTr="001B5252">
        <w:trPr>
          <w:trHeight w:hRule="exact" w:val="80"/>
          <w:jc w:val="center"/>
        </w:trPr>
        <w:tc>
          <w:tcPr>
            <w:tcW w:w="3492" w:type="dxa"/>
            <w:gridSpan w:val="2"/>
            <w:shd w:val="clear" w:color="auto" w:fill="auto"/>
            <w:noWrap/>
            <w:vAlign w:val="center"/>
          </w:tcPr>
          <w:p w:rsidR="001B5252" w:rsidRPr="00C66416" w:rsidRDefault="001B5252" w:rsidP="001B5252">
            <w:pPr>
              <w:pStyle w:val="Textocuadroneg"/>
              <w:rPr>
                <w:bCs/>
                <w:sz w:val="14"/>
                <w:szCs w:val="14"/>
              </w:rPr>
            </w:pPr>
          </w:p>
        </w:tc>
        <w:tc>
          <w:tcPr>
            <w:tcW w:w="2052" w:type="dxa"/>
            <w:shd w:val="clear" w:color="auto" w:fill="auto"/>
            <w:noWrap/>
            <w:vAlign w:val="center"/>
          </w:tcPr>
          <w:p w:rsidR="001B5252" w:rsidRPr="00C66416" w:rsidRDefault="001B5252" w:rsidP="001B5252">
            <w:pPr>
              <w:pStyle w:val="Cifrascentradasnegrita"/>
              <w:rPr>
                <w:bCs/>
                <w:sz w:val="14"/>
                <w:szCs w:val="14"/>
              </w:rPr>
            </w:pPr>
          </w:p>
        </w:tc>
        <w:tc>
          <w:tcPr>
            <w:tcW w:w="2101" w:type="dxa"/>
            <w:shd w:val="clear" w:color="auto" w:fill="auto"/>
            <w:noWrap/>
            <w:vAlign w:val="center"/>
          </w:tcPr>
          <w:p w:rsidR="001B5252" w:rsidRPr="00C66416" w:rsidRDefault="001B5252" w:rsidP="001B5252">
            <w:pPr>
              <w:pStyle w:val="Cifrascentradasnegrita"/>
              <w:rPr>
                <w:bCs/>
                <w:sz w:val="14"/>
                <w:szCs w:val="14"/>
              </w:rPr>
            </w:pPr>
          </w:p>
        </w:tc>
      </w:tr>
      <w:tr w:rsidR="001B5252" w:rsidRPr="000E636B" w:rsidTr="001B5252">
        <w:trPr>
          <w:trHeight w:hRule="exact" w:val="274"/>
          <w:jc w:val="center"/>
        </w:trPr>
        <w:tc>
          <w:tcPr>
            <w:tcW w:w="657" w:type="dxa"/>
            <w:shd w:val="clear" w:color="auto" w:fill="D9D9D9" w:themeFill="background1" w:themeFillShade="D9"/>
            <w:noWrap/>
            <w:vAlign w:val="center"/>
          </w:tcPr>
          <w:p w:rsidR="001B5252" w:rsidRPr="00C66416" w:rsidRDefault="001B5252" w:rsidP="001B5252">
            <w:pPr>
              <w:pStyle w:val="Textocuadro"/>
              <w:rPr>
                <w:b/>
                <w:sz w:val="14"/>
                <w:szCs w:val="14"/>
              </w:rPr>
            </w:pPr>
          </w:p>
        </w:tc>
        <w:tc>
          <w:tcPr>
            <w:tcW w:w="2835" w:type="dxa"/>
            <w:shd w:val="clear" w:color="auto" w:fill="D9D9D9" w:themeFill="background1" w:themeFillShade="D9"/>
            <w:noWrap/>
            <w:vAlign w:val="center"/>
          </w:tcPr>
          <w:p w:rsidR="001B5252" w:rsidRPr="00C66416" w:rsidRDefault="001B5252" w:rsidP="001B5252">
            <w:pPr>
              <w:pStyle w:val="Textocuadro"/>
              <w:rPr>
                <w:b/>
                <w:sz w:val="14"/>
                <w:szCs w:val="14"/>
              </w:rPr>
            </w:pPr>
            <w:r w:rsidRPr="00C66416">
              <w:rPr>
                <w:b/>
                <w:sz w:val="14"/>
                <w:szCs w:val="14"/>
              </w:rPr>
              <w:t>Diseño</w:t>
            </w:r>
          </w:p>
        </w:tc>
        <w:tc>
          <w:tcPr>
            <w:tcW w:w="2052" w:type="dxa"/>
            <w:shd w:val="clear" w:color="auto" w:fill="D9D9D9" w:themeFill="background1" w:themeFillShade="D9"/>
            <w:noWrap/>
            <w:vAlign w:val="center"/>
          </w:tcPr>
          <w:p w:rsidR="001B5252" w:rsidRPr="00C66416" w:rsidRDefault="001B5252" w:rsidP="001B5252">
            <w:pPr>
              <w:pStyle w:val="Cirascentradas"/>
              <w:rPr>
                <w:b/>
                <w:sz w:val="14"/>
                <w:szCs w:val="14"/>
              </w:rPr>
            </w:pPr>
            <w:r w:rsidRPr="00C66416">
              <w:rPr>
                <w:b/>
                <w:sz w:val="14"/>
                <w:szCs w:val="14"/>
              </w:rPr>
              <w:t>00</w:t>
            </w:r>
          </w:p>
        </w:tc>
        <w:tc>
          <w:tcPr>
            <w:tcW w:w="2101" w:type="dxa"/>
            <w:shd w:val="clear" w:color="auto" w:fill="D9D9D9" w:themeFill="background1" w:themeFillShade="D9"/>
            <w:noWrap/>
            <w:vAlign w:val="center"/>
          </w:tcPr>
          <w:p w:rsidR="001B5252" w:rsidRPr="00C66416" w:rsidRDefault="001B5252" w:rsidP="001B5252">
            <w:pPr>
              <w:pStyle w:val="Cirascentradas"/>
              <w:rPr>
                <w:b/>
                <w:sz w:val="14"/>
                <w:szCs w:val="14"/>
              </w:rPr>
            </w:pPr>
            <w:r w:rsidRPr="00C66416">
              <w:rPr>
                <w:b/>
                <w:sz w:val="14"/>
                <w:szCs w:val="14"/>
              </w:rPr>
              <w:t>05</w:t>
            </w:r>
          </w:p>
        </w:tc>
      </w:tr>
      <w:tr w:rsidR="001B5252" w:rsidRPr="000E636B" w:rsidTr="001B5252">
        <w:trPr>
          <w:trHeight w:hRule="exact" w:val="434"/>
          <w:jc w:val="center"/>
        </w:trPr>
        <w:tc>
          <w:tcPr>
            <w:tcW w:w="657" w:type="dxa"/>
            <w:shd w:val="clear" w:color="auto" w:fill="auto"/>
            <w:noWrap/>
            <w:vAlign w:val="center"/>
          </w:tcPr>
          <w:p w:rsidR="001B5252" w:rsidRPr="00C66416" w:rsidRDefault="001B5252" w:rsidP="001B5252">
            <w:pPr>
              <w:pStyle w:val="Textocuadro"/>
              <w:rPr>
                <w:b/>
                <w:sz w:val="14"/>
                <w:szCs w:val="14"/>
              </w:rPr>
            </w:pPr>
          </w:p>
        </w:tc>
        <w:tc>
          <w:tcPr>
            <w:tcW w:w="2835" w:type="dxa"/>
            <w:shd w:val="clear" w:color="auto" w:fill="auto"/>
            <w:noWrap/>
            <w:vAlign w:val="center"/>
          </w:tcPr>
          <w:p w:rsidR="001B5252" w:rsidRPr="00C66416" w:rsidRDefault="001B5252" w:rsidP="001B5252">
            <w:pPr>
              <w:pStyle w:val="Textocuadro"/>
              <w:spacing w:before="0" w:after="120"/>
              <w:rPr>
                <w:sz w:val="14"/>
                <w:szCs w:val="14"/>
              </w:rPr>
            </w:pPr>
            <w:r w:rsidRPr="00C66416">
              <w:rPr>
                <w:sz w:val="14"/>
                <w:szCs w:val="14"/>
              </w:rPr>
              <w:t>15 – Desarrollo Agrario, Territorial y Urbano</w:t>
            </w:r>
          </w:p>
        </w:tc>
        <w:tc>
          <w:tcPr>
            <w:tcW w:w="2052"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00</w:t>
            </w:r>
          </w:p>
        </w:tc>
        <w:tc>
          <w:tcPr>
            <w:tcW w:w="2101"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01</w:t>
            </w:r>
          </w:p>
        </w:tc>
      </w:tr>
      <w:tr w:rsidR="001B5252" w:rsidRPr="000E636B" w:rsidTr="001B5252">
        <w:trPr>
          <w:trHeight w:hRule="exact" w:val="412"/>
          <w:jc w:val="center"/>
        </w:trPr>
        <w:tc>
          <w:tcPr>
            <w:tcW w:w="657" w:type="dxa"/>
            <w:shd w:val="clear" w:color="auto" w:fill="auto"/>
            <w:noWrap/>
            <w:vAlign w:val="center"/>
          </w:tcPr>
          <w:p w:rsidR="001B5252" w:rsidRPr="00C66416" w:rsidRDefault="001B5252" w:rsidP="001B5252">
            <w:pPr>
              <w:pStyle w:val="Textocuadro"/>
              <w:rPr>
                <w:b/>
                <w:sz w:val="14"/>
                <w:szCs w:val="14"/>
              </w:rPr>
            </w:pPr>
          </w:p>
        </w:tc>
        <w:tc>
          <w:tcPr>
            <w:tcW w:w="2835" w:type="dxa"/>
            <w:shd w:val="clear" w:color="auto" w:fill="auto"/>
            <w:noWrap/>
            <w:vAlign w:val="center"/>
          </w:tcPr>
          <w:p w:rsidR="001B5252" w:rsidRPr="00C66416" w:rsidRDefault="001B5252" w:rsidP="001B5252">
            <w:pPr>
              <w:pStyle w:val="Textocuadro"/>
              <w:spacing w:before="0" w:after="120"/>
              <w:rPr>
                <w:sz w:val="14"/>
                <w:szCs w:val="14"/>
              </w:rPr>
            </w:pPr>
            <w:r w:rsidRPr="00C66416">
              <w:rPr>
                <w:sz w:val="14"/>
                <w:szCs w:val="14"/>
              </w:rPr>
              <w:t>16 – Medio Ambiente y Recursos Naturales</w:t>
            </w:r>
          </w:p>
        </w:tc>
        <w:tc>
          <w:tcPr>
            <w:tcW w:w="2052"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00</w:t>
            </w:r>
          </w:p>
        </w:tc>
        <w:tc>
          <w:tcPr>
            <w:tcW w:w="2101"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03</w:t>
            </w:r>
          </w:p>
        </w:tc>
      </w:tr>
      <w:tr w:rsidR="001B5252" w:rsidRPr="000E636B" w:rsidTr="001B5252">
        <w:trPr>
          <w:trHeight w:hRule="exact" w:val="290"/>
          <w:jc w:val="center"/>
        </w:trPr>
        <w:tc>
          <w:tcPr>
            <w:tcW w:w="657" w:type="dxa"/>
            <w:shd w:val="clear" w:color="auto" w:fill="auto"/>
            <w:noWrap/>
            <w:vAlign w:val="center"/>
          </w:tcPr>
          <w:p w:rsidR="001B5252" w:rsidRPr="00C66416" w:rsidRDefault="001B5252" w:rsidP="001B5252">
            <w:pPr>
              <w:pStyle w:val="Textocuadro"/>
              <w:rPr>
                <w:b/>
                <w:sz w:val="14"/>
                <w:szCs w:val="14"/>
              </w:rPr>
            </w:pPr>
          </w:p>
        </w:tc>
        <w:tc>
          <w:tcPr>
            <w:tcW w:w="2835" w:type="dxa"/>
            <w:shd w:val="clear" w:color="auto" w:fill="auto"/>
            <w:noWrap/>
            <w:vAlign w:val="center"/>
          </w:tcPr>
          <w:p w:rsidR="001B5252" w:rsidRPr="00C66416" w:rsidRDefault="001B5252" w:rsidP="001B5252">
            <w:pPr>
              <w:pStyle w:val="Textocuadro"/>
              <w:spacing w:before="0" w:after="120"/>
              <w:rPr>
                <w:sz w:val="14"/>
                <w:szCs w:val="14"/>
              </w:rPr>
            </w:pPr>
            <w:r w:rsidRPr="00C66416">
              <w:rPr>
                <w:sz w:val="14"/>
                <w:szCs w:val="14"/>
              </w:rPr>
              <w:t>20 – Desarrollo Social</w:t>
            </w:r>
          </w:p>
        </w:tc>
        <w:tc>
          <w:tcPr>
            <w:tcW w:w="2052"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00</w:t>
            </w:r>
          </w:p>
        </w:tc>
        <w:tc>
          <w:tcPr>
            <w:tcW w:w="2101"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01</w:t>
            </w:r>
          </w:p>
        </w:tc>
      </w:tr>
      <w:tr w:rsidR="001B5252" w:rsidRPr="000E636B" w:rsidTr="001B5252">
        <w:trPr>
          <w:trHeight w:hRule="exact" w:val="300"/>
          <w:jc w:val="center"/>
        </w:trPr>
        <w:tc>
          <w:tcPr>
            <w:tcW w:w="657" w:type="dxa"/>
            <w:shd w:val="clear" w:color="auto" w:fill="D9D9D9" w:themeFill="background1" w:themeFillShade="D9"/>
            <w:noWrap/>
            <w:vAlign w:val="center"/>
          </w:tcPr>
          <w:p w:rsidR="001B5252" w:rsidRPr="00C66416" w:rsidRDefault="001B5252" w:rsidP="001B5252">
            <w:pPr>
              <w:pStyle w:val="Textocuadro"/>
              <w:rPr>
                <w:b/>
                <w:sz w:val="14"/>
                <w:szCs w:val="14"/>
              </w:rPr>
            </w:pPr>
          </w:p>
        </w:tc>
        <w:tc>
          <w:tcPr>
            <w:tcW w:w="2835" w:type="dxa"/>
            <w:shd w:val="clear" w:color="auto" w:fill="D9D9D9" w:themeFill="background1" w:themeFillShade="D9"/>
            <w:noWrap/>
            <w:vAlign w:val="center"/>
          </w:tcPr>
          <w:p w:rsidR="001B5252" w:rsidRPr="00C66416" w:rsidRDefault="001B5252" w:rsidP="001B5252">
            <w:pPr>
              <w:pStyle w:val="Textocuadro"/>
              <w:spacing w:before="0" w:after="120"/>
              <w:rPr>
                <w:b/>
                <w:sz w:val="14"/>
                <w:szCs w:val="14"/>
              </w:rPr>
            </w:pPr>
            <w:r w:rsidRPr="00C66416">
              <w:rPr>
                <w:b/>
                <w:sz w:val="14"/>
                <w:szCs w:val="14"/>
              </w:rPr>
              <w:t>Consistencia y Resultados</w:t>
            </w:r>
          </w:p>
        </w:tc>
        <w:tc>
          <w:tcPr>
            <w:tcW w:w="2052" w:type="dxa"/>
            <w:shd w:val="clear" w:color="auto" w:fill="D9D9D9" w:themeFill="background1" w:themeFillShade="D9"/>
            <w:noWrap/>
            <w:vAlign w:val="center"/>
          </w:tcPr>
          <w:p w:rsidR="001B5252" w:rsidRPr="00C66416" w:rsidRDefault="001B5252" w:rsidP="001B5252">
            <w:pPr>
              <w:pStyle w:val="Cirascentradas"/>
              <w:spacing w:before="0" w:after="120"/>
              <w:rPr>
                <w:b/>
                <w:sz w:val="14"/>
                <w:szCs w:val="14"/>
              </w:rPr>
            </w:pPr>
            <w:r w:rsidRPr="00C66416">
              <w:rPr>
                <w:b/>
                <w:sz w:val="14"/>
                <w:szCs w:val="14"/>
              </w:rPr>
              <w:t>00</w:t>
            </w:r>
          </w:p>
        </w:tc>
        <w:tc>
          <w:tcPr>
            <w:tcW w:w="2101" w:type="dxa"/>
            <w:shd w:val="clear" w:color="auto" w:fill="D9D9D9" w:themeFill="background1" w:themeFillShade="D9"/>
            <w:noWrap/>
            <w:vAlign w:val="center"/>
          </w:tcPr>
          <w:p w:rsidR="001B5252" w:rsidRPr="00C66416" w:rsidRDefault="001B5252" w:rsidP="001B5252">
            <w:pPr>
              <w:pStyle w:val="Cirascentradas"/>
              <w:spacing w:before="0" w:after="120"/>
              <w:rPr>
                <w:b/>
                <w:sz w:val="14"/>
                <w:szCs w:val="14"/>
              </w:rPr>
            </w:pPr>
            <w:r w:rsidRPr="00C66416">
              <w:rPr>
                <w:b/>
                <w:sz w:val="14"/>
                <w:szCs w:val="14"/>
              </w:rPr>
              <w:t>05</w:t>
            </w:r>
          </w:p>
        </w:tc>
      </w:tr>
      <w:tr w:rsidR="001B5252" w:rsidRPr="000E636B" w:rsidTr="001B5252">
        <w:trPr>
          <w:trHeight w:hRule="exact" w:val="420"/>
          <w:jc w:val="center"/>
        </w:trPr>
        <w:tc>
          <w:tcPr>
            <w:tcW w:w="657" w:type="dxa"/>
            <w:shd w:val="clear" w:color="auto" w:fill="auto"/>
            <w:noWrap/>
            <w:vAlign w:val="center"/>
          </w:tcPr>
          <w:p w:rsidR="001B5252" w:rsidRPr="00C66416" w:rsidRDefault="001B5252" w:rsidP="001B5252">
            <w:pPr>
              <w:pStyle w:val="Textocuadro"/>
              <w:rPr>
                <w:b/>
                <w:sz w:val="14"/>
                <w:szCs w:val="14"/>
              </w:rPr>
            </w:pPr>
          </w:p>
        </w:tc>
        <w:tc>
          <w:tcPr>
            <w:tcW w:w="2835" w:type="dxa"/>
            <w:shd w:val="clear" w:color="auto" w:fill="auto"/>
            <w:noWrap/>
            <w:vAlign w:val="center"/>
          </w:tcPr>
          <w:p w:rsidR="001B5252" w:rsidRPr="00C66416" w:rsidRDefault="001B5252" w:rsidP="001B5252">
            <w:pPr>
              <w:pStyle w:val="Textocuadro"/>
              <w:spacing w:before="0" w:after="120"/>
              <w:rPr>
                <w:sz w:val="14"/>
                <w:szCs w:val="14"/>
              </w:rPr>
            </w:pPr>
            <w:r w:rsidRPr="00C66416">
              <w:rPr>
                <w:sz w:val="14"/>
                <w:szCs w:val="14"/>
              </w:rPr>
              <w:t>15 – Desarrollo Agrario, Territorial y Urbano</w:t>
            </w:r>
          </w:p>
        </w:tc>
        <w:tc>
          <w:tcPr>
            <w:tcW w:w="2052"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00</w:t>
            </w:r>
          </w:p>
        </w:tc>
        <w:tc>
          <w:tcPr>
            <w:tcW w:w="2101"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01</w:t>
            </w:r>
          </w:p>
        </w:tc>
      </w:tr>
      <w:tr w:rsidR="001B5252" w:rsidRPr="000E636B" w:rsidTr="001B5252">
        <w:trPr>
          <w:trHeight w:hRule="exact" w:val="397"/>
          <w:jc w:val="center"/>
        </w:trPr>
        <w:tc>
          <w:tcPr>
            <w:tcW w:w="657" w:type="dxa"/>
            <w:shd w:val="clear" w:color="auto" w:fill="auto"/>
            <w:noWrap/>
            <w:vAlign w:val="center"/>
          </w:tcPr>
          <w:p w:rsidR="001B5252" w:rsidRPr="00C66416" w:rsidRDefault="001B5252" w:rsidP="001B5252">
            <w:pPr>
              <w:pStyle w:val="Textocuadro"/>
              <w:rPr>
                <w:b/>
                <w:sz w:val="14"/>
                <w:szCs w:val="14"/>
              </w:rPr>
            </w:pPr>
          </w:p>
        </w:tc>
        <w:tc>
          <w:tcPr>
            <w:tcW w:w="2835" w:type="dxa"/>
            <w:shd w:val="clear" w:color="auto" w:fill="auto"/>
            <w:noWrap/>
            <w:vAlign w:val="center"/>
          </w:tcPr>
          <w:p w:rsidR="001B5252" w:rsidRPr="00C66416" w:rsidRDefault="001B5252" w:rsidP="001B5252">
            <w:pPr>
              <w:pStyle w:val="Textocuadro"/>
              <w:spacing w:before="0" w:after="120"/>
              <w:rPr>
                <w:sz w:val="14"/>
                <w:szCs w:val="14"/>
              </w:rPr>
            </w:pPr>
            <w:r w:rsidRPr="00C66416">
              <w:rPr>
                <w:sz w:val="14"/>
                <w:szCs w:val="14"/>
              </w:rPr>
              <w:t>16 – Medio Ambiente y Recursos Naturales</w:t>
            </w:r>
          </w:p>
        </w:tc>
        <w:tc>
          <w:tcPr>
            <w:tcW w:w="2052"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00</w:t>
            </w:r>
          </w:p>
        </w:tc>
        <w:tc>
          <w:tcPr>
            <w:tcW w:w="2101"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04</w:t>
            </w:r>
          </w:p>
        </w:tc>
      </w:tr>
      <w:tr w:rsidR="001B5252" w:rsidRPr="000E636B" w:rsidTr="001B5252">
        <w:trPr>
          <w:trHeight w:hRule="exact" w:val="234"/>
          <w:jc w:val="center"/>
        </w:trPr>
        <w:tc>
          <w:tcPr>
            <w:tcW w:w="657" w:type="dxa"/>
            <w:shd w:val="clear" w:color="auto" w:fill="D9D9D9" w:themeFill="background1" w:themeFillShade="D9"/>
            <w:noWrap/>
            <w:vAlign w:val="center"/>
          </w:tcPr>
          <w:p w:rsidR="001B5252" w:rsidRPr="00C66416" w:rsidRDefault="001B5252" w:rsidP="001B5252">
            <w:pPr>
              <w:pStyle w:val="Textocuadro"/>
              <w:rPr>
                <w:b/>
                <w:sz w:val="14"/>
                <w:szCs w:val="14"/>
              </w:rPr>
            </w:pPr>
          </w:p>
        </w:tc>
        <w:tc>
          <w:tcPr>
            <w:tcW w:w="2835" w:type="dxa"/>
            <w:shd w:val="clear" w:color="auto" w:fill="D9D9D9" w:themeFill="background1" w:themeFillShade="D9"/>
            <w:noWrap/>
            <w:vAlign w:val="center"/>
          </w:tcPr>
          <w:p w:rsidR="001B5252" w:rsidRPr="00C66416" w:rsidRDefault="001B5252" w:rsidP="001B5252">
            <w:pPr>
              <w:pStyle w:val="Textocuadro"/>
              <w:spacing w:before="0" w:after="120"/>
              <w:rPr>
                <w:b/>
                <w:sz w:val="14"/>
                <w:szCs w:val="14"/>
              </w:rPr>
            </w:pPr>
            <w:r w:rsidRPr="00C66416">
              <w:rPr>
                <w:b/>
                <w:sz w:val="14"/>
                <w:szCs w:val="14"/>
              </w:rPr>
              <w:t>Procesos</w:t>
            </w:r>
          </w:p>
        </w:tc>
        <w:tc>
          <w:tcPr>
            <w:tcW w:w="2052" w:type="dxa"/>
            <w:shd w:val="clear" w:color="auto" w:fill="D9D9D9" w:themeFill="background1" w:themeFillShade="D9"/>
            <w:noWrap/>
            <w:vAlign w:val="center"/>
          </w:tcPr>
          <w:p w:rsidR="001B5252" w:rsidRPr="00C66416" w:rsidRDefault="001B5252" w:rsidP="001B5252">
            <w:pPr>
              <w:pStyle w:val="Cirascentradas"/>
              <w:spacing w:before="0" w:after="120"/>
              <w:rPr>
                <w:b/>
                <w:sz w:val="14"/>
                <w:szCs w:val="14"/>
              </w:rPr>
            </w:pPr>
            <w:r w:rsidRPr="00C66416">
              <w:rPr>
                <w:b/>
                <w:sz w:val="14"/>
                <w:szCs w:val="14"/>
              </w:rPr>
              <w:t>00</w:t>
            </w:r>
          </w:p>
        </w:tc>
        <w:tc>
          <w:tcPr>
            <w:tcW w:w="2101" w:type="dxa"/>
            <w:shd w:val="clear" w:color="auto" w:fill="D9D9D9" w:themeFill="background1" w:themeFillShade="D9"/>
            <w:noWrap/>
            <w:vAlign w:val="center"/>
          </w:tcPr>
          <w:p w:rsidR="001B5252" w:rsidRPr="00C66416" w:rsidRDefault="001B5252" w:rsidP="001B5252">
            <w:pPr>
              <w:pStyle w:val="Cirascentradas"/>
              <w:spacing w:before="0" w:after="120"/>
              <w:rPr>
                <w:b/>
                <w:sz w:val="14"/>
                <w:szCs w:val="14"/>
              </w:rPr>
            </w:pPr>
            <w:r w:rsidRPr="00C66416">
              <w:rPr>
                <w:b/>
                <w:sz w:val="14"/>
                <w:szCs w:val="14"/>
              </w:rPr>
              <w:t>03</w:t>
            </w:r>
          </w:p>
        </w:tc>
      </w:tr>
      <w:tr w:rsidR="001B5252" w:rsidRPr="000E636B" w:rsidTr="001B5252">
        <w:trPr>
          <w:trHeight w:hRule="exact" w:val="454"/>
          <w:jc w:val="center"/>
        </w:trPr>
        <w:tc>
          <w:tcPr>
            <w:tcW w:w="657" w:type="dxa"/>
            <w:shd w:val="clear" w:color="auto" w:fill="auto"/>
            <w:noWrap/>
            <w:vAlign w:val="center"/>
          </w:tcPr>
          <w:p w:rsidR="001B5252" w:rsidRPr="00C66416" w:rsidRDefault="001B5252" w:rsidP="001B5252">
            <w:pPr>
              <w:pStyle w:val="Textocuadro"/>
              <w:rPr>
                <w:b/>
                <w:sz w:val="14"/>
                <w:szCs w:val="14"/>
              </w:rPr>
            </w:pPr>
          </w:p>
        </w:tc>
        <w:tc>
          <w:tcPr>
            <w:tcW w:w="2835" w:type="dxa"/>
            <w:shd w:val="clear" w:color="auto" w:fill="auto"/>
            <w:noWrap/>
            <w:vAlign w:val="center"/>
          </w:tcPr>
          <w:p w:rsidR="001B5252" w:rsidRPr="00C66416" w:rsidRDefault="001B5252" w:rsidP="001B5252">
            <w:pPr>
              <w:pStyle w:val="Textocuadro"/>
              <w:spacing w:before="0" w:after="120"/>
              <w:rPr>
                <w:sz w:val="14"/>
                <w:szCs w:val="14"/>
              </w:rPr>
            </w:pPr>
            <w:r w:rsidRPr="00C66416">
              <w:rPr>
                <w:sz w:val="14"/>
                <w:szCs w:val="14"/>
              </w:rPr>
              <w:t>08 – Agricultura, Ganadería, Desarrollo Rural, Pesca y Alimentación</w:t>
            </w:r>
          </w:p>
        </w:tc>
        <w:tc>
          <w:tcPr>
            <w:tcW w:w="2052"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00</w:t>
            </w:r>
          </w:p>
        </w:tc>
        <w:tc>
          <w:tcPr>
            <w:tcW w:w="2101"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01</w:t>
            </w:r>
          </w:p>
        </w:tc>
      </w:tr>
      <w:tr w:rsidR="001B5252" w:rsidRPr="000E636B" w:rsidTr="001B5252">
        <w:trPr>
          <w:trHeight w:hRule="exact" w:val="250"/>
          <w:jc w:val="center"/>
        </w:trPr>
        <w:tc>
          <w:tcPr>
            <w:tcW w:w="657" w:type="dxa"/>
            <w:shd w:val="clear" w:color="auto" w:fill="auto"/>
            <w:noWrap/>
            <w:vAlign w:val="center"/>
          </w:tcPr>
          <w:p w:rsidR="001B5252" w:rsidRPr="00C66416" w:rsidRDefault="001B5252" w:rsidP="001B5252">
            <w:pPr>
              <w:pStyle w:val="Textocuadro"/>
              <w:rPr>
                <w:b/>
                <w:sz w:val="14"/>
                <w:szCs w:val="14"/>
              </w:rPr>
            </w:pPr>
          </w:p>
        </w:tc>
        <w:tc>
          <w:tcPr>
            <w:tcW w:w="2835" w:type="dxa"/>
            <w:shd w:val="clear" w:color="auto" w:fill="auto"/>
            <w:noWrap/>
            <w:vAlign w:val="center"/>
          </w:tcPr>
          <w:p w:rsidR="001B5252" w:rsidRPr="00C66416" w:rsidRDefault="001B5252" w:rsidP="001B5252">
            <w:pPr>
              <w:pStyle w:val="Textocuadro"/>
              <w:spacing w:before="0" w:after="120"/>
              <w:rPr>
                <w:sz w:val="14"/>
                <w:szCs w:val="14"/>
              </w:rPr>
            </w:pPr>
            <w:r w:rsidRPr="00C66416">
              <w:rPr>
                <w:sz w:val="14"/>
                <w:szCs w:val="14"/>
              </w:rPr>
              <w:t>20 – Desarrollo Social</w:t>
            </w:r>
          </w:p>
        </w:tc>
        <w:tc>
          <w:tcPr>
            <w:tcW w:w="2052" w:type="dxa"/>
            <w:shd w:val="clear" w:color="auto" w:fill="auto"/>
            <w:noWrap/>
            <w:vAlign w:val="center"/>
          </w:tcPr>
          <w:p w:rsidR="001B5252" w:rsidRPr="00C66416" w:rsidRDefault="001B5252" w:rsidP="001B5252">
            <w:pPr>
              <w:pStyle w:val="Cirascentradas"/>
              <w:spacing w:before="0" w:after="120"/>
              <w:rPr>
                <w:sz w:val="14"/>
                <w:szCs w:val="14"/>
                <w:lang w:val="es-ES"/>
              </w:rPr>
            </w:pPr>
            <w:r w:rsidRPr="00C66416">
              <w:rPr>
                <w:sz w:val="14"/>
                <w:szCs w:val="14"/>
                <w:lang w:val="es-ES"/>
              </w:rPr>
              <w:t>00</w:t>
            </w:r>
          </w:p>
        </w:tc>
        <w:tc>
          <w:tcPr>
            <w:tcW w:w="2101" w:type="dxa"/>
            <w:shd w:val="clear" w:color="auto" w:fill="auto"/>
            <w:noWrap/>
            <w:vAlign w:val="center"/>
          </w:tcPr>
          <w:p w:rsidR="001B5252" w:rsidRPr="00C66416" w:rsidRDefault="001B5252" w:rsidP="001B5252">
            <w:pPr>
              <w:pStyle w:val="Cirascentradas"/>
              <w:spacing w:before="0" w:after="120"/>
              <w:rPr>
                <w:sz w:val="14"/>
                <w:szCs w:val="14"/>
                <w:lang w:val="es-ES"/>
              </w:rPr>
            </w:pPr>
            <w:r w:rsidRPr="00C66416">
              <w:rPr>
                <w:sz w:val="14"/>
                <w:szCs w:val="14"/>
                <w:lang w:val="es-ES"/>
              </w:rPr>
              <w:t>02</w:t>
            </w:r>
          </w:p>
        </w:tc>
      </w:tr>
      <w:tr w:rsidR="001B5252" w:rsidRPr="000E636B" w:rsidTr="001B5252">
        <w:trPr>
          <w:trHeight w:hRule="exact" w:val="282"/>
          <w:jc w:val="center"/>
        </w:trPr>
        <w:tc>
          <w:tcPr>
            <w:tcW w:w="657" w:type="dxa"/>
            <w:shd w:val="clear" w:color="auto" w:fill="D9D9D9" w:themeFill="background1" w:themeFillShade="D9"/>
            <w:noWrap/>
            <w:vAlign w:val="center"/>
          </w:tcPr>
          <w:p w:rsidR="001B5252" w:rsidRPr="00C66416" w:rsidRDefault="001B5252" w:rsidP="001B5252">
            <w:pPr>
              <w:pStyle w:val="Textocuadro"/>
              <w:rPr>
                <w:b/>
                <w:sz w:val="14"/>
                <w:szCs w:val="14"/>
              </w:rPr>
            </w:pPr>
          </w:p>
        </w:tc>
        <w:tc>
          <w:tcPr>
            <w:tcW w:w="2835" w:type="dxa"/>
            <w:shd w:val="clear" w:color="auto" w:fill="D9D9D9" w:themeFill="background1" w:themeFillShade="D9"/>
            <w:noWrap/>
            <w:vAlign w:val="center"/>
          </w:tcPr>
          <w:p w:rsidR="001B5252" w:rsidRPr="00C66416" w:rsidRDefault="001B5252" w:rsidP="001B5252">
            <w:pPr>
              <w:pStyle w:val="Textocuadro"/>
              <w:spacing w:before="0" w:after="120"/>
              <w:rPr>
                <w:b/>
                <w:sz w:val="14"/>
                <w:szCs w:val="14"/>
              </w:rPr>
            </w:pPr>
            <w:r w:rsidRPr="00C66416">
              <w:rPr>
                <w:b/>
                <w:sz w:val="14"/>
                <w:szCs w:val="14"/>
              </w:rPr>
              <w:t>Específica de Costo-Efectividad</w:t>
            </w:r>
          </w:p>
        </w:tc>
        <w:tc>
          <w:tcPr>
            <w:tcW w:w="2052" w:type="dxa"/>
            <w:shd w:val="clear" w:color="auto" w:fill="D9D9D9" w:themeFill="background1" w:themeFillShade="D9"/>
            <w:noWrap/>
            <w:vAlign w:val="center"/>
          </w:tcPr>
          <w:p w:rsidR="001B5252" w:rsidRPr="00C66416" w:rsidRDefault="001B5252" w:rsidP="001B5252">
            <w:pPr>
              <w:pStyle w:val="Cirascentradas"/>
              <w:spacing w:before="0" w:after="120"/>
              <w:rPr>
                <w:b/>
                <w:sz w:val="14"/>
                <w:szCs w:val="14"/>
              </w:rPr>
            </w:pPr>
            <w:r w:rsidRPr="00C66416">
              <w:rPr>
                <w:b/>
                <w:sz w:val="14"/>
                <w:szCs w:val="14"/>
              </w:rPr>
              <w:t>00</w:t>
            </w:r>
          </w:p>
        </w:tc>
        <w:tc>
          <w:tcPr>
            <w:tcW w:w="2101" w:type="dxa"/>
            <w:shd w:val="clear" w:color="auto" w:fill="D9D9D9" w:themeFill="background1" w:themeFillShade="D9"/>
            <w:noWrap/>
            <w:vAlign w:val="center"/>
          </w:tcPr>
          <w:p w:rsidR="001B5252" w:rsidRPr="00C66416" w:rsidRDefault="001B5252" w:rsidP="001B5252">
            <w:pPr>
              <w:pStyle w:val="Cirascentradas"/>
              <w:rPr>
                <w:sz w:val="14"/>
                <w:szCs w:val="14"/>
              </w:rPr>
            </w:pPr>
            <w:r w:rsidRPr="00C66416">
              <w:rPr>
                <w:b/>
                <w:sz w:val="14"/>
                <w:szCs w:val="14"/>
              </w:rPr>
              <w:t>01</w:t>
            </w:r>
          </w:p>
        </w:tc>
      </w:tr>
      <w:tr w:rsidR="001B5252" w:rsidRPr="000E636B" w:rsidTr="001B5252">
        <w:trPr>
          <w:trHeight w:hRule="exact" w:val="414"/>
          <w:jc w:val="center"/>
        </w:trPr>
        <w:tc>
          <w:tcPr>
            <w:tcW w:w="657" w:type="dxa"/>
            <w:shd w:val="clear" w:color="auto" w:fill="auto"/>
            <w:noWrap/>
            <w:vAlign w:val="center"/>
          </w:tcPr>
          <w:p w:rsidR="001B5252" w:rsidRPr="00C66416" w:rsidRDefault="001B5252" w:rsidP="001B5252">
            <w:pPr>
              <w:pStyle w:val="Textocuadro"/>
              <w:rPr>
                <w:b/>
                <w:sz w:val="14"/>
                <w:szCs w:val="14"/>
              </w:rPr>
            </w:pPr>
          </w:p>
        </w:tc>
        <w:tc>
          <w:tcPr>
            <w:tcW w:w="2835" w:type="dxa"/>
            <w:shd w:val="clear" w:color="auto" w:fill="auto"/>
            <w:noWrap/>
            <w:vAlign w:val="center"/>
          </w:tcPr>
          <w:p w:rsidR="001B5252" w:rsidRPr="00C66416" w:rsidRDefault="001B5252" w:rsidP="001B5252">
            <w:pPr>
              <w:pStyle w:val="Textocuadro"/>
              <w:spacing w:before="0" w:after="120"/>
              <w:rPr>
                <w:sz w:val="14"/>
                <w:szCs w:val="14"/>
              </w:rPr>
            </w:pPr>
            <w:r w:rsidRPr="00C66416">
              <w:rPr>
                <w:sz w:val="14"/>
                <w:szCs w:val="14"/>
              </w:rPr>
              <w:t>15 – Desarrollo Agrario, Territorial y Urbano</w:t>
            </w:r>
          </w:p>
        </w:tc>
        <w:tc>
          <w:tcPr>
            <w:tcW w:w="2052"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00</w:t>
            </w:r>
          </w:p>
        </w:tc>
        <w:tc>
          <w:tcPr>
            <w:tcW w:w="2101" w:type="dxa"/>
            <w:shd w:val="clear" w:color="auto" w:fill="auto"/>
            <w:noWrap/>
            <w:vAlign w:val="center"/>
          </w:tcPr>
          <w:p w:rsidR="001B5252" w:rsidRPr="00C66416" w:rsidRDefault="001B5252" w:rsidP="001B5252">
            <w:pPr>
              <w:pStyle w:val="Cirascentradas"/>
              <w:rPr>
                <w:sz w:val="14"/>
                <w:szCs w:val="14"/>
              </w:rPr>
            </w:pPr>
            <w:r w:rsidRPr="00C66416">
              <w:rPr>
                <w:sz w:val="14"/>
                <w:szCs w:val="14"/>
              </w:rPr>
              <w:t>01</w:t>
            </w:r>
          </w:p>
        </w:tc>
      </w:tr>
      <w:tr w:rsidR="001B5252" w:rsidRPr="00D72C46" w:rsidTr="001B5252">
        <w:trPr>
          <w:trHeight w:hRule="exact" w:val="227"/>
          <w:jc w:val="center"/>
        </w:trPr>
        <w:tc>
          <w:tcPr>
            <w:tcW w:w="3492" w:type="dxa"/>
            <w:gridSpan w:val="2"/>
            <w:shd w:val="clear" w:color="auto" w:fill="D9D9D9" w:themeFill="background1" w:themeFillShade="D9"/>
            <w:noWrap/>
            <w:vAlign w:val="center"/>
          </w:tcPr>
          <w:p w:rsidR="001B5252" w:rsidRPr="00C66416" w:rsidRDefault="001B5252" w:rsidP="001B5252">
            <w:pPr>
              <w:pStyle w:val="Textocuadroneg"/>
              <w:rPr>
                <w:bCs/>
                <w:sz w:val="14"/>
                <w:szCs w:val="14"/>
              </w:rPr>
            </w:pPr>
            <w:r w:rsidRPr="00C66416">
              <w:rPr>
                <w:bCs/>
                <w:sz w:val="14"/>
                <w:szCs w:val="14"/>
              </w:rPr>
              <w:t>COMPLEMENTARIAS</w:t>
            </w:r>
          </w:p>
          <w:p w:rsidR="001B5252" w:rsidRPr="00C66416" w:rsidDel="002E5590" w:rsidRDefault="001B5252" w:rsidP="001B5252">
            <w:pPr>
              <w:pStyle w:val="Textocuadro"/>
              <w:rPr>
                <w:b/>
                <w:color w:val="A6A6A6" w:themeColor="background1" w:themeShade="A6"/>
                <w:sz w:val="14"/>
                <w:szCs w:val="14"/>
              </w:rPr>
            </w:pPr>
          </w:p>
        </w:tc>
        <w:tc>
          <w:tcPr>
            <w:tcW w:w="2052" w:type="dxa"/>
            <w:shd w:val="clear" w:color="auto" w:fill="D9D9D9" w:themeFill="background1" w:themeFillShade="D9"/>
            <w:noWrap/>
            <w:vAlign w:val="center"/>
          </w:tcPr>
          <w:p w:rsidR="001B5252" w:rsidRPr="00C66416" w:rsidRDefault="001B5252" w:rsidP="001B5252">
            <w:pPr>
              <w:pStyle w:val="Cifrascentradasnegrita"/>
              <w:rPr>
                <w:sz w:val="14"/>
                <w:szCs w:val="14"/>
              </w:rPr>
            </w:pPr>
            <w:r w:rsidRPr="00C66416">
              <w:rPr>
                <w:sz w:val="14"/>
                <w:szCs w:val="14"/>
              </w:rPr>
              <w:t>01</w:t>
            </w:r>
          </w:p>
        </w:tc>
        <w:tc>
          <w:tcPr>
            <w:tcW w:w="2101" w:type="dxa"/>
            <w:shd w:val="clear" w:color="auto" w:fill="D9D9D9" w:themeFill="background1" w:themeFillShade="D9"/>
            <w:noWrap/>
            <w:vAlign w:val="center"/>
          </w:tcPr>
          <w:p w:rsidR="001B5252" w:rsidRPr="00C66416" w:rsidRDefault="001B5252" w:rsidP="001B5252">
            <w:pPr>
              <w:pStyle w:val="Cifrascentradasnegrita"/>
              <w:rPr>
                <w:sz w:val="14"/>
                <w:szCs w:val="14"/>
              </w:rPr>
            </w:pPr>
            <w:r w:rsidRPr="00C66416">
              <w:rPr>
                <w:sz w:val="14"/>
                <w:szCs w:val="14"/>
              </w:rPr>
              <w:t>03</w:t>
            </w:r>
          </w:p>
        </w:tc>
      </w:tr>
      <w:tr w:rsidR="001B5252" w:rsidRPr="00BB1912" w:rsidTr="001B5252">
        <w:trPr>
          <w:trHeight w:hRule="exact" w:val="68"/>
          <w:jc w:val="center"/>
        </w:trPr>
        <w:tc>
          <w:tcPr>
            <w:tcW w:w="657" w:type="dxa"/>
            <w:shd w:val="clear" w:color="auto" w:fill="auto"/>
            <w:noWrap/>
            <w:vAlign w:val="center"/>
          </w:tcPr>
          <w:p w:rsidR="001B5252" w:rsidRPr="00C66416" w:rsidRDefault="001B5252" w:rsidP="001B5252">
            <w:pPr>
              <w:pStyle w:val="Textocuadroneg"/>
              <w:rPr>
                <w:color w:val="A6A6A6" w:themeColor="background1" w:themeShade="A6"/>
                <w:sz w:val="14"/>
                <w:szCs w:val="14"/>
              </w:rPr>
            </w:pPr>
          </w:p>
        </w:tc>
        <w:tc>
          <w:tcPr>
            <w:tcW w:w="2835" w:type="dxa"/>
            <w:shd w:val="clear" w:color="auto" w:fill="auto"/>
            <w:noWrap/>
            <w:vAlign w:val="center"/>
          </w:tcPr>
          <w:p w:rsidR="001B5252" w:rsidRPr="00C66416" w:rsidDel="002E5590" w:rsidRDefault="001B5252" w:rsidP="001B5252">
            <w:pPr>
              <w:pStyle w:val="Textocuadro"/>
              <w:rPr>
                <w:color w:val="A6A6A6" w:themeColor="background1" w:themeShade="A6"/>
                <w:sz w:val="14"/>
                <w:szCs w:val="14"/>
              </w:rPr>
            </w:pPr>
          </w:p>
        </w:tc>
        <w:tc>
          <w:tcPr>
            <w:tcW w:w="2052" w:type="dxa"/>
            <w:shd w:val="clear" w:color="auto" w:fill="auto"/>
            <w:noWrap/>
            <w:vAlign w:val="center"/>
          </w:tcPr>
          <w:p w:rsidR="001B5252" w:rsidRPr="00C66416" w:rsidRDefault="001B5252" w:rsidP="001B5252">
            <w:pPr>
              <w:pStyle w:val="Cirascentradas"/>
              <w:rPr>
                <w:color w:val="A6A6A6" w:themeColor="background1" w:themeShade="A6"/>
                <w:sz w:val="14"/>
                <w:szCs w:val="14"/>
              </w:rPr>
            </w:pPr>
          </w:p>
        </w:tc>
        <w:tc>
          <w:tcPr>
            <w:tcW w:w="2101" w:type="dxa"/>
            <w:shd w:val="clear" w:color="auto" w:fill="auto"/>
            <w:noWrap/>
            <w:vAlign w:val="center"/>
          </w:tcPr>
          <w:p w:rsidR="001B5252" w:rsidRPr="00C66416" w:rsidRDefault="001B5252" w:rsidP="001B5252">
            <w:pPr>
              <w:pStyle w:val="Cirascentradas"/>
              <w:rPr>
                <w:color w:val="A6A6A6" w:themeColor="background1" w:themeShade="A6"/>
                <w:sz w:val="14"/>
                <w:szCs w:val="14"/>
              </w:rPr>
            </w:pPr>
          </w:p>
        </w:tc>
      </w:tr>
      <w:tr w:rsidR="001B5252" w:rsidRPr="000E636B" w:rsidTr="001B5252">
        <w:trPr>
          <w:trHeight w:hRule="exact" w:val="248"/>
          <w:jc w:val="center"/>
        </w:trPr>
        <w:tc>
          <w:tcPr>
            <w:tcW w:w="657" w:type="dxa"/>
            <w:shd w:val="clear" w:color="auto" w:fill="D9D9D9" w:themeFill="background1" w:themeFillShade="D9"/>
            <w:noWrap/>
            <w:vAlign w:val="center"/>
          </w:tcPr>
          <w:p w:rsidR="001B5252" w:rsidRPr="00C66416" w:rsidRDefault="001B5252" w:rsidP="001B5252">
            <w:pPr>
              <w:pStyle w:val="Textocuadro"/>
              <w:rPr>
                <w:sz w:val="14"/>
                <w:szCs w:val="14"/>
              </w:rPr>
            </w:pPr>
          </w:p>
        </w:tc>
        <w:tc>
          <w:tcPr>
            <w:tcW w:w="2835" w:type="dxa"/>
            <w:shd w:val="clear" w:color="auto" w:fill="D9D9D9" w:themeFill="background1" w:themeFillShade="D9"/>
            <w:noWrap/>
            <w:vAlign w:val="center"/>
          </w:tcPr>
          <w:p w:rsidR="001B5252" w:rsidRPr="00C66416" w:rsidRDefault="001B5252" w:rsidP="001B5252">
            <w:pPr>
              <w:pStyle w:val="Textocuadro"/>
              <w:spacing w:before="0" w:after="120"/>
              <w:rPr>
                <w:b/>
                <w:sz w:val="14"/>
                <w:szCs w:val="14"/>
              </w:rPr>
            </w:pPr>
            <w:r w:rsidRPr="00C66416">
              <w:rPr>
                <w:b/>
                <w:sz w:val="14"/>
                <w:szCs w:val="14"/>
              </w:rPr>
              <w:t>Diseño</w:t>
            </w:r>
          </w:p>
        </w:tc>
        <w:tc>
          <w:tcPr>
            <w:tcW w:w="2052" w:type="dxa"/>
            <w:shd w:val="clear" w:color="auto" w:fill="D9D9D9" w:themeFill="background1" w:themeFillShade="D9"/>
            <w:noWrap/>
            <w:vAlign w:val="center"/>
          </w:tcPr>
          <w:p w:rsidR="001B5252" w:rsidRPr="00C66416" w:rsidRDefault="001B5252" w:rsidP="001B5252">
            <w:pPr>
              <w:pStyle w:val="Cirascentradas"/>
              <w:spacing w:before="0" w:after="120"/>
              <w:rPr>
                <w:b/>
                <w:sz w:val="14"/>
                <w:szCs w:val="14"/>
              </w:rPr>
            </w:pPr>
            <w:r w:rsidRPr="00C66416">
              <w:rPr>
                <w:b/>
                <w:sz w:val="14"/>
                <w:szCs w:val="14"/>
              </w:rPr>
              <w:t>01</w:t>
            </w:r>
          </w:p>
        </w:tc>
        <w:tc>
          <w:tcPr>
            <w:tcW w:w="2101" w:type="dxa"/>
            <w:shd w:val="clear" w:color="auto" w:fill="D9D9D9" w:themeFill="background1" w:themeFillShade="D9"/>
            <w:noWrap/>
            <w:vAlign w:val="center"/>
          </w:tcPr>
          <w:p w:rsidR="001B5252" w:rsidRPr="00C66416" w:rsidRDefault="001B5252" w:rsidP="001B5252">
            <w:pPr>
              <w:pStyle w:val="Cirascentradas"/>
              <w:rPr>
                <w:b/>
                <w:sz w:val="14"/>
                <w:szCs w:val="14"/>
              </w:rPr>
            </w:pPr>
            <w:r w:rsidRPr="00C66416">
              <w:rPr>
                <w:b/>
                <w:sz w:val="14"/>
                <w:szCs w:val="14"/>
              </w:rPr>
              <w:t>01</w:t>
            </w:r>
          </w:p>
        </w:tc>
      </w:tr>
      <w:tr w:rsidR="001B5252" w:rsidRPr="000E636B" w:rsidTr="001B5252">
        <w:trPr>
          <w:trHeight w:hRule="exact" w:val="454"/>
          <w:jc w:val="center"/>
        </w:trPr>
        <w:tc>
          <w:tcPr>
            <w:tcW w:w="657" w:type="dxa"/>
            <w:shd w:val="clear" w:color="auto" w:fill="auto"/>
            <w:noWrap/>
            <w:vAlign w:val="center"/>
          </w:tcPr>
          <w:p w:rsidR="001B5252" w:rsidRPr="00C66416" w:rsidRDefault="001B5252" w:rsidP="001B5252">
            <w:pPr>
              <w:pStyle w:val="Textocuadro"/>
              <w:rPr>
                <w:sz w:val="14"/>
                <w:szCs w:val="14"/>
              </w:rPr>
            </w:pPr>
          </w:p>
        </w:tc>
        <w:tc>
          <w:tcPr>
            <w:tcW w:w="2835" w:type="dxa"/>
            <w:shd w:val="clear" w:color="auto" w:fill="auto"/>
            <w:noWrap/>
            <w:vAlign w:val="center"/>
          </w:tcPr>
          <w:p w:rsidR="001B5252" w:rsidRPr="00C66416" w:rsidRDefault="001B5252" w:rsidP="001B5252">
            <w:pPr>
              <w:pStyle w:val="Textocuadro"/>
              <w:spacing w:before="0" w:after="120"/>
              <w:rPr>
                <w:sz w:val="14"/>
                <w:szCs w:val="14"/>
              </w:rPr>
            </w:pPr>
            <w:r w:rsidRPr="00C66416">
              <w:rPr>
                <w:sz w:val="14"/>
                <w:szCs w:val="14"/>
              </w:rPr>
              <w:t>09 – Secretaría de Comunicaciones y Transportes</w:t>
            </w:r>
          </w:p>
        </w:tc>
        <w:tc>
          <w:tcPr>
            <w:tcW w:w="2052" w:type="dxa"/>
            <w:shd w:val="clear" w:color="auto" w:fill="auto"/>
            <w:noWrap/>
            <w:vAlign w:val="center"/>
          </w:tcPr>
          <w:p w:rsidR="001B5252" w:rsidRPr="00C66416" w:rsidRDefault="001B5252" w:rsidP="001B5252">
            <w:pPr>
              <w:pStyle w:val="Cirascentradas"/>
              <w:spacing w:before="0" w:after="120"/>
              <w:rPr>
                <w:sz w:val="14"/>
                <w:szCs w:val="14"/>
              </w:rPr>
            </w:pPr>
            <w:r w:rsidRPr="00C66416">
              <w:rPr>
                <w:sz w:val="14"/>
                <w:szCs w:val="14"/>
              </w:rPr>
              <w:t>01</w:t>
            </w:r>
          </w:p>
        </w:tc>
        <w:tc>
          <w:tcPr>
            <w:tcW w:w="2101" w:type="dxa"/>
            <w:shd w:val="clear" w:color="auto" w:fill="auto"/>
            <w:noWrap/>
            <w:vAlign w:val="center"/>
          </w:tcPr>
          <w:p w:rsidR="001B5252" w:rsidRPr="00C66416" w:rsidRDefault="001B5252" w:rsidP="001B5252">
            <w:pPr>
              <w:pStyle w:val="Cirascentradas"/>
              <w:rPr>
                <w:sz w:val="14"/>
                <w:szCs w:val="14"/>
              </w:rPr>
            </w:pPr>
            <w:r w:rsidRPr="00C66416">
              <w:rPr>
                <w:sz w:val="14"/>
                <w:szCs w:val="14"/>
              </w:rPr>
              <w:t>01</w:t>
            </w:r>
          </w:p>
        </w:tc>
      </w:tr>
      <w:tr w:rsidR="001B5252" w:rsidRPr="000E636B" w:rsidTr="001B5252">
        <w:trPr>
          <w:trHeight w:hRule="exact" w:val="258"/>
          <w:jc w:val="center"/>
        </w:trPr>
        <w:tc>
          <w:tcPr>
            <w:tcW w:w="657" w:type="dxa"/>
            <w:shd w:val="clear" w:color="auto" w:fill="D9D9D9" w:themeFill="background1" w:themeFillShade="D9"/>
            <w:noWrap/>
            <w:vAlign w:val="center"/>
          </w:tcPr>
          <w:p w:rsidR="001B5252" w:rsidRPr="00C66416" w:rsidRDefault="001B5252" w:rsidP="001B5252">
            <w:pPr>
              <w:pStyle w:val="Textocuadro"/>
              <w:rPr>
                <w:sz w:val="14"/>
                <w:szCs w:val="14"/>
              </w:rPr>
            </w:pPr>
          </w:p>
        </w:tc>
        <w:tc>
          <w:tcPr>
            <w:tcW w:w="2835" w:type="dxa"/>
            <w:shd w:val="clear" w:color="auto" w:fill="D9D9D9" w:themeFill="background1" w:themeFillShade="D9"/>
            <w:noWrap/>
            <w:vAlign w:val="center"/>
          </w:tcPr>
          <w:p w:rsidR="001B5252" w:rsidRPr="00C66416" w:rsidRDefault="001B5252" w:rsidP="001B5252">
            <w:pPr>
              <w:pStyle w:val="Textocuadro"/>
              <w:rPr>
                <w:b/>
                <w:sz w:val="14"/>
                <w:szCs w:val="14"/>
              </w:rPr>
            </w:pPr>
            <w:r w:rsidRPr="00C66416">
              <w:rPr>
                <w:b/>
                <w:sz w:val="14"/>
                <w:szCs w:val="14"/>
              </w:rPr>
              <w:t>Impacto</w:t>
            </w:r>
          </w:p>
        </w:tc>
        <w:tc>
          <w:tcPr>
            <w:tcW w:w="2052" w:type="dxa"/>
            <w:shd w:val="clear" w:color="auto" w:fill="D9D9D9" w:themeFill="background1" w:themeFillShade="D9"/>
            <w:noWrap/>
            <w:vAlign w:val="center"/>
          </w:tcPr>
          <w:p w:rsidR="001B5252" w:rsidRPr="00C66416" w:rsidRDefault="001B5252" w:rsidP="001B5252">
            <w:pPr>
              <w:pStyle w:val="Cirascentradas"/>
              <w:rPr>
                <w:b/>
                <w:sz w:val="14"/>
                <w:szCs w:val="14"/>
              </w:rPr>
            </w:pPr>
            <w:r w:rsidRPr="00C66416">
              <w:rPr>
                <w:b/>
                <w:sz w:val="14"/>
                <w:szCs w:val="14"/>
              </w:rPr>
              <w:t>00</w:t>
            </w:r>
          </w:p>
        </w:tc>
        <w:tc>
          <w:tcPr>
            <w:tcW w:w="2101" w:type="dxa"/>
            <w:shd w:val="clear" w:color="auto" w:fill="D9D9D9" w:themeFill="background1" w:themeFillShade="D9"/>
            <w:noWrap/>
            <w:vAlign w:val="center"/>
          </w:tcPr>
          <w:p w:rsidR="001B5252" w:rsidRPr="00C66416" w:rsidRDefault="001B5252" w:rsidP="001B5252">
            <w:pPr>
              <w:pStyle w:val="Cirascentradas"/>
              <w:rPr>
                <w:b/>
                <w:sz w:val="14"/>
                <w:szCs w:val="14"/>
              </w:rPr>
            </w:pPr>
            <w:r w:rsidRPr="00C66416">
              <w:rPr>
                <w:b/>
                <w:sz w:val="14"/>
                <w:szCs w:val="14"/>
              </w:rPr>
              <w:t>01</w:t>
            </w:r>
          </w:p>
        </w:tc>
      </w:tr>
      <w:tr w:rsidR="001B5252" w:rsidRPr="000E636B" w:rsidTr="001B5252">
        <w:trPr>
          <w:trHeight w:hRule="exact" w:val="276"/>
          <w:jc w:val="center"/>
        </w:trPr>
        <w:tc>
          <w:tcPr>
            <w:tcW w:w="657" w:type="dxa"/>
            <w:shd w:val="clear" w:color="auto" w:fill="auto"/>
            <w:noWrap/>
            <w:vAlign w:val="center"/>
          </w:tcPr>
          <w:p w:rsidR="001B5252" w:rsidRPr="00C66416" w:rsidRDefault="001B5252" w:rsidP="001B5252">
            <w:pPr>
              <w:pStyle w:val="Textocuadro"/>
              <w:rPr>
                <w:sz w:val="14"/>
                <w:szCs w:val="14"/>
              </w:rPr>
            </w:pPr>
          </w:p>
        </w:tc>
        <w:tc>
          <w:tcPr>
            <w:tcW w:w="2835" w:type="dxa"/>
            <w:shd w:val="clear" w:color="auto" w:fill="auto"/>
            <w:noWrap/>
            <w:vAlign w:val="center"/>
          </w:tcPr>
          <w:p w:rsidR="001B5252" w:rsidRPr="00C66416" w:rsidRDefault="001B5252" w:rsidP="001B5252">
            <w:pPr>
              <w:pStyle w:val="Textocuadro"/>
              <w:rPr>
                <w:sz w:val="14"/>
                <w:szCs w:val="14"/>
              </w:rPr>
            </w:pPr>
            <w:r w:rsidRPr="00C66416">
              <w:rPr>
                <w:sz w:val="14"/>
                <w:szCs w:val="14"/>
              </w:rPr>
              <w:t>14 – Trabajo y Previsión Social</w:t>
            </w:r>
          </w:p>
        </w:tc>
        <w:tc>
          <w:tcPr>
            <w:tcW w:w="2052" w:type="dxa"/>
            <w:shd w:val="clear" w:color="auto" w:fill="auto"/>
            <w:noWrap/>
            <w:vAlign w:val="center"/>
          </w:tcPr>
          <w:p w:rsidR="001B5252" w:rsidRPr="00C66416" w:rsidRDefault="001B5252" w:rsidP="001B5252">
            <w:pPr>
              <w:pStyle w:val="Cirascentradas"/>
              <w:rPr>
                <w:sz w:val="14"/>
                <w:szCs w:val="14"/>
              </w:rPr>
            </w:pPr>
            <w:r w:rsidRPr="00C66416">
              <w:rPr>
                <w:sz w:val="14"/>
                <w:szCs w:val="14"/>
              </w:rPr>
              <w:t>00</w:t>
            </w:r>
          </w:p>
        </w:tc>
        <w:tc>
          <w:tcPr>
            <w:tcW w:w="2101" w:type="dxa"/>
            <w:shd w:val="clear" w:color="auto" w:fill="auto"/>
            <w:noWrap/>
            <w:vAlign w:val="center"/>
          </w:tcPr>
          <w:p w:rsidR="001B5252" w:rsidRPr="00C66416" w:rsidRDefault="001B5252" w:rsidP="001B5252">
            <w:pPr>
              <w:pStyle w:val="Cirascentradas"/>
              <w:rPr>
                <w:sz w:val="14"/>
                <w:szCs w:val="14"/>
              </w:rPr>
            </w:pPr>
            <w:r w:rsidRPr="00C66416">
              <w:rPr>
                <w:sz w:val="14"/>
                <w:szCs w:val="14"/>
              </w:rPr>
              <w:t>01</w:t>
            </w:r>
          </w:p>
        </w:tc>
      </w:tr>
      <w:tr w:rsidR="001B5252" w:rsidRPr="000E636B" w:rsidTr="001B5252">
        <w:trPr>
          <w:trHeight w:hRule="exact" w:val="253"/>
          <w:jc w:val="center"/>
        </w:trPr>
        <w:tc>
          <w:tcPr>
            <w:tcW w:w="657" w:type="dxa"/>
            <w:shd w:val="clear" w:color="auto" w:fill="D9D9D9" w:themeFill="background1" w:themeFillShade="D9"/>
            <w:noWrap/>
            <w:vAlign w:val="center"/>
          </w:tcPr>
          <w:p w:rsidR="001B5252" w:rsidRPr="00C66416" w:rsidRDefault="001B5252" w:rsidP="001B5252">
            <w:pPr>
              <w:pStyle w:val="Textocuadro"/>
              <w:rPr>
                <w:sz w:val="14"/>
                <w:szCs w:val="14"/>
              </w:rPr>
            </w:pPr>
          </w:p>
        </w:tc>
        <w:tc>
          <w:tcPr>
            <w:tcW w:w="2835" w:type="dxa"/>
            <w:shd w:val="clear" w:color="auto" w:fill="D9D9D9" w:themeFill="background1" w:themeFillShade="D9"/>
            <w:noWrap/>
            <w:vAlign w:val="center"/>
          </w:tcPr>
          <w:p w:rsidR="001B5252" w:rsidRPr="00C66416" w:rsidRDefault="001B5252" w:rsidP="001B5252">
            <w:pPr>
              <w:pStyle w:val="Textocuadro"/>
              <w:rPr>
                <w:b/>
                <w:sz w:val="14"/>
                <w:szCs w:val="14"/>
              </w:rPr>
            </w:pPr>
            <w:r w:rsidRPr="00C66416">
              <w:rPr>
                <w:b/>
                <w:sz w:val="14"/>
                <w:szCs w:val="14"/>
              </w:rPr>
              <w:t>Consistencia y Resultados</w:t>
            </w:r>
          </w:p>
        </w:tc>
        <w:tc>
          <w:tcPr>
            <w:tcW w:w="2052" w:type="dxa"/>
            <w:shd w:val="clear" w:color="auto" w:fill="D9D9D9" w:themeFill="background1" w:themeFillShade="D9"/>
            <w:noWrap/>
            <w:vAlign w:val="center"/>
          </w:tcPr>
          <w:p w:rsidR="001B5252" w:rsidRPr="00C66416" w:rsidRDefault="001B5252" w:rsidP="001B5252">
            <w:pPr>
              <w:pStyle w:val="Cirascentradas"/>
              <w:rPr>
                <w:b/>
                <w:sz w:val="14"/>
                <w:szCs w:val="14"/>
              </w:rPr>
            </w:pPr>
            <w:r w:rsidRPr="00C66416">
              <w:rPr>
                <w:b/>
                <w:sz w:val="14"/>
                <w:szCs w:val="14"/>
              </w:rPr>
              <w:t>00</w:t>
            </w:r>
          </w:p>
        </w:tc>
        <w:tc>
          <w:tcPr>
            <w:tcW w:w="2101" w:type="dxa"/>
            <w:shd w:val="clear" w:color="auto" w:fill="D9D9D9" w:themeFill="background1" w:themeFillShade="D9"/>
            <w:noWrap/>
            <w:vAlign w:val="center"/>
          </w:tcPr>
          <w:p w:rsidR="001B5252" w:rsidRPr="00C66416" w:rsidRDefault="001B5252" w:rsidP="001B5252">
            <w:pPr>
              <w:pStyle w:val="Cirascentradas"/>
              <w:rPr>
                <w:b/>
                <w:sz w:val="14"/>
                <w:szCs w:val="14"/>
              </w:rPr>
            </w:pPr>
            <w:r w:rsidRPr="00C66416">
              <w:rPr>
                <w:b/>
                <w:sz w:val="14"/>
                <w:szCs w:val="14"/>
              </w:rPr>
              <w:t>01</w:t>
            </w:r>
          </w:p>
        </w:tc>
      </w:tr>
      <w:tr w:rsidR="001B5252" w:rsidRPr="000E636B" w:rsidTr="001B5252">
        <w:trPr>
          <w:trHeight w:hRule="exact" w:val="311"/>
          <w:jc w:val="center"/>
        </w:trPr>
        <w:tc>
          <w:tcPr>
            <w:tcW w:w="657" w:type="dxa"/>
            <w:tcBorders>
              <w:bottom w:val="single" w:sz="12" w:space="0" w:color="auto"/>
            </w:tcBorders>
            <w:shd w:val="clear" w:color="auto" w:fill="auto"/>
            <w:noWrap/>
            <w:vAlign w:val="center"/>
          </w:tcPr>
          <w:p w:rsidR="001B5252" w:rsidRPr="00C66416" w:rsidRDefault="001B5252" w:rsidP="001B5252">
            <w:pPr>
              <w:pStyle w:val="Textocuadro"/>
              <w:rPr>
                <w:sz w:val="14"/>
                <w:szCs w:val="14"/>
              </w:rPr>
            </w:pPr>
          </w:p>
        </w:tc>
        <w:tc>
          <w:tcPr>
            <w:tcW w:w="2835" w:type="dxa"/>
            <w:tcBorders>
              <w:bottom w:val="single" w:sz="12" w:space="0" w:color="auto"/>
            </w:tcBorders>
            <w:shd w:val="clear" w:color="auto" w:fill="auto"/>
            <w:noWrap/>
            <w:vAlign w:val="center"/>
          </w:tcPr>
          <w:p w:rsidR="001B5252" w:rsidRPr="00C66416" w:rsidRDefault="001B5252" w:rsidP="001B5252">
            <w:pPr>
              <w:pStyle w:val="Textocuadro"/>
              <w:rPr>
                <w:sz w:val="14"/>
                <w:szCs w:val="14"/>
              </w:rPr>
            </w:pPr>
            <w:r w:rsidRPr="00C66416">
              <w:rPr>
                <w:sz w:val="14"/>
                <w:szCs w:val="14"/>
              </w:rPr>
              <w:t>20 – Desarrollo Social</w:t>
            </w:r>
          </w:p>
        </w:tc>
        <w:tc>
          <w:tcPr>
            <w:tcW w:w="2052" w:type="dxa"/>
            <w:tcBorders>
              <w:bottom w:val="single" w:sz="12" w:space="0" w:color="auto"/>
            </w:tcBorders>
            <w:shd w:val="clear" w:color="auto" w:fill="auto"/>
            <w:noWrap/>
            <w:vAlign w:val="center"/>
          </w:tcPr>
          <w:p w:rsidR="001B5252" w:rsidRPr="00C66416" w:rsidRDefault="001B5252" w:rsidP="001B5252">
            <w:pPr>
              <w:pStyle w:val="Cirascentradas"/>
              <w:rPr>
                <w:sz w:val="14"/>
                <w:szCs w:val="14"/>
              </w:rPr>
            </w:pPr>
            <w:r w:rsidRPr="00C66416">
              <w:rPr>
                <w:sz w:val="14"/>
                <w:szCs w:val="14"/>
              </w:rPr>
              <w:t>00</w:t>
            </w:r>
          </w:p>
        </w:tc>
        <w:tc>
          <w:tcPr>
            <w:tcW w:w="2101" w:type="dxa"/>
            <w:tcBorders>
              <w:bottom w:val="single" w:sz="12" w:space="0" w:color="auto"/>
            </w:tcBorders>
            <w:shd w:val="clear" w:color="auto" w:fill="auto"/>
            <w:noWrap/>
            <w:vAlign w:val="center"/>
          </w:tcPr>
          <w:p w:rsidR="001B5252" w:rsidRPr="00C66416" w:rsidRDefault="001B5252" w:rsidP="001B5252">
            <w:pPr>
              <w:pStyle w:val="Cirascentradas"/>
              <w:rPr>
                <w:sz w:val="14"/>
                <w:szCs w:val="14"/>
              </w:rPr>
            </w:pPr>
            <w:r w:rsidRPr="00C66416">
              <w:rPr>
                <w:sz w:val="14"/>
                <w:szCs w:val="14"/>
              </w:rPr>
              <w:t>01</w:t>
            </w:r>
          </w:p>
        </w:tc>
      </w:tr>
    </w:tbl>
    <w:p w:rsidR="001B5252" w:rsidRPr="00FC7306" w:rsidRDefault="001B5252" w:rsidP="001B5252">
      <w:pPr>
        <w:pStyle w:val="Fuentecuadro1antes"/>
        <w:spacing w:after="120"/>
        <w:ind w:firstLine="567"/>
      </w:pPr>
      <w:r>
        <w:t>Fuente: Unidad de Evaluación del Desempeño con i</w:t>
      </w:r>
      <w:r w:rsidRPr="00FC7306">
        <w:t>nformación proporcionada por las dependencias y entidades de la Administración Pública Federal (APF).</w:t>
      </w:r>
    </w:p>
    <w:p w:rsidR="001B5252" w:rsidRPr="00FC7306" w:rsidRDefault="001B5252" w:rsidP="001B5252">
      <w:pPr>
        <w:pStyle w:val="Cdetexto"/>
        <w:rPr>
          <w:lang w:val="es-MX"/>
        </w:rPr>
      </w:pPr>
    </w:p>
    <w:p w:rsidR="001B5252" w:rsidRPr="00FC7306" w:rsidRDefault="001B5252" w:rsidP="001B5252">
      <w:pPr>
        <w:pStyle w:val="Cdetexto"/>
      </w:pPr>
      <w:r w:rsidRPr="00FC7306">
        <w:t xml:space="preserve">A continuación, se presenta una síntesis de los resultados de </w:t>
      </w:r>
      <w:r>
        <w:t>las evaluaciones</w:t>
      </w:r>
      <w:r w:rsidRPr="00FC7306">
        <w:t>, así como de sus principales hallazgos y recomendaciones, clasificados por tipo de evaluación.</w:t>
      </w:r>
    </w:p>
    <w:p w:rsidR="001B5252" w:rsidRDefault="001B5252" w:rsidP="001B5252">
      <w:pPr>
        <w:pStyle w:val="Ttulo3"/>
        <w:spacing w:after="120"/>
      </w:pPr>
    </w:p>
    <w:p w:rsidR="001B5252" w:rsidRDefault="001B5252" w:rsidP="001B5252">
      <w:pPr>
        <w:spacing w:after="0"/>
        <w:rPr>
          <w:rFonts w:eastAsiaTheme="majorEastAsia" w:cstheme="majorBidi"/>
          <w:b/>
          <w:bCs/>
          <w:szCs w:val="22"/>
          <w:lang w:val="es-MX" w:eastAsia="en-US"/>
        </w:rPr>
      </w:pPr>
      <w:r>
        <w:br w:type="page"/>
      </w:r>
    </w:p>
    <w:p w:rsidR="001B5252" w:rsidRPr="00FC7306" w:rsidRDefault="001B5252" w:rsidP="001B5252">
      <w:pPr>
        <w:pStyle w:val="Ttulo3"/>
        <w:spacing w:after="120"/>
      </w:pPr>
      <w:bookmarkStart w:id="3" w:name="_Toc456894635"/>
      <w:r w:rsidRPr="00FC7306">
        <w:lastRenderedPageBreak/>
        <w:t>EVALUACI</w:t>
      </w:r>
      <w:r>
        <w:t>ÓN ESPECÍFICA</w:t>
      </w:r>
      <w:r w:rsidRPr="00FC7306">
        <w:t xml:space="preserve"> DE COSTO-EFECTIVIDAD</w:t>
      </w:r>
      <w:bookmarkEnd w:id="3"/>
    </w:p>
    <w:p w:rsidR="001B5252" w:rsidRPr="00FC7306" w:rsidRDefault="001B5252" w:rsidP="001B5252">
      <w:pPr>
        <w:pStyle w:val="Cdetextonegrita"/>
        <w:rPr>
          <w:szCs w:val="22"/>
        </w:rPr>
      </w:pPr>
      <w:r w:rsidRPr="00FC7306">
        <w:rPr>
          <w:szCs w:val="22"/>
        </w:rPr>
        <w:t>Introducción</w:t>
      </w:r>
    </w:p>
    <w:p w:rsidR="001B5252" w:rsidRPr="00FC7306" w:rsidRDefault="001B5252" w:rsidP="001B5252">
      <w:pPr>
        <w:pStyle w:val="Cdetexto"/>
        <w:rPr>
          <w:szCs w:val="22"/>
        </w:rPr>
      </w:pPr>
      <w:r>
        <w:rPr>
          <w:szCs w:val="22"/>
        </w:rPr>
        <w:t>De manera</w:t>
      </w:r>
      <w:r w:rsidRPr="00FC7306">
        <w:rPr>
          <w:szCs w:val="22"/>
        </w:rPr>
        <w:t xml:space="preserve"> general, la Evaluación Específica de Costo-Efectividad (EECE) es un análisis que compara diversas intervenciones o alternativas</w:t>
      </w:r>
      <w:r>
        <w:rPr>
          <w:szCs w:val="22"/>
        </w:rPr>
        <w:t xml:space="preserve"> de intervención,</w:t>
      </w:r>
      <w:r w:rsidRPr="00FC7306">
        <w:rPr>
          <w:szCs w:val="22"/>
        </w:rPr>
        <w:t xml:space="preserve"> en términos de los costos de implementación y del logro de los resultados previstos o de los impactos obtenidos. En consecuencia, el análisis </w:t>
      </w:r>
      <w:r w:rsidRPr="001D5EDD">
        <w:rPr>
          <w:i/>
          <w:szCs w:val="22"/>
        </w:rPr>
        <w:t>ex post</w:t>
      </w:r>
      <w:r>
        <w:rPr>
          <w:szCs w:val="22"/>
        </w:rPr>
        <w:t xml:space="preserve"> </w:t>
      </w:r>
      <w:r w:rsidRPr="00FC7306">
        <w:rPr>
          <w:szCs w:val="22"/>
        </w:rPr>
        <w:t xml:space="preserve">se centra en cuánto costó la intervención o las intervenciones, qué resultados se obtuvieron y si los beneficios obtenidos fueron mayores a los costos. En el proceso de evaluación resulta útil comparar los resultados de costo-efectividad obtenidos </w:t>
      </w:r>
      <w:r w:rsidRPr="001D5EDD">
        <w:rPr>
          <w:i/>
          <w:szCs w:val="22"/>
        </w:rPr>
        <w:t>ex post</w:t>
      </w:r>
      <w:r w:rsidRPr="00FC7306">
        <w:rPr>
          <w:szCs w:val="22"/>
        </w:rPr>
        <w:t xml:space="preserve"> con los esperados </w:t>
      </w:r>
      <w:r w:rsidRPr="001D5EDD">
        <w:rPr>
          <w:i/>
          <w:szCs w:val="22"/>
        </w:rPr>
        <w:t>ex ante</w:t>
      </w:r>
      <w:r w:rsidRPr="00FC7306">
        <w:rPr>
          <w:szCs w:val="22"/>
        </w:rPr>
        <w:t xml:space="preserve">. Adicionalmente, las EECE deberán contar con la realización previa o paralela de evaluaciones </w:t>
      </w:r>
      <w:r>
        <w:rPr>
          <w:szCs w:val="22"/>
        </w:rPr>
        <w:t xml:space="preserve">en materia </w:t>
      </w:r>
      <w:r w:rsidRPr="00FC7306">
        <w:rPr>
          <w:szCs w:val="22"/>
        </w:rPr>
        <w:t>de diseño, procesos e impacto para enriquecerlas.</w:t>
      </w:r>
    </w:p>
    <w:p w:rsidR="001B5252" w:rsidRPr="00FC7306" w:rsidRDefault="001B5252" w:rsidP="001B5252">
      <w:pPr>
        <w:pStyle w:val="Cdetextonegrita"/>
        <w:rPr>
          <w:szCs w:val="22"/>
        </w:rPr>
      </w:pPr>
      <w:r w:rsidRPr="00FC7306">
        <w:rPr>
          <w:szCs w:val="22"/>
        </w:rPr>
        <w:t>Objetivo General</w:t>
      </w:r>
    </w:p>
    <w:p w:rsidR="001B5252" w:rsidRPr="00FC7306" w:rsidRDefault="001B5252" w:rsidP="001B5252">
      <w:pPr>
        <w:pStyle w:val="Cdetexto"/>
        <w:rPr>
          <w:szCs w:val="22"/>
        </w:rPr>
      </w:pPr>
      <w:r>
        <w:rPr>
          <w:rFonts w:cs="Calibri"/>
        </w:rPr>
        <w:t>A</w:t>
      </w:r>
      <w:r w:rsidRPr="00AC18CE">
        <w:rPr>
          <w:rFonts w:cs="Calibri"/>
        </w:rPr>
        <w:t>nalizar el costo de la intervención y los resultados que se obtuvieron (</w:t>
      </w:r>
      <w:r w:rsidRPr="001D5EDD">
        <w:rPr>
          <w:rFonts w:cs="Calibri"/>
          <w:i/>
        </w:rPr>
        <w:t>ex post</w:t>
      </w:r>
      <w:r w:rsidRPr="00AC18CE">
        <w:rPr>
          <w:rFonts w:cs="Calibri"/>
        </w:rPr>
        <w:t>)</w:t>
      </w:r>
      <w:r>
        <w:rPr>
          <w:rFonts w:cs="Calibri"/>
        </w:rPr>
        <w:t>,</w:t>
      </w:r>
      <w:r w:rsidRPr="00AC18CE">
        <w:rPr>
          <w:rFonts w:cs="Calibri"/>
        </w:rPr>
        <w:t xml:space="preserve"> </w:t>
      </w:r>
      <w:r>
        <w:rPr>
          <w:rFonts w:cs="Calibri"/>
        </w:rPr>
        <w:t>a</w:t>
      </w:r>
      <w:r w:rsidRPr="00AC18CE">
        <w:rPr>
          <w:rFonts w:cs="Calibri"/>
        </w:rPr>
        <w:t xml:space="preserve"> través del uso de metodologías cuantitativas y cualitativas rigurosas que provean de resultados que permitan comparar el costo</w:t>
      </w:r>
      <w:r>
        <w:rPr>
          <w:rFonts w:cs="Calibri"/>
        </w:rPr>
        <w:t xml:space="preserve"> con los impactos o resultados obtenidos</w:t>
      </w:r>
      <w:r w:rsidRPr="00FC7306">
        <w:rPr>
          <w:szCs w:val="22"/>
        </w:rPr>
        <w:t>.</w:t>
      </w:r>
    </w:p>
    <w:p w:rsidR="001B5252" w:rsidRPr="00FC7306" w:rsidRDefault="001B5252" w:rsidP="001B5252">
      <w:pPr>
        <w:pStyle w:val="Cdetextonegrita"/>
      </w:pPr>
      <w:r w:rsidRPr="00FC7306">
        <w:t>Objetivos específicos</w:t>
      </w:r>
    </w:p>
    <w:p w:rsidR="001B5252" w:rsidRPr="00FC7306" w:rsidRDefault="001B5252" w:rsidP="001B5252">
      <w:pPr>
        <w:pStyle w:val="Cdetexto"/>
        <w:rPr>
          <w:rFonts w:eastAsia="Calibri"/>
          <w:szCs w:val="22"/>
        </w:rPr>
      </w:pPr>
      <w:r w:rsidRPr="00FC7306">
        <w:rPr>
          <w:rFonts w:eastAsia="Calibri"/>
          <w:szCs w:val="22"/>
        </w:rPr>
        <w:t xml:space="preserve">La dependencia deberá establecer con mayor precisión y detalle para cada uno de los Pp considerados, los propósitos concretos que deben alcanzarse. En general se deben </w:t>
      </w:r>
      <w:r>
        <w:rPr>
          <w:rFonts w:eastAsia="Calibri"/>
          <w:szCs w:val="22"/>
        </w:rPr>
        <w:t>lograr</w:t>
      </w:r>
      <w:r w:rsidRPr="00FC7306">
        <w:rPr>
          <w:rFonts w:eastAsia="Calibri"/>
          <w:szCs w:val="22"/>
        </w:rPr>
        <w:t xml:space="preserve"> los siguientes objetivos </w:t>
      </w:r>
      <w:r>
        <w:rPr>
          <w:rFonts w:eastAsia="Calibri"/>
          <w:szCs w:val="22"/>
        </w:rPr>
        <w:t>específicos</w:t>
      </w:r>
      <w:r w:rsidRPr="00FC7306">
        <w:rPr>
          <w:rFonts w:eastAsia="Calibri"/>
          <w:szCs w:val="22"/>
        </w:rPr>
        <w:t>:</w:t>
      </w:r>
    </w:p>
    <w:p w:rsidR="001B5252" w:rsidRPr="00FC7306" w:rsidRDefault="001B5252" w:rsidP="001B5252">
      <w:pPr>
        <w:pStyle w:val="Bala1"/>
        <w:numPr>
          <w:ilvl w:val="0"/>
          <w:numId w:val="16"/>
        </w:numPr>
        <w:ind w:left="714" w:hanging="357"/>
      </w:pPr>
      <w:r w:rsidRPr="00FC7306">
        <w:t>Medir el costo de la intervención o intervenciones.</w:t>
      </w:r>
    </w:p>
    <w:p w:rsidR="001B5252" w:rsidRPr="00FC7306" w:rsidRDefault="001B5252" w:rsidP="001B5252">
      <w:pPr>
        <w:pStyle w:val="Bala1"/>
        <w:numPr>
          <w:ilvl w:val="0"/>
          <w:numId w:val="16"/>
        </w:numPr>
        <w:ind w:left="714" w:hanging="357"/>
      </w:pPr>
      <w:r w:rsidRPr="00FC7306">
        <w:t>Medir el costo promedio por beneficiario del Pp.</w:t>
      </w:r>
    </w:p>
    <w:p w:rsidR="001B5252" w:rsidRPr="00FC7306" w:rsidRDefault="001B5252" w:rsidP="001B5252">
      <w:pPr>
        <w:pStyle w:val="Bala1"/>
        <w:numPr>
          <w:ilvl w:val="0"/>
          <w:numId w:val="16"/>
        </w:numPr>
        <w:ind w:left="714" w:hanging="357"/>
      </w:pPr>
      <w:r w:rsidRPr="00FC7306">
        <w:t>Medir el costo marginal de la intervención o intervenciones.</w:t>
      </w:r>
    </w:p>
    <w:p w:rsidR="001B5252" w:rsidRPr="00FC7306" w:rsidRDefault="001B5252" w:rsidP="001B5252">
      <w:pPr>
        <w:pStyle w:val="Bala1"/>
        <w:numPr>
          <w:ilvl w:val="0"/>
          <w:numId w:val="16"/>
        </w:numPr>
        <w:ind w:left="714" w:hanging="357"/>
      </w:pPr>
      <w:r w:rsidRPr="00FC7306">
        <w:t>Medir el costo administrativo y/o de operación del Pp sobre el total del presupuesto ejercido.</w:t>
      </w:r>
    </w:p>
    <w:p w:rsidR="001B5252" w:rsidRPr="00FC7306" w:rsidRDefault="001B5252" w:rsidP="001B5252">
      <w:pPr>
        <w:pStyle w:val="Bala1"/>
        <w:numPr>
          <w:ilvl w:val="0"/>
          <w:numId w:val="16"/>
        </w:numPr>
        <w:ind w:left="714" w:hanging="357"/>
      </w:pPr>
      <w:r w:rsidRPr="00FC7306">
        <w:t>Medir los resultados logrados</w:t>
      </w:r>
      <w:r>
        <w:t xml:space="preserve"> por el Pp y compararlos </w:t>
      </w:r>
      <w:r w:rsidRPr="00FC7306">
        <w:t>con los costos incurridos.</w:t>
      </w:r>
    </w:p>
    <w:p w:rsidR="001B5252" w:rsidRPr="00FC7306" w:rsidRDefault="001B5252" w:rsidP="001B5252">
      <w:pPr>
        <w:pStyle w:val="Bala1"/>
        <w:numPr>
          <w:ilvl w:val="0"/>
          <w:numId w:val="16"/>
        </w:numPr>
        <w:ind w:left="714" w:hanging="357"/>
      </w:pPr>
      <w:r w:rsidRPr="00FC7306">
        <w:t>Comparar las mediciones de costo-efectividad obtenid</w:t>
      </w:r>
      <w:r>
        <w:t>as</w:t>
      </w:r>
      <w:r w:rsidRPr="00FC7306">
        <w:t xml:space="preserve"> </w:t>
      </w:r>
      <w:r w:rsidRPr="009D53AF">
        <w:rPr>
          <w:i/>
        </w:rPr>
        <w:t>ex post</w:t>
      </w:r>
      <w:r w:rsidRPr="00FC7306">
        <w:t xml:space="preserve"> con las de costo-efectividad previst</w:t>
      </w:r>
      <w:r>
        <w:t>as</w:t>
      </w:r>
      <w:r w:rsidRPr="00FC7306">
        <w:t xml:space="preserve"> </w:t>
      </w:r>
      <w:r w:rsidRPr="009D53AF">
        <w:rPr>
          <w:i/>
        </w:rPr>
        <w:t>ex ante</w:t>
      </w:r>
      <w:r w:rsidRPr="00FC7306">
        <w:t>.</w:t>
      </w:r>
    </w:p>
    <w:p w:rsidR="001B5252" w:rsidRPr="00FC7306" w:rsidRDefault="001B5252" w:rsidP="001B5252">
      <w:pPr>
        <w:pStyle w:val="Bala1"/>
        <w:numPr>
          <w:ilvl w:val="0"/>
          <w:numId w:val="16"/>
        </w:numPr>
        <w:ind w:left="714" w:hanging="357"/>
      </w:pPr>
      <w:r w:rsidRPr="00FC7306">
        <w:t>Comparar los resultados obtenidos por el Pp</w:t>
      </w:r>
      <w:r>
        <w:t xml:space="preserve"> evaluado</w:t>
      </w:r>
      <w:r w:rsidRPr="00FC7306">
        <w:t xml:space="preserve"> </w:t>
      </w:r>
      <w:r>
        <w:t>respecto de otros Pp</w:t>
      </w:r>
      <w:r w:rsidRPr="00FC7306">
        <w:t xml:space="preserve"> similares a nivel internacional.</w:t>
      </w:r>
    </w:p>
    <w:p w:rsidR="001B5252" w:rsidRDefault="001B5252" w:rsidP="001B5252">
      <w:pPr>
        <w:pStyle w:val="Cdetexto"/>
        <w:rPr>
          <w:szCs w:val="22"/>
        </w:rPr>
      </w:pPr>
      <w:r w:rsidRPr="00FC7306">
        <w:t xml:space="preserve">En el </w:t>
      </w:r>
      <w:r>
        <w:t>segundo</w:t>
      </w:r>
      <w:r w:rsidRPr="00FC7306">
        <w:t xml:space="preserve"> trimestre de 2016 se entregó a la SHCP una EECE aplicada al Pp </w:t>
      </w:r>
      <w:r>
        <w:t xml:space="preserve">E022 </w:t>
      </w:r>
      <w:r w:rsidRPr="002A295D">
        <w:t xml:space="preserve">Operación </w:t>
      </w:r>
      <w:r>
        <w:t>y Conservación d</w:t>
      </w:r>
      <w:r w:rsidRPr="002A295D">
        <w:t>e Infraestructura Ferroviaria</w:t>
      </w:r>
      <w:r>
        <w:t>,</w:t>
      </w:r>
      <w:r w:rsidRPr="00FC7306">
        <w:t xml:space="preserve"> </w:t>
      </w:r>
      <w:r>
        <w:rPr>
          <w:szCs w:val="22"/>
        </w:rPr>
        <w:t>correspondiente a</w:t>
      </w:r>
      <w:r w:rsidRPr="00FC7306">
        <w:rPr>
          <w:szCs w:val="22"/>
        </w:rPr>
        <w:t xml:space="preserve">l Ramo </w:t>
      </w:r>
      <w:r>
        <w:rPr>
          <w:szCs w:val="22"/>
        </w:rPr>
        <w:t>09</w:t>
      </w:r>
      <w:r w:rsidRPr="00FC7306">
        <w:t>, la cual se resume a continuación</w:t>
      </w:r>
      <w:r>
        <w:rPr>
          <w:szCs w:val="22"/>
        </w:rPr>
        <w:t>:</w:t>
      </w:r>
    </w:p>
    <w:p w:rsidR="001B5252" w:rsidRDefault="001B5252" w:rsidP="001B5252">
      <w:pPr>
        <w:pStyle w:val="Cdetexto"/>
        <w:rPr>
          <w:szCs w:val="22"/>
        </w:rPr>
      </w:pPr>
    </w:p>
    <w:p w:rsidR="001B5252" w:rsidRDefault="001B5252" w:rsidP="001B5252">
      <w:pPr>
        <w:pStyle w:val="Cdetexto"/>
        <w:rPr>
          <w:szCs w:val="22"/>
        </w:rPr>
      </w:pPr>
    </w:p>
    <w:p w:rsidR="001B5252" w:rsidRDefault="001B5252" w:rsidP="001B5252">
      <w:pPr>
        <w:pStyle w:val="Cdetexto"/>
        <w:rPr>
          <w:szCs w:val="22"/>
        </w:rPr>
      </w:pPr>
    </w:p>
    <w:p w:rsidR="001B5252" w:rsidRDefault="001B5252" w:rsidP="001B5252">
      <w:pPr>
        <w:pStyle w:val="Cdetexto"/>
        <w:rPr>
          <w:szCs w:val="22"/>
        </w:rPr>
      </w:pPr>
    </w:p>
    <w:p w:rsidR="001B5252" w:rsidRDefault="001B5252" w:rsidP="001B5252">
      <w:pPr>
        <w:pStyle w:val="Cdetexto"/>
        <w:rPr>
          <w:szCs w:val="22"/>
        </w:rPr>
      </w:pPr>
    </w:p>
    <w:p w:rsidR="001B5252" w:rsidRPr="00FC7306" w:rsidRDefault="001B5252" w:rsidP="001B5252">
      <w:pPr>
        <w:pStyle w:val="Cdetexto"/>
      </w:pP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1B5252" w:rsidRPr="00FC7306" w:rsidTr="00C66416">
        <w:trPr>
          <w:trHeight w:val="296"/>
          <w:jc w:val="center"/>
        </w:trPr>
        <w:tc>
          <w:tcPr>
            <w:tcW w:w="10065" w:type="dxa"/>
            <w:gridSpan w:val="5"/>
            <w:shd w:val="clear" w:color="auto" w:fill="D6E3BC" w:themeFill="accent3" w:themeFillTint="66"/>
          </w:tcPr>
          <w:p w:rsidR="001B5252" w:rsidRPr="00FC7306" w:rsidRDefault="001B5252" w:rsidP="00C66416">
            <w:pPr>
              <w:spacing w:before="120"/>
              <w:contextualSpacing/>
              <w:rPr>
                <w:sz w:val="18"/>
                <w:lang w:val="es-MX"/>
              </w:rPr>
            </w:pPr>
            <w:r w:rsidRPr="00FC7306">
              <w:rPr>
                <w:sz w:val="18"/>
                <w:lang w:val="es-MX"/>
              </w:rPr>
              <w:lastRenderedPageBreak/>
              <w:br w:type="page"/>
              <w:t xml:space="preserve">Ramo </w:t>
            </w:r>
            <w:r>
              <w:rPr>
                <w:sz w:val="18"/>
                <w:lang w:val="es-MX"/>
              </w:rPr>
              <w:t>09</w:t>
            </w:r>
            <w:r w:rsidRPr="00FC7306">
              <w:rPr>
                <w:sz w:val="18"/>
                <w:lang w:val="es-MX"/>
              </w:rPr>
              <w:t xml:space="preserve">. </w:t>
            </w:r>
            <w:r>
              <w:rPr>
                <w:sz w:val="18"/>
                <w:lang w:val="es-MX"/>
              </w:rPr>
              <w:t>Comunicaciones y Transportes</w:t>
            </w:r>
          </w:p>
        </w:tc>
      </w:tr>
      <w:tr w:rsidR="001B5252" w:rsidRPr="00FC7306" w:rsidTr="00C66416">
        <w:trPr>
          <w:jc w:val="center"/>
        </w:trPr>
        <w:tc>
          <w:tcPr>
            <w:tcW w:w="1359" w:type="dxa"/>
            <w:shd w:val="clear" w:color="auto" w:fill="D9D9D9" w:themeFill="background1" w:themeFillShade="D9"/>
          </w:tcPr>
          <w:p w:rsidR="001B5252" w:rsidRPr="00FC7306" w:rsidRDefault="001B5252" w:rsidP="00C66416">
            <w:pPr>
              <w:spacing w:before="20"/>
              <w:rPr>
                <w:b/>
                <w:sz w:val="16"/>
                <w:lang w:val="es-ES"/>
              </w:rPr>
            </w:pPr>
            <w:r w:rsidRPr="00FC7306">
              <w:rPr>
                <w:b/>
                <w:sz w:val="16"/>
                <w:lang w:val="es-ES"/>
              </w:rPr>
              <w:t>Clave del Pp:</w:t>
            </w:r>
          </w:p>
        </w:tc>
        <w:tc>
          <w:tcPr>
            <w:tcW w:w="734" w:type="dxa"/>
            <w:shd w:val="clear" w:color="auto" w:fill="D9D9D9" w:themeFill="background1" w:themeFillShade="D9"/>
          </w:tcPr>
          <w:p w:rsidR="001B5252" w:rsidRPr="00FC7306" w:rsidRDefault="001B5252" w:rsidP="00C66416">
            <w:pPr>
              <w:contextualSpacing/>
              <w:rPr>
                <w:sz w:val="16"/>
                <w:szCs w:val="16"/>
                <w:lang w:val="es-ES" w:eastAsia="en-US"/>
              </w:rPr>
            </w:pPr>
            <w:r>
              <w:rPr>
                <w:sz w:val="16"/>
                <w:szCs w:val="16"/>
                <w:lang w:val="es-ES" w:eastAsia="en-US"/>
              </w:rPr>
              <w:t>E022</w:t>
            </w:r>
          </w:p>
        </w:tc>
        <w:tc>
          <w:tcPr>
            <w:tcW w:w="1701" w:type="dxa"/>
            <w:gridSpan w:val="2"/>
            <w:shd w:val="clear" w:color="auto" w:fill="D9D9D9" w:themeFill="background1" w:themeFillShade="D9"/>
          </w:tcPr>
          <w:p w:rsidR="001B5252" w:rsidRPr="00FC7306" w:rsidRDefault="001B5252" w:rsidP="00C66416">
            <w:pPr>
              <w:spacing w:before="20"/>
              <w:rPr>
                <w:b/>
                <w:sz w:val="16"/>
                <w:lang w:val="es-ES"/>
              </w:rPr>
            </w:pPr>
            <w:r w:rsidRPr="00FC7306">
              <w:rPr>
                <w:b/>
                <w:sz w:val="16"/>
                <w:lang w:val="es-ES"/>
              </w:rPr>
              <w:t>Denominación:</w:t>
            </w:r>
          </w:p>
        </w:tc>
        <w:tc>
          <w:tcPr>
            <w:tcW w:w="6271" w:type="dxa"/>
            <w:shd w:val="clear" w:color="auto" w:fill="D9D9D9" w:themeFill="background1" w:themeFillShade="D9"/>
          </w:tcPr>
          <w:p w:rsidR="001B5252" w:rsidRPr="00FC7306" w:rsidRDefault="001B5252" w:rsidP="00C66416">
            <w:pPr>
              <w:contextualSpacing/>
              <w:rPr>
                <w:sz w:val="16"/>
                <w:szCs w:val="16"/>
                <w:lang w:val="es-ES" w:eastAsia="en-US"/>
              </w:rPr>
            </w:pPr>
            <w:r w:rsidRPr="002A295D">
              <w:rPr>
                <w:sz w:val="16"/>
                <w:szCs w:val="16"/>
                <w:lang w:val="es-ES" w:eastAsia="en-US"/>
              </w:rPr>
              <w:t>Operación de Infraestructura Ferroviaria</w:t>
            </w:r>
            <w:r w:rsidRPr="00FC7306">
              <w:rPr>
                <w:rStyle w:val="Refdenotaalpie"/>
                <w:sz w:val="16"/>
                <w:szCs w:val="16"/>
                <w:lang w:val="es-ES" w:eastAsia="en-US"/>
              </w:rPr>
              <w:footnoteReference w:id="2"/>
            </w:r>
            <w:r w:rsidRPr="00427760">
              <w:rPr>
                <w:sz w:val="16"/>
                <w:szCs w:val="16"/>
                <w:vertAlign w:val="superscript"/>
                <w:lang w:val="es-ES" w:eastAsia="en-US"/>
              </w:rPr>
              <w:t>_/</w:t>
            </w:r>
          </w:p>
        </w:tc>
      </w:tr>
      <w:tr w:rsidR="001B5252" w:rsidRPr="00FC7306" w:rsidTr="00C66416">
        <w:trPr>
          <w:jc w:val="center"/>
        </w:trPr>
        <w:tc>
          <w:tcPr>
            <w:tcW w:w="2778" w:type="dxa"/>
            <w:gridSpan w:val="3"/>
          </w:tcPr>
          <w:p w:rsidR="001B5252" w:rsidRPr="00FC7306" w:rsidRDefault="001B5252" w:rsidP="00C66416">
            <w:pPr>
              <w:spacing w:before="20"/>
              <w:rPr>
                <w:b/>
                <w:sz w:val="16"/>
                <w:lang w:val="es-ES"/>
              </w:rPr>
            </w:pPr>
            <w:r w:rsidRPr="00FC7306">
              <w:rPr>
                <w:b/>
                <w:sz w:val="16"/>
                <w:lang w:val="es-ES"/>
              </w:rPr>
              <w:t xml:space="preserve">Unidad Administrativa </w:t>
            </w:r>
          </w:p>
        </w:tc>
        <w:tc>
          <w:tcPr>
            <w:tcW w:w="7287" w:type="dxa"/>
            <w:gridSpan w:val="2"/>
          </w:tcPr>
          <w:p w:rsidR="001B5252" w:rsidRPr="00FC7306" w:rsidRDefault="001B5252" w:rsidP="00C66416">
            <w:pPr>
              <w:spacing w:before="20"/>
              <w:rPr>
                <w:rFonts w:eastAsia="Times New Roman"/>
                <w:sz w:val="16"/>
                <w:szCs w:val="16"/>
                <w:lang w:val="es-MX" w:eastAsia="en-US"/>
              </w:rPr>
            </w:pPr>
            <w:r w:rsidRPr="00F01CCA">
              <w:rPr>
                <w:sz w:val="16"/>
                <w:lang w:val="es-ES"/>
              </w:rPr>
              <w:t>Ferrocarril del Istmo de Tehuantepec, S.A. de C.V.</w:t>
            </w:r>
          </w:p>
        </w:tc>
      </w:tr>
      <w:tr w:rsidR="001B5252" w:rsidRPr="00FC7306" w:rsidTr="00C66416">
        <w:trPr>
          <w:jc w:val="center"/>
        </w:trPr>
        <w:tc>
          <w:tcPr>
            <w:tcW w:w="2778" w:type="dxa"/>
            <w:gridSpan w:val="3"/>
          </w:tcPr>
          <w:p w:rsidR="001B5252" w:rsidRPr="00FC7306" w:rsidRDefault="001B5252" w:rsidP="00C66416">
            <w:pPr>
              <w:spacing w:before="20"/>
              <w:rPr>
                <w:b/>
                <w:sz w:val="16"/>
                <w:lang w:val="es-ES"/>
              </w:rPr>
            </w:pPr>
            <w:r w:rsidRPr="00FC7306">
              <w:rPr>
                <w:b/>
                <w:sz w:val="16"/>
                <w:lang w:val="es-ES"/>
              </w:rPr>
              <w:t xml:space="preserve">Responsable </w:t>
            </w:r>
          </w:p>
        </w:tc>
        <w:tc>
          <w:tcPr>
            <w:tcW w:w="7287" w:type="dxa"/>
            <w:gridSpan w:val="2"/>
          </w:tcPr>
          <w:p w:rsidR="001B5252" w:rsidRPr="00FC7306" w:rsidRDefault="001B5252" w:rsidP="00C66416">
            <w:pPr>
              <w:spacing w:before="20"/>
              <w:rPr>
                <w:sz w:val="16"/>
                <w:lang w:val="es-ES"/>
              </w:rPr>
            </w:pPr>
            <w:r>
              <w:rPr>
                <w:sz w:val="16"/>
                <w:lang w:val="es-ES"/>
              </w:rPr>
              <w:t>Gustavo Baca Villanueva</w:t>
            </w:r>
          </w:p>
        </w:tc>
      </w:tr>
      <w:tr w:rsidR="001B5252" w:rsidRPr="00FC7306" w:rsidTr="00C66416">
        <w:trPr>
          <w:jc w:val="center"/>
        </w:trPr>
        <w:tc>
          <w:tcPr>
            <w:tcW w:w="2778" w:type="dxa"/>
            <w:gridSpan w:val="3"/>
            <w:tcBorders>
              <w:bottom w:val="single" w:sz="4" w:space="0" w:color="auto"/>
            </w:tcBorders>
            <w:shd w:val="clear" w:color="auto" w:fill="D9D9D9" w:themeFill="background1" w:themeFillShade="D9"/>
          </w:tcPr>
          <w:p w:rsidR="001B5252" w:rsidRPr="00FC7306" w:rsidRDefault="001B5252" w:rsidP="00C66416">
            <w:pPr>
              <w:spacing w:before="20"/>
              <w:rPr>
                <w:b/>
                <w:sz w:val="16"/>
                <w:lang w:val="es-ES"/>
              </w:rPr>
            </w:pPr>
            <w:r w:rsidRPr="00FC7306">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1B5252" w:rsidRPr="00FC7306" w:rsidRDefault="001B5252" w:rsidP="00C66416">
            <w:pPr>
              <w:spacing w:before="20"/>
              <w:rPr>
                <w:sz w:val="16"/>
                <w:lang w:val="es-ES"/>
              </w:rPr>
            </w:pPr>
            <w:r>
              <w:rPr>
                <w:sz w:val="16"/>
                <w:lang w:val="es-ES"/>
              </w:rPr>
              <w:t>Específica de Costo- Efectividad, PAE 2013</w:t>
            </w:r>
          </w:p>
        </w:tc>
      </w:tr>
    </w:tbl>
    <w:p w:rsidR="001B5252" w:rsidRDefault="001B5252" w:rsidP="001B5252">
      <w:pPr>
        <w:jc w:val="both"/>
        <w:rPr>
          <w:b/>
          <w:lang w:val="es-ES"/>
        </w:rPr>
      </w:pPr>
    </w:p>
    <w:p w:rsidR="001B5252" w:rsidRPr="00FC7306" w:rsidRDefault="001B5252" w:rsidP="001B5252">
      <w:pPr>
        <w:jc w:val="both"/>
        <w:rPr>
          <w:b/>
          <w:lang w:val="es-ES"/>
        </w:rPr>
      </w:pPr>
      <w:r w:rsidRPr="00FC7306">
        <w:rPr>
          <w:b/>
          <w:lang w:val="es-ES"/>
        </w:rPr>
        <w:t>Descripción del P</w:t>
      </w:r>
      <w:r>
        <w:rPr>
          <w:b/>
          <w:lang w:val="es-ES"/>
        </w:rPr>
        <w:t>p</w:t>
      </w:r>
    </w:p>
    <w:p w:rsidR="001B5252" w:rsidRDefault="001B5252" w:rsidP="001B5252">
      <w:pPr>
        <w:jc w:val="both"/>
      </w:pPr>
      <w:r w:rsidRPr="00FC7306">
        <w:t xml:space="preserve">El Pp </w:t>
      </w:r>
      <w:r>
        <w:t>E022 inició operaciones en 2009, a cargo del Ferrocarril del Istmo de Tehuantepec, S.A. de C.V. (FIT), cuyo objetivo es la operación, mantenimiento, explotación y, en su caso, construcción de las vías generales de comunicación ferroviaria a lo largo del Istmo de Tehuantepec.</w:t>
      </w:r>
    </w:p>
    <w:p w:rsidR="001B5252" w:rsidRDefault="001B5252" w:rsidP="001B5252">
      <w:pPr>
        <w:jc w:val="both"/>
      </w:pPr>
      <w:r>
        <w:t>El área de</w:t>
      </w:r>
      <w:r w:rsidRPr="00752072">
        <w:t xml:space="preserve"> enfoque </w:t>
      </w:r>
      <w:r>
        <w:t xml:space="preserve">del Pp estaba identificada </w:t>
      </w:r>
      <w:r w:rsidRPr="00752072">
        <w:t xml:space="preserve">como </w:t>
      </w:r>
      <w:r>
        <w:t xml:space="preserve">1) </w:t>
      </w:r>
      <w:r w:rsidRPr="00752072">
        <w:t>infraestructura ferroviaria, la cual</w:t>
      </w:r>
      <w:r>
        <w:t xml:space="preserve"> se medía en kilómetros y estaba</w:t>
      </w:r>
      <w:r w:rsidRPr="00752072">
        <w:t xml:space="preserve"> a cargo del FIT</w:t>
      </w:r>
      <w:r>
        <w:t>;</w:t>
      </w:r>
      <w:r w:rsidRPr="00752072">
        <w:t xml:space="preserve"> </w:t>
      </w:r>
      <w:r>
        <w:t xml:space="preserve">2) </w:t>
      </w:r>
      <w:r w:rsidRPr="00752072">
        <w:t>el mantenimiento, operación y explotación de 207.4 kilómetros de la línea Z entre Medias Aguas y Salina Cruz con estaciones intermedias</w:t>
      </w:r>
      <w:r>
        <w:t>, y</w:t>
      </w:r>
      <w:r w:rsidRPr="00752072">
        <w:t xml:space="preserve"> </w:t>
      </w:r>
      <w:r>
        <w:t xml:space="preserve">3) </w:t>
      </w:r>
      <w:r w:rsidRPr="00752072">
        <w:t>1,536.6 km en dos líneas (Chiapas y Mayab)</w:t>
      </w:r>
      <w:r w:rsidRPr="00FC7306">
        <w:t>.</w:t>
      </w:r>
    </w:p>
    <w:p w:rsidR="001B5252" w:rsidRDefault="001B5252" w:rsidP="001B5252">
      <w:pPr>
        <w:jc w:val="both"/>
      </w:pPr>
      <w:r>
        <w:t>El propósito del Pp en su Matriz de Indicadores para Resultados 2015 era “U</w:t>
      </w:r>
      <w:r w:rsidRPr="001F05E5">
        <w:t>suarios de la red ferroviaria asignada al FIT, cuentan con vías rehabilitadas y en buenas condiciones de uso operativo</w:t>
      </w:r>
      <w:r>
        <w:t>” y su componente era “</w:t>
      </w:r>
      <w:r w:rsidRPr="001F05E5">
        <w:t>Operación de la infrae</w:t>
      </w:r>
      <w:r>
        <w:t>structura ferroviaria realizada”</w:t>
      </w:r>
      <w:r w:rsidRPr="001F05E5">
        <w:t>.</w:t>
      </w:r>
    </w:p>
    <w:p w:rsidR="001B5252" w:rsidRPr="00FC7306" w:rsidRDefault="001B5252" w:rsidP="001B5252">
      <w:pPr>
        <w:jc w:val="both"/>
      </w:pPr>
      <w:r w:rsidRPr="00FC7306">
        <w:t>El Pp se alinea</w:t>
      </w:r>
      <w:r>
        <w:t>ba</w:t>
      </w:r>
      <w:r w:rsidRPr="00FC7306">
        <w:t xml:space="preserve"> con el </w:t>
      </w:r>
      <w:r w:rsidRPr="007E6C35">
        <w:t>Plan Nacional de Desarrollo</w:t>
      </w:r>
      <w:r>
        <w:t xml:space="preserve"> 2013-2018 (</w:t>
      </w:r>
      <w:r w:rsidRPr="00FC7306">
        <w:t>PND</w:t>
      </w:r>
      <w:r>
        <w:t>) a través de la Meta Nacional IV</w:t>
      </w:r>
      <w:r w:rsidRPr="00FC7306">
        <w:t xml:space="preserve"> “</w:t>
      </w:r>
      <w:r w:rsidRPr="007E6C35">
        <w:t>México Próspero</w:t>
      </w:r>
      <w:r w:rsidRPr="00FC7306">
        <w:t>”</w:t>
      </w:r>
      <w:r>
        <w:t>,</w:t>
      </w:r>
      <w:r w:rsidRPr="00FC7306">
        <w:t xml:space="preserve"> </w:t>
      </w:r>
      <w:r>
        <w:t>“O</w:t>
      </w:r>
      <w:r w:rsidRPr="00FC7306">
        <w:t>bjetivo</w:t>
      </w:r>
      <w:r>
        <w:t xml:space="preserve"> </w:t>
      </w:r>
      <w:r w:rsidRPr="007E6C35">
        <w:t>4.9 Contar con una infraestructura de transporte que se refleje en menores costos para realizar la actividad económica</w:t>
      </w:r>
      <w:r w:rsidRPr="00FC7306">
        <w:t xml:space="preserve">” y </w:t>
      </w:r>
      <w:r>
        <w:t>“E</w:t>
      </w:r>
      <w:r w:rsidRPr="00FC7306">
        <w:t>strategia</w:t>
      </w:r>
      <w:r>
        <w:t xml:space="preserve"> </w:t>
      </w:r>
      <w:r w:rsidRPr="007E6C35">
        <w:t>4.9.1 Modernizar, ampliar y conservar la infraestructura de los diferentes modos de transporte, así como mejorar su conectividad bajo criteri</w:t>
      </w:r>
      <w:r>
        <w:t>os estratégicos y de eficiencia</w:t>
      </w:r>
      <w:r w:rsidRPr="00FC7306">
        <w:t>”.</w:t>
      </w:r>
    </w:p>
    <w:p w:rsidR="001B5252" w:rsidRPr="00FC7306" w:rsidRDefault="001B5252" w:rsidP="001B5252">
      <w:pPr>
        <w:jc w:val="both"/>
        <w:rPr>
          <w:lang w:val="es-ES"/>
        </w:rPr>
      </w:pPr>
      <w:r w:rsidRPr="00FC7306">
        <w:rPr>
          <w:b/>
          <w:lang w:val="es-ES"/>
        </w:rPr>
        <w:t>Principales Hallazgos</w:t>
      </w:r>
    </w:p>
    <w:p w:rsidR="001B5252" w:rsidRDefault="001B5252" w:rsidP="001B5252">
      <w:pPr>
        <w:jc w:val="both"/>
        <w:rPr>
          <w:lang w:val="es-MX"/>
        </w:rPr>
      </w:pPr>
      <w:r w:rsidRPr="00FC7306">
        <w:rPr>
          <w:lang w:val="es-ES"/>
        </w:rPr>
        <w:t>Entre los hallazgos más relevantes</w:t>
      </w:r>
      <w:r>
        <w:rPr>
          <w:lang w:val="es-ES"/>
        </w:rPr>
        <w:t>,</w:t>
      </w:r>
      <w:r w:rsidRPr="00FC7306">
        <w:rPr>
          <w:lang w:val="es-ES"/>
        </w:rPr>
        <w:t xml:space="preserve"> </w:t>
      </w:r>
      <w:r>
        <w:rPr>
          <w:lang w:val="es-ES"/>
        </w:rPr>
        <w:t>destaca</w:t>
      </w:r>
      <w:r w:rsidRPr="00FC7306">
        <w:rPr>
          <w:lang w:val="es-ES"/>
        </w:rPr>
        <w:t xml:space="preserve"> que </w:t>
      </w:r>
      <w:r>
        <w:rPr>
          <w:lang w:val="es-ES"/>
        </w:rPr>
        <w:t>l</w:t>
      </w:r>
      <w:r w:rsidRPr="00D36302">
        <w:rPr>
          <w:lang w:val="es-ES"/>
        </w:rPr>
        <w:t>a composición por capítulo de gasto</w:t>
      </w:r>
      <w:r>
        <w:rPr>
          <w:lang w:val="es-ES"/>
        </w:rPr>
        <w:t>,</w:t>
      </w:r>
      <w:r w:rsidRPr="00D36302">
        <w:rPr>
          <w:lang w:val="es-ES"/>
        </w:rPr>
        <w:t xml:space="preserve"> del presupuesto total ejercido por el FIT en el periodo 2012-2014, se distribuyó de la siguiente </w:t>
      </w:r>
      <w:r>
        <w:t>manera: 26% en Servicios Generales, 26.2</w:t>
      </w:r>
      <w:r w:rsidRPr="00497EF4">
        <w:t>%</w:t>
      </w:r>
      <w:r>
        <w:t xml:space="preserve"> en Servicios Personales y 16.3</w:t>
      </w:r>
      <w:r w:rsidRPr="00497EF4">
        <w:t>% en Materiales y Suministros.</w:t>
      </w:r>
      <w:r>
        <w:t xml:space="preserve"> </w:t>
      </w:r>
      <w:r w:rsidRPr="00497EF4">
        <w:t xml:space="preserve">La asignación oportuna de recursos fiscales suficientes </w:t>
      </w:r>
      <w:r>
        <w:t>a</w:t>
      </w:r>
      <w:r w:rsidRPr="00497EF4">
        <w:t xml:space="preserve">l </w:t>
      </w:r>
      <w:r>
        <w:t>Pp</w:t>
      </w:r>
      <w:r w:rsidRPr="00497EF4">
        <w:t xml:space="preserve"> genera mayores impactos, al permitir que los responsables de los procedimientos</w:t>
      </w:r>
      <w:r w:rsidRPr="00497EF4">
        <w:rPr>
          <w:lang w:val="es-MX"/>
        </w:rPr>
        <w:t xml:space="preserve"> de contratación y prestación de servicios realicen sus actividades de acuerdo </w:t>
      </w:r>
      <w:r>
        <w:rPr>
          <w:lang w:val="es-MX"/>
        </w:rPr>
        <w:t>con</w:t>
      </w:r>
      <w:r w:rsidRPr="00497EF4">
        <w:rPr>
          <w:lang w:val="es-MX"/>
        </w:rPr>
        <w:t xml:space="preserve"> las fechas establecidas.</w:t>
      </w:r>
    </w:p>
    <w:p w:rsidR="001B5252" w:rsidRDefault="001B5252" w:rsidP="001B5252">
      <w:pPr>
        <w:jc w:val="both"/>
        <w:rPr>
          <w:lang w:val="es-ES"/>
        </w:rPr>
      </w:pPr>
      <w:r w:rsidRPr="003546B6">
        <w:rPr>
          <w:lang w:val="es-ES"/>
        </w:rPr>
        <w:t>La relevancia del FIT en la región sur-sureste de México puede observarse por medio de la carga movida</w:t>
      </w:r>
      <w:r>
        <w:rPr>
          <w:lang w:val="es-ES"/>
        </w:rPr>
        <w:t xml:space="preserve"> o transportada</w:t>
      </w:r>
      <w:r w:rsidRPr="003546B6">
        <w:rPr>
          <w:lang w:val="es-ES"/>
        </w:rPr>
        <w:t xml:space="preserve">, medida en toneladas. Con base en los resultados del análisis de cargas, </w:t>
      </w:r>
      <w:r>
        <w:rPr>
          <w:lang w:val="es-ES"/>
        </w:rPr>
        <w:t xml:space="preserve">se identificó que </w:t>
      </w:r>
      <w:r w:rsidRPr="003546B6">
        <w:rPr>
          <w:lang w:val="es-ES"/>
        </w:rPr>
        <w:t xml:space="preserve">en 2012 la Línea K </w:t>
      </w:r>
      <w:r>
        <w:rPr>
          <w:lang w:val="es-ES"/>
        </w:rPr>
        <w:t xml:space="preserve">(que es la línea del ferrocarril correspondiente al estado de Chiapas) </w:t>
      </w:r>
      <w:r w:rsidRPr="003546B6">
        <w:rPr>
          <w:lang w:val="es-ES"/>
        </w:rPr>
        <w:t xml:space="preserve">incrementó el número de toneladas </w:t>
      </w:r>
      <w:r>
        <w:rPr>
          <w:lang w:val="es-ES"/>
        </w:rPr>
        <w:t>transportadas</w:t>
      </w:r>
      <w:r w:rsidRPr="003546B6">
        <w:rPr>
          <w:lang w:val="es-ES"/>
        </w:rPr>
        <w:t xml:space="preserve"> </w:t>
      </w:r>
      <w:r>
        <w:rPr>
          <w:lang w:val="es-ES"/>
        </w:rPr>
        <w:t>130.3</w:t>
      </w:r>
      <w:r w:rsidRPr="003546B6">
        <w:rPr>
          <w:lang w:val="es-ES"/>
        </w:rPr>
        <w:t xml:space="preserve">%, al </w:t>
      </w:r>
      <w:r>
        <w:rPr>
          <w:lang w:val="es-ES"/>
        </w:rPr>
        <w:t>transitar</w:t>
      </w:r>
      <w:r w:rsidRPr="003546B6">
        <w:rPr>
          <w:lang w:val="es-ES"/>
        </w:rPr>
        <w:t xml:space="preserve"> de 4,819 en 2011 a 11,096 toneladas en </w:t>
      </w:r>
      <w:r>
        <w:rPr>
          <w:lang w:val="es-ES"/>
        </w:rPr>
        <w:t>2012</w:t>
      </w:r>
      <w:r w:rsidRPr="003546B6">
        <w:rPr>
          <w:lang w:val="es-ES"/>
        </w:rPr>
        <w:t xml:space="preserve">. Los principales productos </w:t>
      </w:r>
      <w:r>
        <w:rPr>
          <w:lang w:val="es-ES"/>
        </w:rPr>
        <w:t>transportados</w:t>
      </w:r>
      <w:r w:rsidRPr="003546B6">
        <w:rPr>
          <w:lang w:val="es-ES"/>
        </w:rPr>
        <w:t xml:space="preserve"> en 2012 fueron</w:t>
      </w:r>
      <w:r>
        <w:rPr>
          <w:lang w:val="es-ES"/>
        </w:rPr>
        <w:t xml:space="preserve"> los siguientes</w:t>
      </w:r>
      <w:r w:rsidRPr="003546B6">
        <w:rPr>
          <w:lang w:val="es-ES"/>
        </w:rPr>
        <w:t xml:space="preserve">: </w:t>
      </w:r>
      <w:r>
        <w:rPr>
          <w:lang w:val="es-ES"/>
        </w:rPr>
        <w:t>carros de ferrocarril (57.4</w:t>
      </w:r>
      <w:r w:rsidRPr="003546B6">
        <w:rPr>
          <w:lang w:val="es-ES"/>
        </w:rPr>
        <w:t>%</w:t>
      </w:r>
      <w:r>
        <w:rPr>
          <w:lang w:val="es-ES"/>
        </w:rPr>
        <w:t>),</w:t>
      </w:r>
      <w:r w:rsidRPr="003546B6">
        <w:rPr>
          <w:lang w:val="es-ES"/>
        </w:rPr>
        <w:t xml:space="preserve"> tarimas de madera </w:t>
      </w:r>
      <w:r>
        <w:rPr>
          <w:lang w:val="es-ES"/>
        </w:rPr>
        <w:t>(</w:t>
      </w:r>
      <w:r w:rsidRPr="003546B6">
        <w:rPr>
          <w:lang w:val="es-ES"/>
        </w:rPr>
        <w:t>31.4%</w:t>
      </w:r>
      <w:r>
        <w:rPr>
          <w:lang w:val="es-ES"/>
        </w:rPr>
        <w:t>),</w:t>
      </w:r>
      <w:r w:rsidRPr="003546B6">
        <w:rPr>
          <w:lang w:val="es-ES"/>
        </w:rPr>
        <w:t xml:space="preserve"> otros productos </w:t>
      </w:r>
      <w:r>
        <w:rPr>
          <w:lang w:val="es-ES"/>
        </w:rPr>
        <w:t>(</w:t>
      </w:r>
      <w:r w:rsidRPr="003546B6">
        <w:rPr>
          <w:lang w:val="es-ES"/>
        </w:rPr>
        <w:t>9.2%</w:t>
      </w:r>
      <w:r>
        <w:rPr>
          <w:lang w:val="es-ES"/>
        </w:rPr>
        <w:t>)</w:t>
      </w:r>
      <w:r w:rsidRPr="003546B6">
        <w:rPr>
          <w:lang w:val="es-ES"/>
        </w:rPr>
        <w:t xml:space="preserve"> y aceites y grasas </w:t>
      </w:r>
      <w:r>
        <w:rPr>
          <w:lang w:val="es-ES"/>
        </w:rPr>
        <w:t>(</w:t>
      </w:r>
      <w:r w:rsidRPr="003546B6">
        <w:rPr>
          <w:lang w:val="es-ES"/>
        </w:rPr>
        <w:t>2.0%</w:t>
      </w:r>
      <w:r>
        <w:rPr>
          <w:lang w:val="es-ES"/>
        </w:rPr>
        <w:t>)</w:t>
      </w:r>
      <w:r w:rsidRPr="003546B6">
        <w:rPr>
          <w:lang w:val="es-ES"/>
        </w:rPr>
        <w:t xml:space="preserve">. </w:t>
      </w:r>
      <w:r>
        <w:rPr>
          <w:lang w:val="es-ES"/>
        </w:rPr>
        <w:t>En</w:t>
      </w:r>
      <w:r w:rsidRPr="003546B6">
        <w:rPr>
          <w:lang w:val="es-ES"/>
        </w:rPr>
        <w:t xml:space="preserve"> el periodo 2013 hubo un incremento sustantivo en las toneladas </w:t>
      </w:r>
      <w:r>
        <w:rPr>
          <w:lang w:val="es-ES"/>
        </w:rPr>
        <w:t>transportadas</w:t>
      </w:r>
      <w:r w:rsidRPr="003546B6">
        <w:rPr>
          <w:lang w:val="es-ES"/>
        </w:rPr>
        <w:t>, impulsado principalmente por el cemento, que representó más de</w:t>
      </w:r>
      <w:r>
        <w:rPr>
          <w:lang w:val="es-ES"/>
        </w:rPr>
        <w:t>l</w:t>
      </w:r>
      <w:r w:rsidRPr="003546B6">
        <w:rPr>
          <w:lang w:val="es-ES"/>
        </w:rPr>
        <w:t xml:space="preserve"> 8</w:t>
      </w:r>
      <w:r>
        <w:rPr>
          <w:lang w:val="es-ES"/>
        </w:rPr>
        <w:t>o</w:t>
      </w:r>
      <w:r w:rsidRPr="003546B6">
        <w:rPr>
          <w:lang w:val="es-ES"/>
        </w:rPr>
        <w:t xml:space="preserve">%; mientras </w:t>
      </w:r>
      <w:r w:rsidRPr="003546B6">
        <w:rPr>
          <w:lang w:val="es-ES"/>
        </w:rPr>
        <w:lastRenderedPageBreak/>
        <w:t>que para 2014 se observó una ligera caída derivada de una menor demanda y diversificación de los materiales</w:t>
      </w:r>
      <w:r>
        <w:rPr>
          <w:lang w:val="es-ES"/>
        </w:rPr>
        <w:t>.</w:t>
      </w:r>
    </w:p>
    <w:p w:rsidR="001B5252" w:rsidRPr="00FC7306" w:rsidRDefault="001B5252" w:rsidP="001B5252">
      <w:pPr>
        <w:jc w:val="both"/>
        <w:rPr>
          <w:lang w:val="es-ES"/>
        </w:rPr>
      </w:pPr>
      <w:r w:rsidRPr="003546B6">
        <w:rPr>
          <w:lang w:val="es-ES"/>
        </w:rPr>
        <w:t xml:space="preserve">En materia de seguridad, durante el periodo 2012-2014, se observa </w:t>
      </w:r>
      <w:r>
        <w:rPr>
          <w:lang w:val="es-ES"/>
        </w:rPr>
        <w:t>un</w:t>
      </w:r>
      <w:r w:rsidRPr="003546B6">
        <w:rPr>
          <w:lang w:val="es-ES"/>
        </w:rPr>
        <w:t xml:space="preserve"> incremento en el número de accidentes en las líneas operadas por el FIT. Destacando aquellos asociados con el estado de la vía</w:t>
      </w:r>
      <w:r>
        <w:rPr>
          <w:lang w:val="es-ES"/>
        </w:rPr>
        <w:t>,</w:t>
      </w:r>
      <w:r w:rsidRPr="003546B6">
        <w:rPr>
          <w:lang w:val="es-ES"/>
        </w:rPr>
        <w:t xml:space="preserve"> lo que da indicios </w:t>
      </w:r>
      <w:r>
        <w:rPr>
          <w:lang w:val="es-ES"/>
        </w:rPr>
        <w:t>de</w:t>
      </w:r>
      <w:r w:rsidRPr="003546B6">
        <w:rPr>
          <w:lang w:val="es-ES"/>
        </w:rPr>
        <w:t xml:space="preserve"> la necesidad de destinar mayores recursos para su revisión</w:t>
      </w:r>
      <w:r>
        <w:rPr>
          <w:lang w:val="es-ES"/>
        </w:rPr>
        <w:t>,</w:t>
      </w:r>
      <w:r w:rsidRPr="003546B6">
        <w:rPr>
          <w:lang w:val="es-ES"/>
        </w:rPr>
        <w:t xml:space="preserve"> conservación y, en su caso, rehabilitación</w:t>
      </w:r>
      <w:r>
        <w:rPr>
          <w:lang w:val="es-ES"/>
        </w:rPr>
        <w:t>.</w:t>
      </w:r>
    </w:p>
    <w:p w:rsidR="001B5252" w:rsidRPr="00FC7306" w:rsidRDefault="001B5252" w:rsidP="001B5252">
      <w:pPr>
        <w:jc w:val="both"/>
        <w:rPr>
          <w:b/>
          <w:lang w:val="es-ES"/>
        </w:rPr>
      </w:pPr>
      <w:r w:rsidRPr="00FC7306">
        <w:rPr>
          <w:b/>
          <w:lang w:val="es-ES"/>
        </w:rPr>
        <w:t>Principales Recomendaciones</w:t>
      </w:r>
    </w:p>
    <w:p w:rsidR="001B5252" w:rsidRPr="00FC7306" w:rsidRDefault="001B5252" w:rsidP="001B5252">
      <w:pPr>
        <w:pStyle w:val="Bala"/>
      </w:pPr>
      <w:r w:rsidRPr="0087770B">
        <w:t>Mejorar el aprovechamiento de los recursos asignados, gestionando y administrando la operación bajo los principios de una empresa integrada verticalmente con foco en la rentabilidad operativa</w:t>
      </w:r>
      <w:r w:rsidRPr="00FC7306">
        <w:t>.</w:t>
      </w:r>
    </w:p>
    <w:p w:rsidR="001B5252" w:rsidRPr="00FC7306" w:rsidRDefault="001B5252" w:rsidP="001B5252">
      <w:pPr>
        <w:pStyle w:val="Bala"/>
      </w:pPr>
      <w:r w:rsidRPr="008B4C5E">
        <w:t xml:space="preserve">Fortalecer el </w:t>
      </w:r>
      <w:r>
        <w:t>cabildeo</w:t>
      </w:r>
      <w:r w:rsidRPr="008B4C5E">
        <w:t xml:space="preserve"> ante las autoridades correspondientes, en busca de incrementar el interés en el desarrollo ferroviario nacional</w:t>
      </w:r>
      <w:r w:rsidRPr="00FC7306">
        <w:t>.</w:t>
      </w:r>
    </w:p>
    <w:p w:rsidR="001B5252" w:rsidRPr="00FC7306" w:rsidRDefault="001B5252" w:rsidP="001B5252">
      <w:pPr>
        <w:pStyle w:val="Bala"/>
      </w:pPr>
      <w:r>
        <w:t>Desarrollar</w:t>
      </w:r>
      <w:r w:rsidRPr="008B4C5E">
        <w:t xml:space="preserve"> intervenciones integrales para mejorar la oferta de transporte de carga, asegurando niveles de servicio acordes a las necesidades del mercado</w:t>
      </w:r>
      <w:r w:rsidRPr="00FC7306">
        <w:t xml:space="preserve">. </w:t>
      </w:r>
    </w:p>
    <w:p w:rsidR="001B5252" w:rsidRPr="00FC7306" w:rsidRDefault="001B5252" w:rsidP="001B5252">
      <w:pPr>
        <w:pStyle w:val="Bala"/>
      </w:pPr>
      <w:r>
        <w:t>Continuar con el</w:t>
      </w:r>
      <w:r w:rsidRPr="008B4C5E">
        <w:t xml:space="preserve"> programa de optimización de recursos que actualmente </w:t>
      </w:r>
      <w:r>
        <w:t xml:space="preserve">se </w:t>
      </w:r>
      <w:r w:rsidRPr="008B4C5E">
        <w:t>desarrolla</w:t>
      </w:r>
      <w:r w:rsidRPr="00FC7306">
        <w:t>.</w:t>
      </w:r>
    </w:p>
    <w:p w:rsidR="001B5252" w:rsidRPr="00FC7306" w:rsidRDefault="001B5252" w:rsidP="001B5252">
      <w:pPr>
        <w:pStyle w:val="Bala"/>
      </w:pPr>
      <w:r>
        <w:t xml:space="preserve">Realizar un </w:t>
      </w:r>
      <w:r w:rsidRPr="008B4C5E">
        <w:t>estudio de mercado en la región donde opera el FIT y Chiapas-Mayab</w:t>
      </w:r>
      <w:r>
        <w:t xml:space="preserve">, con el objeto de </w:t>
      </w:r>
      <w:r w:rsidRPr="00791E4F">
        <w:rPr>
          <w:lang w:eastAsia="es-MX"/>
        </w:rPr>
        <w:t xml:space="preserve">hacer una prospección más clara de los ingresos propios que generaría </w:t>
      </w:r>
      <w:r>
        <w:rPr>
          <w:lang w:eastAsia="es-MX"/>
        </w:rPr>
        <w:t>el FIT</w:t>
      </w:r>
      <w:r w:rsidRPr="00FC7306">
        <w:t>.</w:t>
      </w:r>
    </w:p>
    <w:p w:rsidR="001B5252" w:rsidRPr="00FC7306" w:rsidRDefault="001B5252" w:rsidP="001B5252">
      <w:pPr>
        <w:pStyle w:val="Prrafodelista"/>
        <w:tabs>
          <w:tab w:val="left" w:pos="4230"/>
        </w:tabs>
        <w:spacing w:after="120" w:line="240" w:lineRule="auto"/>
        <w:jc w:val="both"/>
        <w:rPr>
          <w:rFonts w:ascii="Soberana Sans" w:eastAsia="Times New Roman" w:hAnsi="Soberana Sans" w:cs="Arial"/>
          <w:lang w:val="es-ES"/>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1B5252" w:rsidRPr="00FC7306" w:rsidTr="001B5252">
        <w:trPr>
          <w:trHeight w:val="675"/>
        </w:trPr>
        <w:tc>
          <w:tcPr>
            <w:tcW w:w="749" w:type="pct"/>
            <w:vAlign w:val="center"/>
          </w:tcPr>
          <w:p w:rsidR="001B5252" w:rsidRPr="00FC7306" w:rsidRDefault="001B5252" w:rsidP="001B5252">
            <w:pPr>
              <w:spacing w:before="20" w:after="0"/>
              <w:ind w:left="170"/>
              <w:rPr>
                <w:b/>
                <w:sz w:val="16"/>
                <w:lang w:val="es-ES"/>
              </w:rPr>
            </w:pPr>
            <w:r w:rsidRPr="00FC7306">
              <w:rPr>
                <w:b/>
                <w:sz w:val="16"/>
                <w:lang w:val="es-ES"/>
              </w:rPr>
              <w:t>Evaluador Externo</w:t>
            </w:r>
          </w:p>
        </w:tc>
        <w:tc>
          <w:tcPr>
            <w:tcW w:w="4251" w:type="pct"/>
            <w:gridSpan w:val="3"/>
            <w:vAlign w:val="center"/>
          </w:tcPr>
          <w:p w:rsidR="001B5252" w:rsidRPr="00FC7306" w:rsidRDefault="001B5252" w:rsidP="001B5252">
            <w:pPr>
              <w:spacing w:before="20" w:after="0"/>
              <w:ind w:left="113"/>
              <w:rPr>
                <w:rFonts w:eastAsia="Times New Roman"/>
                <w:sz w:val="16"/>
                <w:szCs w:val="16"/>
                <w:lang w:val="es-MX" w:eastAsia="en-US"/>
              </w:rPr>
            </w:pPr>
            <w:r w:rsidRPr="00FC7306">
              <w:rPr>
                <w:sz w:val="16"/>
                <w:lang w:val="es-ES"/>
              </w:rPr>
              <w:t>1. Instancia Evaluadora</w:t>
            </w:r>
            <w:r>
              <w:rPr>
                <w:sz w:val="16"/>
                <w:lang w:val="es-ES"/>
              </w:rPr>
              <w:t>:</w:t>
            </w:r>
            <w:r w:rsidRPr="00FC7306">
              <w:rPr>
                <w:sz w:val="16"/>
                <w:lang w:val="es-ES"/>
              </w:rPr>
              <w:t xml:space="preserve"> </w:t>
            </w:r>
            <w:r w:rsidRPr="00E8095F">
              <w:rPr>
                <w:sz w:val="16"/>
                <w:lang w:val="es-ES"/>
              </w:rPr>
              <w:t>Universidad Nacional Autónoma de México</w:t>
            </w:r>
            <w:r w:rsidRPr="00FC7306">
              <w:rPr>
                <w:sz w:val="16"/>
                <w:lang w:val="es-ES"/>
              </w:rPr>
              <w:t xml:space="preserve">. </w:t>
            </w:r>
          </w:p>
          <w:p w:rsidR="001B5252" w:rsidRPr="00FC7306" w:rsidRDefault="001B5252" w:rsidP="001B5252">
            <w:pPr>
              <w:spacing w:before="20" w:after="0"/>
              <w:ind w:left="113"/>
              <w:rPr>
                <w:sz w:val="16"/>
                <w:lang w:val="es-ES"/>
              </w:rPr>
            </w:pPr>
            <w:r w:rsidRPr="00FC7306">
              <w:rPr>
                <w:sz w:val="16"/>
                <w:lang w:val="es-ES"/>
              </w:rPr>
              <w:t xml:space="preserve">2. Coordinador de la Evaluación: </w:t>
            </w:r>
            <w:r w:rsidRPr="00E8095F">
              <w:rPr>
                <w:sz w:val="16"/>
                <w:lang w:val="es-ES"/>
              </w:rPr>
              <w:t>Carlos López Alanis</w:t>
            </w:r>
          </w:p>
          <w:p w:rsidR="001B5252" w:rsidRPr="00FC7306" w:rsidRDefault="001B5252" w:rsidP="001B5252">
            <w:pPr>
              <w:spacing w:before="20" w:after="0"/>
              <w:ind w:left="113"/>
              <w:rPr>
                <w:sz w:val="16"/>
                <w:lang w:val="es-ES"/>
              </w:rPr>
            </w:pPr>
            <w:r w:rsidRPr="00FC7306">
              <w:rPr>
                <w:sz w:val="16"/>
                <w:lang w:val="es-ES"/>
              </w:rPr>
              <w:t>3. Forma de contratación: Adjudicación directa</w:t>
            </w:r>
          </w:p>
        </w:tc>
      </w:tr>
      <w:tr w:rsidR="001B5252" w:rsidRPr="00FC7306" w:rsidTr="001B5252">
        <w:tc>
          <w:tcPr>
            <w:tcW w:w="749" w:type="pct"/>
            <w:vAlign w:val="center"/>
          </w:tcPr>
          <w:p w:rsidR="001B5252" w:rsidRPr="00FC7306" w:rsidRDefault="001B5252" w:rsidP="001B5252">
            <w:pPr>
              <w:spacing w:before="20" w:after="0"/>
              <w:ind w:left="170"/>
              <w:rPr>
                <w:b/>
                <w:sz w:val="16"/>
                <w:lang w:val="es-ES"/>
              </w:rPr>
            </w:pPr>
            <w:r w:rsidRPr="00FC7306">
              <w:rPr>
                <w:b/>
                <w:sz w:val="16"/>
                <w:lang w:val="es-ES"/>
              </w:rPr>
              <w:t>Costo:</w:t>
            </w:r>
          </w:p>
        </w:tc>
        <w:tc>
          <w:tcPr>
            <w:tcW w:w="1113" w:type="pct"/>
            <w:vAlign w:val="center"/>
          </w:tcPr>
          <w:p w:rsidR="001B5252" w:rsidRPr="00FC7306" w:rsidRDefault="001B5252" w:rsidP="001B5252">
            <w:pPr>
              <w:spacing w:before="20" w:after="0"/>
              <w:ind w:left="113"/>
              <w:rPr>
                <w:sz w:val="16"/>
                <w:lang w:val="es-ES"/>
              </w:rPr>
            </w:pPr>
            <w:r w:rsidRPr="00E8095F">
              <w:rPr>
                <w:sz w:val="16"/>
                <w:lang w:val="es-ES"/>
              </w:rPr>
              <w:t>$ 970,000.00</w:t>
            </w:r>
            <w:r w:rsidRPr="00FC7306">
              <w:rPr>
                <w:rStyle w:val="Refdenotaalpie"/>
                <w:sz w:val="16"/>
                <w:szCs w:val="16"/>
                <w:lang w:val="es-ES" w:eastAsia="en-US"/>
              </w:rPr>
              <w:footnoteReference w:id="3"/>
            </w:r>
            <w:r w:rsidRPr="00427760">
              <w:rPr>
                <w:sz w:val="16"/>
                <w:szCs w:val="16"/>
                <w:vertAlign w:val="superscript"/>
                <w:lang w:val="es-ES" w:eastAsia="en-US"/>
              </w:rPr>
              <w:t>_/</w:t>
            </w:r>
          </w:p>
        </w:tc>
        <w:tc>
          <w:tcPr>
            <w:tcW w:w="904" w:type="pct"/>
            <w:vAlign w:val="center"/>
          </w:tcPr>
          <w:p w:rsidR="001B5252" w:rsidRPr="00FC7306" w:rsidRDefault="001B5252" w:rsidP="001B5252">
            <w:pPr>
              <w:spacing w:before="20" w:after="0"/>
              <w:ind w:left="170"/>
              <w:rPr>
                <w:b/>
                <w:sz w:val="16"/>
                <w:lang w:val="es-ES"/>
              </w:rPr>
            </w:pPr>
          </w:p>
          <w:p w:rsidR="001B5252" w:rsidRPr="00FC7306" w:rsidRDefault="001B5252" w:rsidP="001B5252">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rsidR="001B5252" w:rsidRPr="00FC7306" w:rsidRDefault="001B5252" w:rsidP="001B5252">
            <w:pPr>
              <w:spacing w:before="20" w:after="0"/>
              <w:rPr>
                <w:sz w:val="16"/>
                <w:highlight w:val="yellow"/>
                <w:lang w:val="es-ES"/>
              </w:rPr>
            </w:pPr>
            <w:r w:rsidRPr="00FC7306">
              <w:rPr>
                <w:sz w:val="16"/>
                <w:lang w:val="es-ES"/>
              </w:rPr>
              <w:t>Recursos Fiscales</w:t>
            </w:r>
          </w:p>
        </w:tc>
      </w:tr>
      <w:tr w:rsidR="001B5252" w:rsidRPr="00FC7306" w:rsidTr="001B5252">
        <w:tc>
          <w:tcPr>
            <w:tcW w:w="749" w:type="pct"/>
            <w:tcBorders>
              <w:bottom w:val="single" w:sz="4" w:space="0" w:color="auto"/>
            </w:tcBorders>
            <w:vAlign w:val="center"/>
          </w:tcPr>
          <w:p w:rsidR="001B5252" w:rsidRPr="00FC7306" w:rsidRDefault="001B5252" w:rsidP="001B5252">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rsidR="001B5252" w:rsidRPr="00FC7306" w:rsidRDefault="001B5252" w:rsidP="001B5252">
            <w:pPr>
              <w:pStyle w:val="Cdetexto"/>
              <w:spacing w:after="0"/>
              <w:jc w:val="center"/>
              <w:rPr>
                <w:sz w:val="14"/>
                <w:szCs w:val="14"/>
              </w:rPr>
            </w:pPr>
            <w:r w:rsidRPr="00FC7306">
              <w:rPr>
                <w:sz w:val="14"/>
                <w:szCs w:val="14"/>
              </w:rPr>
              <w:t>SHCP</w:t>
            </w:r>
          </w:p>
        </w:tc>
        <w:tc>
          <w:tcPr>
            <w:tcW w:w="904" w:type="pct"/>
            <w:tcBorders>
              <w:bottom w:val="single" w:sz="4" w:space="0" w:color="auto"/>
            </w:tcBorders>
            <w:vAlign w:val="center"/>
          </w:tcPr>
          <w:p w:rsidR="001B5252" w:rsidRPr="00FC7306" w:rsidRDefault="001B5252" w:rsidP="001B5252">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rsidR="001B5252" w:rsidRPr="00FC7306" w:rsidRDefault="001B5252" w:rsidP="001B5252">
            <w:pPr>
              <w:pStyle w:val="Textocuadro1"/>
              <w:rPr>
                <w:sz w:val="16"/>
                <w:szCs w:val="16"/>
              </w:rPr>
            </w:pPr>
            <w:r w:rsidRPr="00FC7306">
              <w:rPr>
                <w:sz w:val="16"/>
                <w:szCs w:val="16"/>
              </w:rPr>
              <w:t>Disponible en:</w:t>
            </w:r>
          </w:p>
          <w:p w:rsidR="001B5252" w:rsidRPr="00FC7306" w:rsidRDefault="001B5252" w:rsidP="001B5252">
            <w:pPr>
              <w:pStyle w:val="Textocuadro1"/>
              <w:rPr>
                <w:sz w:val="16"/>
                <w:szCs w:val="16"/>
              </w:rPr>
            </w:pPr>
            <w:r w:rsidRPr="00FC7306">
              <w:rPr>
                <w:sz w:val="16"/>
                <w:szCs w:val="16"/>
              </w:rPr>
              <w:t>http://www.transparenciapresupuestaria.gob.mx/</w:t>
            </w:r>
          </w:p>
        </w:tc>
      </w:tr>
    </w:tbl>
    <w:p w:rsidR="001B5252" w:rsidRPr="00FC7306" w:rsidRDefault="001B5252" w:rsidP="001B5252">
      <w:pPr>
        <w:keepNext/>
        <w:keepLines/>
        <w:outlineLvl w:val="0"/>
        <w:rPr>
          <w:sz w:val="20"/>
          <w:highlight w:val="cyan"/>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Pr="00FC7306" w:rsidRDefault="001B5252" w:rsidP="001B5252">
      <w:pPr>
        <w:pStyle w:val="Ttulo3"/>
        <w:spacing w:after="120"/>
      </w:pPr>
      <w:r>
        <w:br w:type="page"/>
      </w:r>
      <w:bookmarkStart w:id="4" w:name="_Toc456894636"/>
      <w:r w:rsidRPr="00FC7306">
        <w:lastRenderedPageBreak/>
        <w:t>EVALUACI</w:t>
      </w:r>
      <w:r>
        <w:t>ÓN</w:t>
      </w:r>
      <w:r w:rsidRPr="00FC7306">
        <w:t xml:space="preserve"> COMPLEMENTARIA</w:t>
      </w:r>
      <w:bookmarkEnd w:id="4"/>
    </w:p>
    <w:p w:rsidR="001B5252" w:rsidRPr="00FC7306" w:rsidRDefault="001B5252" w:rsidP="001B5252">
      <w:pPr>
        <w:pStyle w:val="Cdetextonegrita"/>
        <w:rPr>
          <w:rFonts w:eastAsia="Calibri"/>
          <w:szCs w:val="22"/>
        </w:rPr>
      </w:pPr>
      <w:r w:rsidRPr="00FC7306">
        <w:rPr>
          <w:rFonts w:eastAsia="Calibri"/>
          <w:szCs w:val="22"/>
        </w:rPr>
        <w:t>Introducción</w:t>
      </w:r>
    </w:p>
    <w:p w:rsidR="001B5252" w:rsidRPr="00FC7306" w:rsidRDefault="001B5252" w:rsidP="001B5252">
      <w:pPr>
        <w:pStyle w:val="Cdetexto"/>
        <w:rPr>
          <w:szCs w:val="22"/>
        </w:rPr>
      </w:pPr>
      <w:r w:rsidRPr="00FC7306">
        <w:rPr>
          <w:szCs w:val="22"/>
        </w:rPr>
        <w:t xml:space="preserve">Los Lineamientos establecen en </w:t>
      </w:r>
      <w:r>
        <w:rPr>
          <w:szCs w:val="22"/>
        </w:rPr>
        <w:t>su</w:t>
      </w:r>
      <w:r w:rsidRPr="00FC7306">
        <w:rPr>
          <w:szCs w:val="22"/>
        </w:rPr>
        <w:t xml:space="preserve"> numeral </w:t>
      </w:r>
      <w:r>
        <w:rPr>
          <w:szCs w:val="22"/>
        </w:rPr>
        <w:t>V</w:t>
      </w:r>
      <w:r w:rsidRPr="00FC7306">
        <w:rPr>
          <w:szCs w:val="22"/>
        </w:rPr>
        <w:t xml:space="preserve">igésimo </w:t>
      </w:r>
      <w:r>
        <w:rPr>
          <w:szCs w:val="22"/>
        </w:rPr>
        <w:t>Cuarto</w:t>
      </w:r>
      <w:r w:rsidRPr="00FC7306">
        <w:rPr>
          <w:szCs w:val="22"/>
        </w:rPr>
        <w:t>, que las Evaluaciones Complementarias (EC) serán de aplicación opcional de acuerdo con las necesidades e intereses de las dependencias y entidades, siempre y cuando no se encuentren previstas en el PAE, con el fin de mejorar su gestión y obtener evidencia adicional sobre su desempeño.</w:t>
      </w:r>
    </w:p>
    <w:p w:rsidR="001B5252" w:rsidRPr="00FC7306" w:rsidRDefault="001B5252" w:rsidP="001B5252">
      <w:pPr>
        <w:pStyle w:val="Cdetextonegrita"/>
        <w:rPr>
          <w:szCs w:val="22"/>
        </w:rPr>
      </w:pPr>
      <w:r w:rsidRPr="00FC7306">
        <w:rPr>
          <w:rFonts w:eastAsia="Calibri"/>
          <w:szCs w:val="22"/>
        </w:rPr>
        <w:t>Objetivo General</w:t>
      </w:r>
    </w:p>
    <w:p w:rsidR="001B5252" w:rsidRPr="00FC7306" w:rsidRDefault="001B5252" w:rsidP="001B5252">
      <w:pPr>
        <w:pStyle w:val="Cdetexto"/>
        <w:rPr>
          <w:szCs w:val="22"/>
        </w:rPr>
      </w:pPr>
      <w:r w:rsidRPr="00FC7306">
        <w:rPr>
          <w:szCs w:val="22"/>
        </w:rPr>
        <w:t>Evaluar el desempeño de acuerdo a las necesi</w:t>
      </w:r>
      <w:r>
        <w:rPr>
          <w:szCs w:val="22"/>
        </w:rPr>
        <w:t>dades, especificidades e intereses</w:t>
      </w:r>
      <w:r w:rsidRPr="00FC7306">
        <w:rPr>
          <w:szCs w:val="22"/>
        </w:rPr>
        <w:t xml:space="preserve"> del Pp, con el fin de mejorar su gestión y obtener información complementaria a la obtenida con los otros tipos de evaluaciones.</w:t>
      </w:r>
    </w:p>
    <w:p w:rsidR="001B5252" w:rsidRDefault="001B5252" w:rsidP="001B5252">
      <w:pPr>
        <w:pStyle w:val="Cdetexto"/>
        <w:rPr>
          <w:szCs w:val="22"/>
          <w:highlight w:val="cyan"/>
        </w:rPr>
      </w:pPr>
      <w:r w:rsidRPr="00FC7306">
        <w:rPr>
          <w:szCs w:val="22"/>
        </w:rPr>
        <w:t>Entre los</w:t>
      </w:r>
      <w:r>
        <w:rPr>
          <w:szCs w:val="22"/>
        </w:rPr>
        <w:t xml:space="preserve"> meses de abril a junio de 2016 se entregó una EC realizada</w:t>
      </w:r>
      <w:r w:rsidRPr="00FC7306">
        <w:rPr>
          <w:szCs w:val="22"/>
        </w:rPr>
        <w:t xml:space="preserve"> a</w:t>
      </w:r>
      <w:r>
        <w:rPr>
          <w:szCs w:val="22"/>
        </w:rPr>
        <w:t>l</w:t>
      </w:r>
      <w:r w:rsidRPr="00FC7306">
        <w:rPr>
          <w:szCs w:val="22"/>
        </w:rPr>
        <w:t xml:space="preserve"> Pp</w:t>
      </w:r>
      <w:r>
        <w:rPr>
          <w:szCs w:val="22"/>
        </w:rPr>
        <w:t xml:space="preserve"> </w:t>
      </w:r>
      <w:r>
        <w:t>E022 Operación y Conservación de infraestructura ferroviaria</w:t>
      </w:r>
      <w:r w:rsidRPr="00FC7306">
        <w:rPr>
          <w:szCs w:val="22"/>
        </w:rPr>
        <w:t xml:space="preserve"> </w:t>
      </w:r>
      <w:r>
        <w:rPr>
          <w:szCs w:val="22"/>
        </w:rPr>
        <w:t>correspondiente a</w:t>
      </w:r>
      <w:r w:rsidRPr="00FC7306">
        <w:rPr>
          <w:szCs w:val="22"/>
        </w:rPr>
        <w:t xml:space="preserve">l Ramo </w:t>
      </w:r>
      <w:r>
        <w:rPr>
          <w:szCs w:val="22"/>
        </w:rPr>
        <w:t>09</w:t>
      </w:r>
      <w:r w:rsidRPr="00FC7306">
        <w:t>, la cual se resume a continuación</w:t>
      </w:r>
      <w:r>
        <w:rPr>
          <w:szCs w:val="22"/>
        </w:rPr>
        <w:t>:</w:t>
      </w:r>
    </w:p>
    <w:tbl>
      <w:tblPr>
        <w:tblStyle w:val="Tablaconcuadrcula32"/>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271"/>
      </w:tblGrid>
      <w:tr w:rsidR="001B5252" w:rsidRPr="00FC7306" w:rsidTr="00C66416">
        <w:trPr>
          <w:trHeight w:val="356"/>
          <w:jc w:val="center"/>
        </w:trPr>
        <w:tc>
          <w:tcPr>
            <w:tcW w:w="10065" w:type="dxa"/>
            <w:gridSpan w:val="5"/>
            <w:shd w:val="clear" w:color="auto" w:fill="D6E3BC" w:themeFill="accent3" w:themeFillTint="66"/>
          </w:tcPr>
          <w:p w:rsidR="001B5252" w:rsidRPr="00FC7306" w:rsidRDefault="001B5252" w:rsidP="00C66416">
            <w:pPr>
              <w:spacing w:before="120"/>
              <w:contextualSpacing/>
              <w:rPr>
                <w:sz w:val="18"/>
                <w:lang w:val="es-MX"/>
              </w:rPr>
            </w:pPr>
            <w:r w:rsidRPr="00FC7306">
              <w:rPr>
                <w:sz w:val="18"/>
                <w:lang w:val="es-MX"/>
              </w:rPr>
              <w:br w:type="page"/>
            </w:r>
            <w:r w:rsidRPr="005E1DBA">
              <w:rPr>
                <w:sz w:val="18"/>
                <w:lang w:val="es-MX"/>
              </w:rPr>
              <w:t>Ramo 09. Comunicaciones y Transportes</w:t>
            </w:r>
          </w:p>
        </w:tc>
      </w:tr>
      <w:tr w:rsidR="001B5252" w:rsidRPr="00FC7306" w:rsidTr="00C66416">
        <w:trPr>
          <w:jc w:val="center"/>
        </w:trPr>
        <w:tc>
          <w:tcPr>
            <w:tcW w:w="1359" w:type="dxa"/>
            <w:shd w:val="clear" w:color="auto" w:fill="D9D9D9" w:themeFill="background1" w:themeFillShade="D9"/>
          </w:tcPr>
          <w:p w:rsidR="001B5252" w:rsidRPr="00FC7306" w:rsidRDefault="001B5252" w:rsidP="00C66416">
            <w:pPr>
              <w:spacing w:before="20"/>
              <w:rPr>
                <w:b/>
                <w:sz w:val="16"/>
                <w:lang w:val="es-ES"/>
              </w:rPr>
            </w:pPr>
            <w:r w:rsidRPr="00FC7306">
              <w:rPr>
                <w:b/>
                <w:sz w:val="16"/>
                <w:lang w:val="es-ES"/>
              </w:rPr>
              <w:t>Clave del Pp:</w:t>
            </w:r>
          </w:p>
        </w:tc>
        <w:tc>
          <w:tcPr>
            <w:tcW w:w="734" w:type="dxa"/>
            <w:shd w:val="clear" w:color="auto" w:fill="D9D9D9" w:themeFill="background1" w:themeFillShade="D9"/>
          </w:tcPr>
          <w:p w:rsidR="001B5252" w:rsidRPr="00FC7306" w:rsidRDefault="001B5252" w:rsidP="00C66416">
            <w:pPr>
              <w:contextualSpacing/>
              <w:rPr>
                <w:sz w:val="16"/>
                <w:szCs w:val="16"/>
                <w:lang w:val="es-ES" w:eastAsia="en-US"/>
              </w:rPr>
            </w:pPr>
            <w:r w:rsidRPr="005E1DBA">
              <w:rPr>
                <w:sz w:val="16"/>
                <w:szCs w:val="16"/>
                <w:lang w:val="es-ES" w:eastAsia="en-US"/>
              </w:rPr>
              <w:t>E022</w:t>
            </w:r>
          </w:p>
        </w:tc>
        <w:tc>
          <w:tcPr>
            <w:tcW w:w="1701" w:type="dxa"/>
            <w:gridSpan w:val="2"/>
            <w:shd w:val="clear" w:color="auto" w:fill="D9D9D9" w:themeFill="background1" w:themeFillShade="D9"/>
          </w:tcPr>
          <w:p w:rsidR="001B5252" w:rsidRPr="00FC7306" w:rsidRDefault="001B5252" w:rsidP="00C66416">
            <w:pPr>
              <w:spacing w:before="20"/>
              <w:rPr>
                <w:b/>
                <w:sz w:val="16"/>
                <w:lang w:val="es-ES"/>
              </w:rPr>
            </w:pPr>
            <w:r w:rsidRPr="00FC7306">
              <w:rPr>
                <w:b/>
                <w:sz w:val="16"/>
                <w:lang w:val="es-ES"/>
              </w:rPr>
              <w:t>Denominación:</w:t>
            </w:r>
          </w:p>
        </w:tc>
        <w:tc>
          <w:tcPr>
            <w:tcW w:w="6271" w:type="dxa"/>
            <w:shd w:val="clear" w:color="auto" w:fill="D9D9D9" w:themeFill="background1" w:themeFillShade="D9"/>
          </w:tcPr>
          <w:p w:rsidR="001B5252" w:rsidRPr="00FC7306" w:rsidRDefault="001B5252" w:rsidP="00C66416">
            <w:pPr>
              <w:contextualSpacing/>
              <w:rPr>
                <w:sz w:val="16"/>
                <w:szCs w:val="16"/>
                <w:lang w:val="es-ES" w:eastAsia="en-US"/>
              </w:rPr>
            </w:pPr>
            <w:r w:rsidRPr="005E1DBA">
              <w:rPr>
                <w:sz w:val="16"/>
                <w:szCs w:val="16"/>
                <w:lang w:val="es-ES" w:eastAsia="en-US"/>
              </w:rPr>
              <w:t>Operación y Conservación de infraestructura ferroviaria</w:t>
            </w:r>
            <w:r>
              <w:rPr>
                <w:rStyle w:val="Refdenotaalpie"/>
                <w:sz w:val="16"/>
                <w:szCs w:val="16"/>
                <w:lang w:val="es-ES" w:eastAsia="en-US"/>
              </w:rPr>
              <w:footnoteReference w:id="4"/>
            </w:r>
            <w:r w:rsidRPr="00427760">
              <w:rPr>
                <w:sz w:val="16"/>
                <w:szCs w:val="16"/>
                <w:vertAlign w:val="superscript"/>
                <w:lang w:val="es-ES" w:eastAsia="en-US"/>
              </w:rPr>
              <w:t>_/</w:t>
            </w:r>
          </w:p>
        </w:tc>
      </w:tr>
      <w:tr w:rsidR="001B5252" w:rsidRPr="00FC7306" w:rsidTr="00C66416">
        <w:trPr>
          <w:jc w:val="center"/>
        </w:trPr>
        <w:tc>
          <w:tcPr>
            <w:tcW w:w="2778" w:type="dxa"/>
            <w:gridSpan w:val="3"/>
          </w:tcPr>
          <w:p w:rsidR="001B5252" w:rsidRPr="00FC7306" w:rsidRDefault="001B5252" w:rsidP="00C66416">
            <w:pPr>
              <w:spacing w:before="20"/>
              <w:rPr>
                <w:b/>
                <w:sz w:val="16"/>
                <w:lang w:val="es-ES"/>
              </w:rPr>
            </w:pPr>
            <w:r w:rsidRPr="00FC7306">
              <w:rPr>
                <w:b/>
                <w:sz w:val="16"/>
                <w:lang w:val="es-ES"/>
              </w:rPr>
              <w:t xml:space="preserve">Unidad Administrativa </w:t>
            </w:r>
          </w:p>
        </w:tc>
        <w:tc>
          <w:tcPr>
            <w:tcW w:w="7287" w:type="dxa"/>
            <w:gridSpan w:val="2"/>
          </w:tcPr>
          <w:p w:rsidR="001B5252" w:rsidRPr="00FC7306" w:rsidRDefault="001B5252" w:rsidP="00C66416">
            <w:pPr>
              <w:spacing w:before="20"/>
              <w:rPr>
                <w:rFonts w:eastAsia="Times New Roman"/>
                <w:sz w:val="16"/>
                <w:szCs w:val="16"/>
                <w:lang w:val="es-MX" w:eastAsia="en-US"/>
              </w:rPr>
            </w:pPr>
            <w:r w:rsidRPr="00F01CCA">
              <w:rPr>
                <w:sz w:val="16"/>
                <w:lang w:val="es-ES"/>
              </w:rPr>
              <w:t>Ferrocarril del Istmo de Tehuantepec, S.A. de C.V.</w:t>
            </w:r>
          </w:p>
        </w:tc>
      </w:tr>
      <w:tr w:rsidR="001B5252" w:rsidRPr="00FC7306" w:rsidTr="00C66416">
        <w:trPr>
          <w:jc w:val="center"/>
        </w:trPr>
        <w:tc>
          <w:tcPr>
            <w:tcW w:w="2778" w:type="dxa"/>
            <w:gridSpan w:val="3"/>
          </w:tcPr>
          <w:p w:rsidR="001B5252" w:rsidRPr="00FC7306" w:rsidRDefault="001B5252" w:rsidP="00C66416">
            <w:pPr>
              <w:spacing w:before="20"/>
              <w:rPr>
                <w:b/>
                <w:sz w:val="16"/>
                <w:lang w:val="es-ES"/>
              </w:rPr>
            </w:pPr>
            <w:r w:rsidRPr="00FC7306">
              <w:rPr>
                <w:b/>
                <w:sz w:val="16"/>
                <w:lang w:val="es-ES"/>
              </w:rPr>
              <w:t xml:space="preserve">Responsable </w:t>
            </w:r>
          </w:p>
        </w:tc>
        <w:tc>
          <w:tcPr>
            <w:tcW w:w="7287" w:type="dxa"/>
            <w:gridSpan w:val="2"/>
          </w:tcPr>
          <w:p w:rsidR="001B5252" w:rsidRPr="00FC7306" w:rsidRDefault="001B5252" w:rsidP="00C66416">
            <w:pPr>
              <w:spacing w:before="20"/>
              <w:rPr>
                <w:sz w:val="16"/>
                <w:lang w:val="es-ES"/>
              </w:rPr>
            </w:pPr>
            <w:r>
              <w:rPr>
                <w:sz w:val="16"/>
                <w:lang w:val="es-ES"/>
              </w:rPr>
              <w:t>Gustavo Baca Villanueva</w:t>
            </w:r>
          </w:p>
        </w:tc>
      </w:tr>
      <w:tr w:rsidR="001B5252" w:rsidRPr="00FC7306" w:rsidTr="00C66416">
        <w:trPr>
          <w:jc w:val="center"/>
        </w:trPr>
        <w:tc>
          <w:tcPr>
            <w:tcW w:w="2778" w:type="dxa"/>
            <w:gridSpan w:val="3"/>
            <w:tcBorders>
              <w:bottom w:val="single" w:sz="4" w:space="0" w:color="auto"/>
            </w:tcBorders>
            <w:shd w:val="clear" w:color="auto" w:fill="D9D9D9" w:themeFill="background1" w:themeFillShade="D9"/>
          </w:tcPr>
          <w:p w:rsidR="001B5252" w:rsidRPr="00FC7306" w:rsidRDefault="001B5252" w:rsidP="00C66416">
            <w:pPr>
              <w:spacing w:before="20"/>
              <w:rPr>
                <w:b/>
                <w:sz w:val="16"/>
                <w:lang w:val="es-ES"/>
              </w:rPr>
            </w:pPr>
            <w:r w:rsidRPr="00FC7306">
              <w:rPr>
                <w:b/>
                <w:sz w:val="16"/>
                <w:lang w:val="es-ES"/>
              </w:rPr>
              <w:t>Tipo de Evaluación</w:t>
            </w:r>
          </w:p>
        </w:tc>
        <w:tc>
          <w:tcPr>
            <w:tcW w:w="7287" w:type="dxa"/>
            <w:gridSpan w:val="2"/>
            <w:tcBorders>
              <w:bottom w:val="single" w:sz="4" w:space="0" w:color="auto"/>
            </w:tcBorders>
            <w:shd w:val="clear" w:color="auto" w:fill="D9D9D9" w:themeFill="background1" w:themeFillShade="D9"/>
          </w:tcPr>
          <w:p w:rsidR="001B5252" w:rsidRPr="00FC7306" w:rsidRDefault="001B5252" w:rsidP="00C66416">
            <w:pPr>
              <w:spacing w:before="20"/>
              <w:rPr>
                <w:sz w:val="16"/>
                <w:lang w:val="es-ES"/>
              </w:rPr>
            </w:pPr>
            <w:r w:rsidRPr="00FC7306">
              <w:rPr>
                <w:sz w:val="16"/>
                <w:lang w:val="es-ES"/>
              </w:rPr>
              <w:t>Complementaria</w:t>
            </w:r>
            <w:r>
              <w:rPr>
                <w:sz w:val="16"/>
                <w:lang w:val="es-ES"/>
              </w:rPr>
              <w:t>;</w:t>
            </w:r>
            <w:r w:rsidRPr="00FC7306">
              <w:rPr>
                <w:sz w:val="16"/>
                <w:lang w:val="es-ES"/>
              </w:rPr>
              <w:t xml:space="preserve"> </w:t>
            </w:r>
            <w:r>
              <w:rPr>
                <w:sz w:val="16"/>
                <w:lang w:val="es-ES"/>
              </w:rPr>
              <w:t>Diseño.</w:t>
            </w:r>
            <w:r w:rsidRPr="00FC7306">
              <w:rPr>
                <w:sz w:val="16"/>
                <w:lang w:val="es-ES"/>
              </w:rPr>
              <w:t xml:space="preserve"> </w:t>
            </w:r>
          </w:p>
        </w:tc>
      </w:tr>
    </w:tbl>
    <w:p w:rsidR="001B5252" w:rsidRPr="00FC7306" w:rsidRDefault="001B5252" w:rsidP="001B5252">
      <w:pPr>
        <w:rPr>
          <w:lang w:eastAsia="en-US"/>
        </w:rPr>
      </w:pPr>
    </w:p>
    <w:p w:rsidR="001B5252" w:rsidRPr="00FC7306" w:rsidRDefault="001B5252" w:rsidP="001B5252">
      <w:pPr>
        <w:jc w:val="both"/>
        <w:rPr>
          <w:b/>
          <w:lang w:val="es-ES"/>
        </w:rPr>
      </w:pPr>
      <w:r w:rsidRPr="00FC7306">
        <w:rPr>
          <w:b/>
          <w:lang w:val="es-ES"/>
        </w:rPr>
        <w:t>Descripción del P</w:t>
      </w:r>
      <w:r>
        <w:rPr>
          <w:b/>
          <w:lang w:val="es-ES"/>
        </w:rPr>
        <w:t>p</w:t>
      </w:r>
    </w:p>
    <w:p w:rsidR="001B5252" w:rsidRDefault="001B5252" w:rsidP="001B5252">
      <w:pPr>
        <w:jc w:val="both"/>
      </w:pPr>
      <w:r>
        <w:t>E</w:t>
      </w:r>
      <w:r w:rsidRPr="008C4132">
        <w:t>l Pp E022</w:t>
      </w:r>
      <w:r>
        <w:t>,</w:t>
      </w:r>
      <w:r w:rsidRPr="008C4132">
        <w:t xml:space="preserve"> Operación y Conservación de infraestructura ferroviaria</w:t>
      </w:r>
      <w:r>
        <w:t>, deriva de la fusión de los Pp E</w:t>
      </w:r>
      <w:r w:rsidRPr="008C4132">
        <w:t>l Pp E011 Conservación de infraestructura ferroviaria</w:t>
      </w:r>
      <w:r>
        <w:t>,</w:t>
      </w:r>
      <w:r w:rsidRPr="008C4132">
        <w:t xml:space="preserve"> con el Pp E022 Operación de infraestructura fer</w:t>
      </w:r>
      <w:r>
        <w:t xml:space="preserve">roviaria. </w:t>
      </w:r>
      <w:r w:rsidRPr="00FC7306">
        <w:t xml:space="preserve">El Pp </w:t>
      </w:r>
      <w:r>
        <w:t>define</w:t>
      </w:r>
      <w:r w:rsidRPr="00FC7306">
        <w:t xml:space="preserve"> como </w:t>
      </w:r>
      <w:r>
        <w:t>propósito en su MIR 2016 “U</w:t>
      </w:r>
      <w:r w:rsidRPr="00F400DE">
        <w:t>suarios de la red ferroviaria asignada e impuesta al Ferrocarril del Istmo de Tehuantepec, S.A. de C.V. (FIT), cuentan con una infraestructura en condiciones de uso seguro y eficiente</w:t>
      </w:r>
      <w:r>
        <w:t>”, asimismo tiene un componente “O</w:t>
      </w:r>
      <w:r w:rsidRPr="00F400DE">
        <w:t>peración y conservación de infraestructura ferroviaria realizada</w:t>
      </w:r>
      <w:r>
        <w:t>”</w:t>
      </w:r>
      <w:r w:rsidRPr="00F400DE">
        <w:t>.</w:t>
      </w:r>
    </w:p>
    <w:p w:rsidR="001B5252" w:rsidRPr="00FC7306" w:rsidRDefault="001B5252" w:rsidP="001B5252">
      <w:pPr>
        <w:jc w:val="both"/>
      </w:pPr>
      <w:r>
        <w:t>El Pp se alinea</w:t>
      </w:r>
      <w:r w:rsidRPr="00FC7306">
        <w:t xml:space="preserve"> con el PND</w:t>
      </w:r>
      <w:r>
        <w:t xml:space="preserve"> a través de la Meta Nacional IV</w:t>
      </w:r>
      <w:r w:rsidRPr="00FC7306">
        <w:t xml:space="preserve"> “</w:t>
      </w:r>
      <w:r w:rsidRPr="007E6C35">
        <w:t>México Próspero</w:t>
      </w:r>
      <w:r w:rsidRPr="00FC7306">
        <w:t>”</w:t>
      </w:r>
      <w:r>
        <w:t>,</w:t>
      </w:r>
      <w:r w:rsidRPr="00FC7306">
        <w:t xml:space="preserve"> </w:t>
      </w:r>
      <w:r>
        <w:t>“O</w:t>
      </w:r>
      <w:r w:rsidRPr="00FC7306">
        <w:t>bjetivo</w:t>
      </w:r>
      <w:r>
        <w:t xml:space="preserve"> </w:t>
      </w:r>
      <w:r w:rsidRPr="007E6C35">
        <w:t>4.9 Contar con una infraestructura de transporte que se refleje en menores costos para realizar la actividad económica</w:t>
      </w:r>
      <w:r w:rsidRPr="00FC7306">
        <w:t xml:space="preserve">” y </w:t>
      </w:r>
      <w:r>
        <w:t>“E</w:t>
      </w:r>
      <w:r w:rsidRPr="00FC7306">
        <w:t>strategia</w:t>
      </w:r>
      <w:r>
        <w:t xml:space="preserve"> </w:t>
      </w:r>
      <w:r w:rsidRPr="007E6C35">
        <w:t>4.9.1 Modernizar, ampliar y conservar la infraestructura de los diferentes modos de transporte, así como mejorar su conectividad bajo criteri</w:t>
      </w:r>
      <w:r>
        <w:t>os estratégicos y de eficiencia</w:t>
      </w:r>
      <w:r w:rsidRPr="00FC7306">
        <w:t>”.</w:t>
      </w:r>
    </w:p>
    <w:p w:rsidR="001B5252" w:rsidRPr="00FC7306" w:rsidRDefault="001B5252" w:rsidP="001B5252">
      <w:pPr>
        <w:jc w:val="both"/>
        <w:rPr>
          <w:b/>
          <w:lang w:val="es-ES"/>
        </w:rPr>
      </w:pPr>
      <w:r w:rsidRPr="00FC7306">
        <w:rPr>
          <w:b/>
          <w:lang w:val="es-ES"/>
        </w:rPr>
        <w:t>Principales Hallazgos</w:t>
      </w:r>
    </w:p>
    <w:p w:rsidR="001B5252" w:rsidRPr="00CD4D0C" w:rsidRDefault="001B5252" w:rsidP="001B5252">
      <w:pPr>
        <w:jc w:val="both"/>
        <w:rPr>
          <w:i/>
          <w:lang w:val="es-ES"/>
        </w:rPr>
      </w:pPr>
      <w:r w:rsidRPr="00CD4D0C">
        <w:rPr>
          <w:i/>
          <w:lang w:val="es-ES"/>
        </w:rPr>
        <w:t>Justificación de la creación y del diseño:</w:t>
      </w:r>
    </w:p>
    <w:p w:rsidR="001B5252" w:rsidRPr="00FC7306" w:rsidRDefault="001B5252" w:rsidP="001B5252">
      <w:pPr>
        <w:jc w:val="both"/>
        <w:rPr>
          <w:lang w:val="es-ES"/>
        </w:rPr>
      </w:pPr>
      <w:r w:rsidRPr="00FC7306">
        <w:rPr>
          <w:lang w:val="es-ES"/>
        </w:rPr>
        <w:t xml:space="preserve">El Pp </w:t>
      </w:r>
      <w:r>
        <w:rPr>
          <w:lang w:val="es-ES"/>
        </w:rPr>
        <w:t>tiene identificado el problema que atiende, mismo que versa sobre “L</w:t>
      </w:r>
      <w:r w:rsidRPr="00B56FB3">
        <w:rPr>
          <w:lang w:val="es-ES"/>
        </w:rPr>
        <w:t>as vías de la red ferroviaria asignada al FIT</w:t>
      </w:r>
      <w:r>
        <w:rPr>
          <w:lang w:val="es-ES"/>
        </w:rPr>
        <w:t>,</w:t>
      </w:r>
      <w:r w:rsidRPr="00B56FB3">
        <w:rPr>
          <w:lang w:val="es-ES"/>
        </w:rPr>
        <w:t xml:space="preserve"> así como la imposición de las vías férreas de Chiapas-Mayab</w:t>
      </w:r>
      <w:r>
        <w:rPr>
          <w:lang w:val="es-ES"/>
        </w:rPr>
        <w:t>,</w:t>
      </w:r>
      <w:r w:rsidRPr="00B56FB3">
        <w:rPr>
          <w:lang w:val="es-ES"/>
        </w:rPr>
        <w:t xml:space="preserve"> no se encuentran rehabilitadas ni en buenas condiciones de uso operativo para atender a sus usuarios</w:t>
      </w:r>
      <w:r>
        <w:rPr>
          <w:lang w:val="es-ES"/>
        </w:rPr>
        <w:t>”.</w:t>
      </w:r>
    </w:p>
    <w:p w:rsidR="001B5252" w:rsidRPr="00CD4D0C" w:rsidRDefault="001B5252" w:rsidP="001B5252">
      <w:pPr>
        <w:jc w:val="both"/>
        <w:rPr>
          <w:i/>
          <w:lang w:val="es-ES"/>
        </w:rPr>
      </w:pPr>
      <w:r w:rsidRPr="00CD4D0C">
        <w:rPr>
          <w:i/>
          <w:lang w:val="es-ES"/>
        </w:rPr>
        <w:lastRenderedPageBreak/>
        <w:t>Contribución a las metas y estrategias nacionales:</w:t>
      </w:r>
    </w:p>
    <w:p w:rsidR="001B5252" w:rsidRPr="00B62E31" w:rsidRDefault="001B5252" w:rsidP="001B5252">
      <w:pPr>
        <w:tabs>
          <w:tab w:val="left" w:pos="4230"/>
        </w:tabs>
        <w:jc w:val="both"/>
        <w:rPr>
          <w:rFonts w:eastAsia="Times New Roman" w:cs="Arial"/>
          <w:szCs w:val="22"/>
          <w:lang w:val="es-MX"/>
        </w:rPr>
      </w:pPr>
      <w:r w:rsidRPr="00FC7306">
        <w:rPr>
          <w:rFonts w:eastAsia="Times New Roman" w:cs="Arial"/>
          <w:szCs w:val="22"/>
          <w:lang w:val="es-ES"/>
        </w:rPr>
        <w:t xml:space="preserve">El Pp </w:t>
      </w:r>
      <w:r>
        <w:rPr>
          <w:rFonts w:eastAsia="Times New Roman" w:cs="Arial"/>
          <w:szCs w:val="22"/>
          <w:lang w:val="es-ES"/>
        </w:rPr>
        <w:t xml:space="preserve">contribuye a los siguientes programas derivados del PND: </w:t>
      </w:r>
      <w:r w:rsidRPr="00B62E31">
        <w:rPr>
          <w:rFonts w:eastAsia="Times New Roman" w:cs="Arial"/>
          <w:szCs w:val="22"/>
          <w:lang w:val="es-ES"/>
        </w:rPr>
        <w:t>Programa Sectorial de Comunicaciones y Transportes 2013-2018</w:t>
      </w:r>
      <w:r>
        <w:rPr>
          <w:rFonts w:eastAsia="Times New Roman" w:cs="Arial"/>
          <w:szCs w:val="22"/>
          <w:lang w:val="es-ES"/>
        </w:rPr>
        <w:t xml:space="preserve"> (PSCT) y </w:t>
      </w:r>
      <w:r w:rsidRPr="00B62E31">
        <w:rPr>
          <w:rFonts w:eastAsia="Times New Roman" w:cs="Arial"/>
          <w:szCs w:val="22"/>
          <w:lang w:val="es-ES"/>
        </w:rPr>
        <w:t>Programa Nacional de Infraestructura 2014-2018</w:t>
      </w:r>
      <w:r>
        <w:rPr>
          <w:rFonts w:eastAsia="Times New Roman" w:cs="Arial"/>
          <w:szCs w:val="22"/>
          <w:lang w:val="es-ES"/>
        </w:rPr>
        <w:t xml:space="preserve">. Debido a la fusión del Pp realizada para 2016 se alinea con dos objetivos del </w:t>
      </w:r>
      <w:r w:rsidRPr="006F662E">
        <w:rPr>
          <w:rFonts w:eastAsia="Times New Roman" w:cs="Arial"/>
          <w:szCs w:val="22"/>
          <w:lang w:val="es-ES"/>
        </w:rPr>
        <w:t>PSCT</w:t>
      </w:r>
      <w:r>
        <w:rPr>
          <w:rFonts w:eastAsia="Times New Roman" w:cs="Arial"/>
          <w:szCs w:val="22"/>
          <w:lang w:val="es-ES"/>
        </w:rPr>
        <w:t xml:space="preserve"> 1) </w:t>
      </w:r>
      <w:r w:rsidRPr="006F662E">
        <w:rPr>
          <w:rFonts w:eastAsia="Times New Roman" w:cs="Arial"/>
          <w:szCs w:val="22"/>
          <w:lang w:val="es-ES"/>
        </w:rPr>
        <w:t>Desarrollar una infraestructura de transporte y logística multimodal que genere costos competitivos, mejore la seguridad e impulse el desarrollo económico y social</w:t>
      </w:r>
      <w:r>
        <w:rPr>
          <w:rFonts w:eastAsia="Times New Roman" w:cs="Arial"/>
          <w:szCs w:val="22"/>
          <w:lang w:val="es-ES"/>
        </w:rPr>
        <w:t xml:space="preserve">, y 2) </w:t>
      </w:r>
      <w:r w:rsidRPr="006F662E">
        <w:rPr>
          <w:rFonts w:eastAsia="Times New Roman" w:cs="Arial"/>
          <w:szCs w:val="22"/>
          <w:lang w:val="es-ES"/>
        </w:rPr>
        <w:t>Contar con servicios logísticos de transporte oportunos, eficientes y seguros que incrementen la competitividad y productividad de las actividades económicas</w:t>
      </w:r>
      <w:r>
        <w:rPr>
          <w:rFonts w:eastAsia="Times New Roman" w:cs="Arial"/>
          <w:szCs w:val="22"/>
          <w:lang w:val="es-ES"/>
        </w:rPr>
        <w:t>.</w:t>
      </w:r>
    </w:p>
    <w:p w:rsidR="001B5252" w:rsidRPr="00CD4D0C" w:rsidRDefault="001B5252" w:rsidP="001B5252">
      <w:pPr>
        <w:jc w:val="both"/>
        <w:rPr>
          <w:i/>
          <w:lang w:val="es-ES"/>
        </w:rPr>
      </w:pPr>
      <w:r w:rsidRPr="00CD4D0C">
        <w:rPr>
          <w:i/>
          <w:lang w:val="es-ES"/>
        </w:rPr>
        <w:t>Población potencial, objetivo y mecanismos de elegibilidad:</w:t>
      </w:r>
    </w:p>
    <w:p w:rsidR="001B5252" w:rsidRPr="00FC7306" w:rsidRDefault="001B5252" w:rsidP="001B5252">
      <w:pPr>
        <w:jc w:val="both"/>
        <w:rPr>
          <w:lang w:val="es-ES"/>
        </w:rPr>
      </w:pPr>
      <w:r>
        <w:rPr>
          <w:lang w:val="es-ES"/>
        </w:rPr>
        <w:t>El Pp no cuenta con una definición de su población potencial y atendida. E</w:t>
      </w:r>
      <w:r w:rsidRPr="00310023">
        <w:rPr>
          <w:lang w:val="es-ES"/>
        </w:rPr>
        <w:t xml:space="preserve">l </w:t>
      </w:r>
      <w:r>
        <w:rPr>
          <w:lang w:val="es-ES"/>
        </w:rPr>
        <w:t>Pp</w:t>
      </w:r>
      <w:r w:rsidRPr="00310023">
        <w:rPr>
          <w:lang w:val="es-ES"/>
        </w:rPr>
        <w:t xml:space="preserve"> está sujeto a la demanda del servicio de transporte de carga y por ello no tiene especificada una población objetivo, sin embargo, el programa </w:t>
      </w:r>
      <w:r>
        <w:rPr>
          <w:lang w:val="es-ES"/>
        </w:rPr>
        <w:t>identifica a sus</w:t>
      </w:r>
      <w:r w:rsidRPr="00310023">
        <w:rPr>
          <w:lang w:val="es-ES"/>
        </w:rPr>
        <w:t xml:space="preserve"> usuarios, que son aquellos que demandan o que pudieran demandar el servicio de transporte de carga</w:t>
      </w:r>
      <w:r>
        <w:rPr>
          <w:lang w:val="es-ES"/>
        </w:rPr>
        <w:t>.</w:t>
      </w:r>
    </w:p>
    <w:p w:rsidR="001B5252" w:rsidRPr="0037606D" w:rsidRDefault="001B5252" w:rsidP="001B5252">
      <w:pPr>
        <w:jc w:val="both"/>
        <w:rPr>
          <w:i/>
          <w:lang w:val="es-ES"/>
        </w:rPr>
      </w:pPr>
      <w:r w:rsidRPr="0037606D">
        <w:rPr>
          <w:i/>
          <w:lang w:val="es-ES"/>
        </w:rPr>
        <w:t>Padrón de beneficiarios y mecanismos de atención:</w:t>
      </w:r>
    </w:p>
    <w:p w:rsidR="001B5252" w:rsidRPr="00FC7306" w:rsidRDefault="001B5252" w:rsidP="001B5252">
      <w:pPr>
        <w:jc w:val="both"/>
        <w:rPr>
          <w:lang w:val="es-ES"/>
        </w:rPr>
      </w:pPr>
      <w:r w:rsidRPr="0025154A">
        <w:rPr>
          <w:lang w:val="es-ES"/>
        </w:rPr>
        <w:t>El P</w:t>
      </w:r>
      <w:r>
        <w:rPr>
          <w:lang w:val="es-ES"/>
        </w:rPr>
        <w:t>p</w:t>
      </w:r>
      <w:r w:rsidRPr="0025154A">
        <w:rPr>
          <w:lang w:val="es-ES"/>
        </w:rPr>
        <w:t xml:space="preserve"> no cuenta con un padrón de benefici</w:t>
      </w:r>
      <w:r>
        <w:rPr>
          <w:lang w:val="es-ES"/>
        </w:rPr>
        <w:t>arios, puesto</w:t>
      </w:r>
      <w:r w:rsidRPr="0025154A">
        <w:rPr>
          <w:lang w:val="es-ES"/>
        </w:rPr>
        <w:t xml:space="preserve"> que busca proveer un servicio de transporte de carga</w:t>
      </w:r>
      <w:r>
        <w:rPr>
          <w:lang w:val="es-ES"/>
        </w:rPr>
        <w:t xml:space="preserve">, aunque de manera indirecta </w:t>
      </w:r>
      <w:r w:rsidRPr="0025154A">
        <w:rPr>
          <w:lang w:val="es-ES"/>
        </w:rPr>
        <w:t xml:space="preserve">recopila información básica de </w:t>
      </w:r>
      <w:r>
        <w:rPr>
          <w:lang w:val="es-ES"/>
        </w:rPr>
        <w:t>sus</w:t>
      </w:r>
      <w:r w:rsidRPr="0025154A">
        <w:rPr>
          <w:lang w:val="es-ES"/>
        </w:rPr>
        <w:t xml:space="preserve"> usuarios atendidos.</w:t>
      </w:r>
    </w:p>
    <w:p w:rsidR="001B5252" w:rsidRPr="00CD4D0C" w:rsidRDefault="001B5252" w:rsidP="001B5252">
      <w:pPr>
        <w:jc w:val="both"/>
        <w:rPr>
          <w:i/>
          <w:lang w:val="es-ES"/>
        </w:rPr>
      </w:pPr>
      <w:r w:rsidRPr="00CD4D0C">
        <w:rPr>
          <w:i/>
          <w:lang w:val="es-ES"/>
        </w:rPr>
        <w:t>Matriz de Indicadores para Resultados:</w:t>
      </w:r>
    </w:p>
    <w:p w:rsidR="001B5252" w:rsidRDefault="001B5252" w:rsidP="001B5252">
      <w:pPr>
        <w:tabs>
          <w:tab w:val="left" w:pos="4230"/>
        </w:tabs>
        <w:jc w:val="both"/>
        <w:rPr>
          <w:rFonts w:eastAsia="Times New Roman" w:cs="Arial"/>
          <w:szCs w:val="22"/>
          <w:lang w:val="es-ES"/>
        </w:rPr>
      </w:pPr>
      <w:r>
        <w:rPr>
          <w:rFonts w:eastAsia="Times New Roman" w:cs="Arial"/>
          <w:szCs w:val="22"/>
          <w:lang w:val="es-ES"/>
        </w:rPr>
        <w:t>Se analizaron y valoraron por separado las MIR 2015 de los Pp E011 y E022. Se identificaron áreas de mejora, entre las que destacan las siguientes: 1) d</w:t>
      </w:r>
      <w:r w:rsidRPr="00BE06EB">
        <w:rPr>
          <w:rFonts w:eastAsia="Times New Roman" w:cs="Arial"/>
          <w:szCs w:val="22"/>
          <w:lang w:val="es-ES"/>
        </w:rPr>
        <w:t xml:space="preserve">e acuerdo </w:t>
      </w:r>
      <w:r>
        <w:rPr>
          <w:rFonts w:eastAsia="Times New Roman" w:cs="Arial"/>
          <w:szCs w:val="22"/>
          <w:lang w:val="es-ES"/>
        </w:rPr>
        <w:t>con</w:t>
      </w:r>
      <w:r w:rsidRPr="00BE06EB">
        <w:rPr>
          <w:rFonts w:eastAsia="Times New Roman" w:cs="Arial"/>
          <w:szCs w:val="22"/>
          <w:lang w:val="es-ES"/>
        </w:rPr>
        <w:t xml:space="preserve"> la nueva estructura programática para 2016, los P</w:t>
      </w:r>
      <w:r>
        <w:rPr>
          <w:rFonts w:eastAsia="Times New Roman" w:cs="Arial"/>
          <w:szCs w:val="22"/>
          <w:lang w:val="es-ES"/>
        </w:rPr>
        <w:t>p</w:t>
      </w:r>
      <w:r w:rsidRPr="00BE06EB">
        <w:rPr>
          <w:rFonts w:eastAsia="Times New Roman" w:cs="Arial"/>
          <w:szCs w:val="22"/>
          <w:lang w:val="es-ES"/>
        </w:rPr>
        <w:t xml:space="preserve"> E011 y E022 se deben fusionar</w:t>
      </w:r>
      <w:r>
        <w:rPr>
          <w:rFonts w:eastAsia="Times New Roman" w:cs="Arial"/>
          <w:szCs w:val="22"/>
          <w:lang w:val="es-ES"/>
        </w:rPr>
        <w:t>,</w:t>
      </w:r>
      <w:r w:rsidRPr="00BE06EB">
        <w:rPr>
          <w:rFonts w:eastAsia="Times New Roman" w:cs="Arial"/>
          <w:szCs w:val="22"/>
          <w:lang w:val="es-ES"/>
        </w:rPr>
        <w:t xml:space="preserve"> </w:t>
      </w:r>
      <w:r>
        <w:rPr>
          <w:rFonts w:eastAsia="Times New Roman" w:cs="Arial"/>
          <w:szCs w:val="22"/>
          <w:lang w:val="es-ES"/>
        </w:rPr>
        <w:t>puesto</w:t>
      </w:r>
      <w:r w:rsidRPr="00BE06EB">
        <w:rPr>
          <w:rFonts w:eastAsia="Times New Roman" w:cs="Arial"/>
          <w:szCs w:val="22"/>
          <w:lang w:val="es-ES"/>
        </w:rPr>
        <w:t xml:space="preserve"> que el propósito de cada uno de ellos resulta complementario del otro. Por un lado</w:t>
      </w:r>
      <w:r>
        <w:rPr>
          <w:rFonts w:eastAsia="Times New Roman" w:cs="Arial"/>
          <w:szCs w:val="22"/>
          <w:lang w:val="es-ES"/>
        </w:rPr>
        <w:t>,</w:t>
      </w:r>
      <w:r w:rsidRPr="00BE06EB">
        <w:rPr>
          <w:rFonts w:eastAsia="Times New Roman" w:cs="Arial"/>
          <w:szCs w:val="22"/>
          <w:lang w:val="es-ES"/>
        </w:rPr>
        <w:t xml:space="preserve"> se busca la conservación de la infraestructura ferroviaria asignada al FIT y, por el otro, se encuentra la operación de la misma infraestructura. En este sentido, la conservación es una condición necesaria para la correcta operación de la infraestructura ferroviaria</w:t>
      </w:r>
      <w:r>
        <w:rPr>
          <w:rFonts w:eastAsia="Times New Roman" w:cs="Arial"/>
          <w:szCs w:val="22"/>
          <w:lang w:val="es-ES"/>
        </w:rPr>
        <w:t>; 2) p</w:t>
      </w:r>
      <w:r w:rsidRPr="00BE06EB">
        <w:rPr>
          <w:rFonts w:eastAsia="Times New Roman" w:cs="Arial"/>
          <w:szCs w:val="22"/>
          <w:lang w:val="es-ES"/>
        </w:rPr>
        <w:t>ara ambos programas se debe replantear el nivel componente, ya que este no se especifica como el servicio de tr</w:t>
      </w:r>
      <w:r>
        <w:rPr>
          <w:rFonts w:eastAsia="Times New Roman" w:cs="Arial"/>
          <w:szCs w:val="22"/>
          <w:lang w:val="es-ES"/>
        </w:rPr>
        <w:t>ansporte de carga de mercancías, y 3)</w:t>
      </w:r>
      <w:r w:rsidRPr="00BE06EB">
        <w:t xml:space="preserve"> </w:t>
      </w:r>
      <w:r>
        <w:t>a</w:t>
      </w:r>
      <w:r w:rsidRPr="00BE06EB">
        <w:rPr>
          <w:rFonts w:eastAsia="Times New Roman" w:cs="Arial"/>
          <w:szCs w:val="22"/>
          <w:lang w:val="es-ES"/>
        </w:rPr>
        <w:t xml:space="preserve"> nivel propósito se requiere que los indicadores permitan evaluar el objetivo a ese nivel del resumen narrativo, </w:t>
      </w:r>
      <w:r>
        <w:rPr>
          <w:rFonts w:eastAsia="Times New Roman" w:cs="Arial"/>
          <w:szCs w:val="22"/>
          <w:lang w:val="es-ES"/>
        </w:rPr>
        <w:t>debido a</w:t>
      </w:r>
      <w:r w:rsidRPr="00BE06EB">
        <w:rPr>
          <w:rFonts w:eastAsia="Times New Roman" w:cs="Arial"/>
          <w:szCs w:val="22"/>
          <w:lang w:val="es-ES"/>
        </w:rPr>
        <w:t xml:space="preserve"> que por el momento no se ha logrado.</w:t>
      </w:r>
    </w:p>
    <w:p w:rsidR="001B5252" w:rsidRPr="00CD4D0C" w:rsidRDefault="001B5252" w:rsidP="001B5252">
      <w:pPr>
        <w:jc w:val="both"/>
        <w:rPr>
          <w:i/>
          <w:lang w:val="es-ES"/>
        </w:rPr>
      </w:pPr>
      <w:r w:rsidRPr="00CD4D0C">
        <w:rPr>
          <w:i/>
          <w:lang w:val="es-ES"/>
        </w:rPr>
        <w:t>Presupuesto y rendición de cuentas:</w:t>
      </w:r>
    </w:p>
    <w:p w:rsidR="001B5252" w:rsidRDefault="001B5252" w:rsidP="001B5252">
      <w:pPr>
        <w:jc w:val="both"/>
        <w:rPr>
          <w:rFonts w:eastAsia="Times New Roman" w:cs="Arial"/>
          <w:szCs w:val="22"/>
          <w:lang w:val="es-ES"/>
        </w:rPr>
      </w:pPr>
      <w:r w:rsidRPr="002026A8">
        <w:rPr>
          <w:rFonts w:eastAsia="Times New Roman" w:cs="Arial"/>
          <w:szCs w:val="22"/>
          <w:lang w:val="es-ES"/>
        </w:rPr>
        <w:t>El presupuesto ejercido por el FIT durante el periodo 2012-2014 tuvo variaciones significativas</w:t>
      </w:r>
      <w:r>
        <w:rPr>
          <w:rFonts w:eastAsia="Times New Roman" w:cs="Arial"/>
          <w:szCs w:val="22"/>
          <w:lang w:val="es-ES"/>
        </w:rPr>
        <w:t>;</w:t>
      </w:r>
      <w:r w:rsidRPr="002026A8">
        <w:rPr>
          <w:rFonts w:eastAsia="Times New Roman" w:cs="Arial"/>
          <w:szCs w:val="22"/>
          <w:lang w:val="es-ES"/>
        </w:rPr>
        <w:t xml:space="preserve"> en 2012 se destinó en mayor proporción a los conceptos </w:t>
      </w:r>
      <w:r>
        <w:rPr>
          <w:rFonts w:eastAsia="Times New Roman" w:cs="Arial"/>
          <w:szCs w:val="22"/>
          <w:lang w:val="es-ES"/>
        </w:rPr>
        <w:t>correspondientes a</w:t>
      </w:r>
      <w:r w:rsidRPr="002026A8">
        <w:rPr>
          <w:rFonts w:eastAsia="Times New Roman" w:cs="Arial"/>
          <w:szCs w:val="22"/>
          <w:lang w:val="es-ES"/>
        </w:rPr>
        <w:t xml:space="preserve"> los </w:t>
      </w:r>
      <w:r>
        <w:rPr>
          <w:rFonts w:eastAsia="Times New Roman" w:cs="Arial"/>
          <w:szCs w:val="22"/>
          <w:lang w:val="es-ES"/>
        </w:rPr>
        <w:t>c</w:t>
      </w:r>
      <w:r w:rsidRPr="002026A8">
        <w:rPr>
          <w:rFonts w:eastAsia="Times New Roman" w:cs="Arial"/>
          <w:szCs w:val="22"/>
          <w:lang w:val="es-ES"/>
        </w:rPr>
        <w:t xml:space="preserve">apítulos 1000, 2000 y 3000; mientras que en 2013, lo hizo </w:t>
      </w:r>
      <w:r>
        <w:rPr>
          <w:rFonts w:eastAsia="Times New Roman" w:cs="Arial"/>
          <w:szCs w:val="22"/>
          <w:lang w:val="es-ES"/>
        </w:rPr>
        <w:t xml:space="preserve">principalmente </w:t>
      </w:r>
      <w:r w:rsidRPr="002026A8">
        <w:rPr>
          <w:rFonts w:eastAsia="Times New Roman" w:cs="Arial"/>
          <w:szCs w:val="22"/>
          <w:lang w:val="es-ES"/>
        </w:rPr>
        <w:t xml:space="preserve">a las partidas presupuestales de los </w:t>
      </w:r>
      <w:r>
        <w:rPr>
          <w:rFonts w:eastAsia="Times New Roman" w:cs="Arial"/>
          <w:szCs w:val="22"/>
          <w:lang w:val="es-ES"/>
        </w:rPr>
        <w:t>c</w:t>
      </w:r>
      <w:r w:rsidRPr="002026A8">
        <w:rPr>
          <w:rFonts w:eastAsia="Times New Roman" w:cs="Arial"/>
          <w:szCs w:val="22"/>
          <w:lang w:val="es-ES"/>
        </w:rPr>
        <w:t>apítulos 1000 y 3000</w:t>
      </w:r>
      <w:r>
        <w:rPr>
          <w:rFonts w:eastAsia="Times New Roman" w:cs="Arial"/>
          <w:szCs w:val="22"/>
          <w:lang w:val="es-ES"/>
        </w:rPr>
        <w:t>,</w:t>
      </w:r>
      <w:r w:rsidRPr="002026A8">
        <w:rPr>
          <w:rFonts w:eastAsia="Times New Roman" w:cs="Arial"/>
          <w:szCs w:val="22"/>
          <w:lang w:val="es-ES"/>
        </w:rPr>
        <w:t xml:space="preserve"> y al cierre de 2014 tuvo un mayor gasto en el </w:t>
      </w:r>
      <w:r>
        <w:rPr>
          <w:rFonts w:eastAsia="Times New Roman" w:cs="Arial"/>
          <w:szCs w:val="22"/>
          <w:lang w:val="es-ES"/>
        </w:rPr>
        <w:t>c</w:t>
      </w:r>
      <w:r w:rsidRPr="002026A8">
        <w:rPr>
          <w:rFonts w:eastAsia="Times New Roman" w:cs="Arial"/>
          <w:szCs w:val="22"/>
          <w:lang w:val="es-ES"/>
        </w:rPr>
        <w:t>apítulo 6000-Inversión Pública</w:t>
      </w:r>
      <w:r>
        <w:rPr>
          <w:rFonts w:eastAsia="Times New Roman" w:cs="Arial"/>
          <w:szCs w:val="22"/>
          <w:lang w:val="es-ES"/>
        </w:rPr>
        <w:t>.</w:t>
      </w:r>
      <w:r w:rsidRPr="002026A8">
        <w:rPr>
          <w:rFonts w:eastAsia="Times New Roman" w:cs="Arial"/>
          <w:szCs w:val="22"/>
          <w:lang w:val="es-ES"/>
        </w:rPr>
        <w:t xml:space="preserve"> </w:t>
      </w:r>
    </w:p>
    <w:p w:rsidR="001B5252" w:rsidRPr="00CD4D0C" w:rsidRDefault="001B5252" w:rsidP="001B5252">
      <w:pPr>
        <w:jc w:val="both"/>
        <w:rPr>
          <w:i/>
          <w:lang w:val="es-ES"/>
        </w:rPr>
      </w:pPr>
      <w:r w:rsidRPr="00CD4D0C">
        <w:rPr>
          <w:i/>
          <w:lang w:val="es-ES"/>
        </w:rPr>
        <w:t>Complementariedades y coincidencias con otros Pp federales:</w:t>
      </w:r>
    </w:p>
    <w:p w:rsidR="001B5252" w:rsidRDefault="001B5252" w:rsidP="001B5252">
      <w:pPr>
        <w:tabs>
          <w:tab w:val="left" w:pos="4230"/>
        </w:tabs>
        <w:jc w:val="both"/>
        <w:rPr>
          <w:rFonts w:eastAsia="Times New Roman" w:cs="Arial"/>
          <w:szCs w:val="22"/>
          <w:lang w:val="es-ES"/>
        </w:rPr>
      </w:pPr>
      <w:r>
        <w:rPr>
          <w:rFonts w:eastAsia="Times New Roman" w:cs="Arial"/>
          <w:szCs w:val="22"/>
          <w:lang w:val="es-ES"/>
        </w:rPr>
        <w:t xml:space="preserve">Se identificó complementariedad con el Pp </w:t>
      </w:r>
      <w:r w:rsidRPr="00D06462">
        <w:rPr>
          <w:rFonts w:eastAsia="Times New Roman" w:cs="Arial"/>
          <w:szCs w:val="22"/>
          <w:lang w:val="es-ES"/>
        </w:rPr>
        <w:t>K040 Proyectos</w:t>
      </w:r>
      <w:r>
        <w:rPr>
          <w:rFonts w:eastAsia="Times New Roman" w:cs="Arial"/>
          <w:szCs w:val="22"/>
          <w:lang w:val="es-ES"/>
        </w:rPr>
        <w:t xml:space="preserve"> de Infraestructura Ferroviaria</w:t>
      </w:r>
      <w:r w:rsidRPr="00D06462">
        <w:rPr>
          <w:rFonts w:eastAsia="Times New Roman" w:cs="Arial"/>
          <w:szCs w:val="22"/>
          <w:lang w:val="es-ES"/>
        </w:rPr>
        <w:t>.</w:t>
      </w:r>
    </w:p>
    <w:p w:rsidR="001B5252" w:rsidRDefault="001B5252" w:rsidP="001B5252">
      <w:pPr>
        <w:spacing w:after="0"/>
        <w:rPr>
          <w:b/>
          <w:lang w:val="es-ES"/>
        </w:rPr>
      </w:pPr>
      <w:r>
        <w:rPr>
          <w:b/>
          <w:lang w:val="es-ES"/>
        </w:rPr>
        <w:br w:type="page"/>
      </w:r>
    </w:p>
    <w:p w:rsidR="001B5252" w:rsidRPr="00FC7306" w:rsidRDefault="001B5252" w:rsidP="001B5252">
      <w:pPr>
        <w:jc w:val="both"/>
        <w:rPr>
          <w:b/>
          <w:lang w:val="es-ES"/>
        </w:rPr>
      </w:pPr>
      <w:r w:rsidRPr="00FC7306">
        <w:rPr>
          <w:b/>
          <w:lang w:val="es-ES"/>
        </w:rPr>
        <w:lastRenderedPageBreak/>
        <w:t>Principales Recomendaciones</w:t>
      </w:r>
    </w:p>
    <w:p w:rsidR="001B5252" w:rsidRDefault="001B5252" w:rsidP="001B5252">
      <w:pPr>
        <w:pStyle w:val="Bala"/>
      </w:pPr>
      <w:r>
        <w:t xml:space="preserve">Adecuar la </w:t>
      </w:r>
      <w:r w:rsidRPr="00805F49">
        <w:t xml:space="preserve">lógica vertical del </w:t>
      </w:r>
      <w:r>
        <w:t>Pp</w:t>
      </w:r>
      <w:r w:rsidRPr="00805F49">
        <w:t>, lo que favorecerá las relaciones de causalidad</w:t>
      </w:r>
      <w:r>
        <w:t>, p</w:t>
      </w:r>
      <w:r w:rsidRPr="002E00B3">
        <w:rPr>
          <w:lang w:eastAsia="es-MX"/>
        </w:rPr>
        <w:t>ara poder asegurar que el programa contribuye de manera directa a la planeación nacional, y en especial a la sectorial</w:t>
      </w:r>
      <w:r>
        <w:rPr>
          <w:lang w:eastAsia="es-MX"/>
        </w:rPr>
        <w:t>.</w:t>
      </w:r>
    </w:p>
    <w:p w:rsidR="001B5252" w:rsidRPr="00C4646B" w:rsidRDefault="001B5252" w:rsidP="001B5252">
      <w:pPr>
        <w:pStyle w:val="Bala"/>
      </w:pPr>
      <w:r>
        <w:t>Replantear los componentes y el propósito de los Pp E011 y E022, en función de lo anterior.</w:t>
      </w:r>
      <w:r w:rsidRPr="00FC7306">
        <w:t xml:space="preserve"> </w:t>
      </w:r>
    </w:p>
    <w:p w:rsidR="001B5252" w:rsidRPr="00C4646B" w:rsidRDefault="001B5252" w:rsidP="001B5252">
      <w:pPr>
        <w:pStyle w:val="Bala"/>
      </w:pPr>
      <w:r w:rsidRPr="00C4646B">
        <w:t xml:space="preserve">Especificar </w:t>
      </w:r>
      <w:r>
        <w:t>los indicadores a nivel de componente</w:t>
      </w:r>
      <w:r w:rsidRPr="00805F49">
        <w:t>, propósito y fin</w:t>
      </w:r>
      <w:r>
        <w:t>, ya que</w:t>
      </w:r>
      <w:r w:rsidRPr="00805F49">
        <w:t xml:space="preserve"> no miden de forma integral </w:t>
      </w:r>
      <w:r>
        <w:t>los objetivos señalados en los resúmenes narrativos.</w:t>
      </w:r>
    </w:p>
    <w:p w:rsidR="001B5252" w:rsidRPr="00FC7306" w:rsidRDefault="001B5252" w:rsidP="001B5252">
      <w:pPr>
        <w:pStyle w:val="Prrafodelista"/>
        <w:tabs>
          <w:tab w:val="left" w:pos="4230"/>
        </w:tabs>
        <w:spacing w:after="120" w:line="240" w:lineRule="auto"/>
        <w:jc w:val="both"/>
        <w:rPr>
          <w:rFonts w:ascii="Soberana Sans" w:eastAsia="Times New Roman" w:hAnsi="Soberana Sans" w:cs="Arial"/>
          <w:lang w:val="es-ES"/>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1B5252" w:rsidRPr="00FC7306" w:rsidTr="001B5252">
        <w:trPr>
          <w:trHeight w:val="675"/>
        </w:trPr>
        <w:tc>
          <w:tcPr>
            <w:tcW w:w="749" w:type="pct"/>
            <w:vAlign w:val="center"/>
          </w:tcPr>
          <w:p w:rsidR="001B5252" w:rsidRPr="00FC7306" w:rsidRDefault="001B5252" w:rsidP="001B5252">
            <w:pPr>
              <w:spacing w:before="20" w:after="0"/>
              <w:ind w:left="170"/>
              <w:rPr>
                <w:b/>
                <w:sz w:val="16"/>
                <w:lang w:val="es-ES"/>
              </w:rPr>
            </w:pPr>
            <w:r w:rsidRPr="00FC7306">
              <w:rPr>
                <w:b/>
                <w:sz w:val="16"/>
                <w:lang w:val="es-ES"/>
              </w:rPr>
              <w:t>Evaluador Externo</w:t>
            </w:r>
          </w:p>
        </w:tc>
        <w:tc>
          <w:tcPr>
            <w:tcW w:w="4251" w:type="pct"/>
            <w:gridSpan w:val="3"/>
            <w:vAlign w:val="center"/>
          </w:tcPr>
          <w:p w:rsidR="001B5252" w:rsidRPr="00FC7306" w:rsidRDefault="001B5252" w:rsidP="001B5252">
            <w:pPr>
              <w:spacing w:before="20" w:after="0"/>
              <w:ind w:left="113"/>
              <w:rPr>
                <w:rFonts w:eastAsia="Times New Roman"/>
                <w:sz w:val="16"/>
                <w:szCs w:val="16"/>
                <w:lang w:val="es-MX" w:eastAsia="en-US"/>
              </w:rPr>
            </w:pPr>
            <w:r w:rsidRPr="00FC7306">
              <w:rPr>
                <w:sz w:val="16"/>
                <w:lang w:val="es-ES"/>
              </w:rPr>
              <w:t>1. Instancia Evaluadora</w:t>
            </w:r>
            <w:r>
              <w:rPr>
                <w:sz w:val="16"/>
                <w:lang w:val="es-ES"/>
              </w:rPr>
              <w:t>:</w:t>
            </w:r>
            <w:r w:rsidRPr="00FC7306">
              <w:rPr>
                <w:sz w:val="16"/>
                <w:lang w:val="es-ES"/>
              </w:rPr>
              <w:t xml:space="preserve"> </w:t>
            </w:r>
            <w:r w:rsidRPr="00E8095F">
              <w:rPr>
                <w:sz w:val="16"/>
                <w:lang w:val="es-ES"/>
              </w:rPr>
              <w:t>Universidad Nacional Autónoma de México</w:t>
            </w:r>
            <w:r w:rsidRPr="00FC7306">
              <w:rPr>
                <w:sz w:val="16"/>
                <w:lang w:val="es-ES"/>
              </w:rPr>
              <w:t xml:space="preserve">. </w:t>
            </w:r>
          </w:p>
          <w:p w:rsidR="001B5252" w:rsidRPr="00FC7306" w:rsidRDefault="001B5252" w:rsidP="001B5252">
            <w:pPr>
              <w:spacing w:before="20" w:after="0"/>
              <w:ind w:left="113"/>
              <w:rPr>
                <w:sz w:val="16"/>
                <w:lang w:val="es-ES"/>
              </w:rPr>
            </w:pPr>
            <w:r w:rsidRPr="00FC7306">
              <w:rPr>
                <w:sz w:val="16"/>
                <w:lang w:val="es-ES"/>
              </w:rPr>
              <w:t xml:space="preserve">2. Coordinador de la Evaluación: </w:t>
            </w:r>
            <w:r w:rsidRPr="00E8095F">
              <w:rPr>
                <w:sz w:val="16"/>
                <w:lang w:val="es-ES"/>
              </w:rPr>
              <w:t>Carlos López Alanis</w:t>
            </w:r>
          </w:p>
          <w:p w:rsidR="001B5252" w:rsidRPr="00FC7306" w:rsidRDefault="001B5252" w:rsidP="001B5252">
            <w:pPr>
              <w:spacing w:before="20" w:after="0"/>
              <w:ind w:left="113"/>
              <w:rPr>
                <w:sz w:val="16"/>
                <w:lang w:val="es-ES"/>
              </w:rPr>
            </w:pPr>
            <w:r w:rsidRPr="00FC7306">
              <w:rPr>
                <w:sz w:val="16"/>
                <w:lang w:val="es-ES"/>
              </w:rPr>
              <w:t>3. Forma de contratación: Adjudicación directa</w:t>
            </w:r>
          </w:p>
        </w:tc>
      </w:tr>
      <w:tr w:rsidR="001B5252" w:rsidRPr="00FC7306" w:rsidTr="001B5252">
        <w:tc>
          <w:tcPr>
            <w:tcW w:w="749" w:type="pct"/>
            <w:vAlign w:val="center"/>
          </w:tcPr>
          <w:p w:rsidR="001B5252" w:rsidRPr="00FC7306" w:rsidRDefault="001B5252" w:rsidP="001B5252">
            <w:pPr>
              <w:spacing w:before="20" w:after="0"/>
              <w:ind w:left="170"/>
              <w:rPr>
                <w:b/>
                <w:sz w:val="16"/>
                <w:lang w:val="es-ES"/>
              </w:rPr>
            </w:pPr>
            <w:r w:rsidRPr="00FC7306">
              <w:rPr>
                <w:b/>
                <w:sz w:val="16"/>
                <w:lang w:val="es-ES"/>
              </w:rPr>
              <w:t>Costo:</w:t>
            </w:r>
          </w:p>
        </w:tc>
        <w:tc>
          <w:tcPr>
            <w:tcW w:w="1113" w:type="pct"/>
            <w:vAlign w:val="center"/>
          </w:tcPr>
          <w:p w:rsidR="001B5252" w:rsidRPr="00FC7306" w:rsidRDefault="001B5252" w:rsidP="001B5252">
            <w:pPr>
              <w:spacing w:before="20" w:after="0"/>
              <w:ind w:left="113"/>
              <w:rPr>
                <w:sz w:val="16"/>
                <w:lang w:val="es-ES"/>
              </w:rPr>
            </w:pPr>
            <w:r w:rsidRPr="00E8095F">
              <w:rPr>
                <w:sz w:val="16"/>
                <w:lang w:val="es-ES"/>
              </w:rPr>
              <w:t>$ 970,000.00</w:t>
            </w:r>
            <w:r w:rsidRPr="00FC7306">
              <w:rPr>
                <w:rStyle w:val="Refdenotaalpie"/>
                <w:sz w:val="16"/>
                <w:szCs w:val="16"/>
                <w:lang w:val="es-ES" w:eastAsia="en-US"/>
              </w:rPr>
              <w:footnoteReference w:id="5"/>
            </w:r>
            <w:r w:rsidRPr="00427760">
              <w:rPr>
                <w:sz w:val="16"/>
                <w:szCs w:val="16"/>
                <w:vertAlign w:val="superscript"/>
                <w:lang w:val="es-ES" w:eastAsia="en-US"/>
              </w:rPr>
              <w:t>_/</w:t>
            </w:r>
          </w:p>
        </w:tc>
        <w:tc>
          <w:tcPr>
            <w:tcW w:w="904" w:type="pct"/>
            <w:vAlign w:val="center"/>
          </w:tcPr>
          <w:p w:rsidR="001B5252" w:rsidRPr="00FC7306" w:rsidRDefault="001B5252" w:rsidP="001B5252">
            <w:pPr>
              <w:spacing w:before="20" w:after="0"/>
              <w:ind w:left="170"/>
              <w:rPr>
                <w:b/>
                <w:sz w:val="16"/>
                <w:lang w:val="es-ES"/>
              </w:rPr>
            </w:pPr>
          </w:p>
          <w:p w:rsidR="001B5252" w:rsidRPr="00FC7306" w:rsidRDefault="001B5252" w:rsidP="001B5252">
            <w:pPr>
              <w:spacing w:before="20" w:after="0"/>
              <w:ind w:left="170"/>
              <w:rPr>
                <w:b/>
                <w:sz w:val="16"/>
                <w:lang w:val="es-ES"/>
              </w:rPr>
            </w:pPr>
            <w:r>
              <w:rPr>
                <w:b/>
                <w:sz w:val="16"/>
                <w:lang w:val="es-ES"/>
              </w:rPr>
              <w:t>Fuente de Financiamiento:</w:t>
            </w:r>
            <w:r w:rsidRPr="00FC7306">
              <w:rPr>
                <w:b/>
                <w:sz w:val="16"/>
                <w:lang w:val="es-ES"/>
              </w:rPr>
              <w:t xml:space="preserve"> </w:t>
            </w:r>
          </w:p>
        </w:tc>
        <w:tc>
          <w:tcPr>
            <w:tcW w:w="2234" w:type="pct"/>
            <w:vAlign w:val="center"/>
          </w:tcPr>
          <w:p w:rsidR="001B5252" w:rsidRPr="00FC7306" w:rsidRDefault="001B5252" w:rsidP="001B5252">
            <w:pPr>
              <w:spacing w:before="20" w:after="0"/>
              <w:rPr>
                <w:sz w:val="16"/>
                <w:highlight w:val="yellow"/>
                <w:lang w:val="es-ES"/>
              </w:rPr>
            </w:pPr>
            <w:r w:rsidRPr="00FC7306">
              <w:rPr>
                <w:sz w:val="16"/>
                <w:lang w:val="es-ES"/>
              </w:rPr>
              <w:t>Recursos Fiscales</w:t>
            </w:r>
          </w:p>
        </w:tc>
      </w:tr>
      <w:tr w:rsidR="001B5252" w:rsidRPr="00FC7306" w:rsidTr="001B5252">
        <w:tc>
          <w:tcPr>
            <w:tcW w:w="749" w:type="pct"/>
            <w:tcBorders>
              <w:bottom w:val="single" w:sz="4" w:space="0" w:color="auto"/>
            </w:tcBorders>
            <w:vAlign w:val="center"/>
          </w:tcPr>
          <w:p w:rsidR="001B5252" w:rsidRPr="00FC7306" w:rsidRDefault="001B5252" w:rsidP="001B5252">
            <w:pPr>
              <w:pStyle w:val="Textocuadroneg1"/>
              <w:rPr>
                <w:sz w:val="16"/>
                <w:szCs w:val="16"/>
              </w:rPr>
            </w:pPr>
            <w:r w:rsidRPr="00FC7306">
              <w:rPr>
                <w:sz w:val="16"/>
                <w:szCs w:val="16"/>
              </w:rPr>
              <w:t>Coordinación de la Evaluación</w:t>
            </w:r>
            <w:r>
              <w:rPr>
                <w:sz w:val="16"/>
                <w:szCs w:val="16"/>
              </w:rPr>
              <w:t>:</w:t>
            </w:r>
          </w:p>
        </w:tc>
        <w:tc>
          <w:tcPr>
            <w:tcW w:w="1113" w:type="pct"/>
            <w:tcBorders>
              <w:bottom w:val="single" w:sz="4" w:space="0" w:color="auto"/>
            </w:tcBorders>
            <w:vAlign w:val="center"/>
          </w:tcPr>
          <w:p w:rsidR="001B5252" w:rsidRPr="00FC7306" w:rsidRDefault="001B5252" w:rsidP="001B5252">
            <w:pPr>
              <w:pStyle w:val="Cdetexto"/>
              <w:spacing w:after="0"/>
              <w:jc w:val="center"/>
              <w:rPr>
                <w:sz w:val="14"/>
                <w:szCs w:val="14"/>
              </w:rPr>
            </w:pPr>
            <w:r w:rsidRPr="00FC7306">
              <w:rPr>
                <w:sz w:val="14"/>
                <w:szCs w:val="14"/>
              </w:rPr>
              <w:t>SHCP</w:t>
            </w:r>
          </w:p>
        </w:tc>
        <w:tc>
          <w:tcPr>
            <w:tcW w:w="904" w:type="pct"/>
            <w:tcBorders>
              <w:bottom w:val="single" w:sz="4" w:space="0" w:color="auto"/>
            </w:tcBorders>
            <w:vAlign w:val="center"/>
          </w:tcPr>
          <w:p w:rsidR="001B5252" w:rsidRPr="00FC7306" w:rsidRDefault="001B5252" w:rsidP="001B5252">
            <w:pPr>
              <w:pStyle w:val="Textocuadroneg1"/>
              <w:rPr>
                <w:sz w:val="16"/>
                <w:szCs w:val="16"/>
              </w:rPr>
            </w:pPr>
            <w:r w:rsidRPr="00FC7306">
              <w:rPr>
                <w:sz w:val="16"/>
                <w:szCs w:val="16"/>
              </w:rPr>
              <w:t>Informe completo</w:t>
            </w:r>
            <w:r>
              <w:rPr>
                <w:sz w:val="16"/>
                <w:szCs w:val="16"/>
              </w:rPr>
              <w:t>:</w:t>
            </w:r>
          </w:p>
        </w:tc>
        <w:tc>
          <w:tcPr>
            <w:tcW w:w="2234" w:type="pct"/>
            <w:tcBorders>
              <w:bottom w:val="single" w:sz="4" w:space="0" w:color="auto"/>
            </w:tcBorders>
            <w:vAlign w:val="center"/>
          </w:tcPr>
          <w:p w:rsidR="001B5252" w:rsidRPr="00FC7306" w:rsidRDefault="001B5252" w:rsidP="001B5252">
            <w:pPr>
              <w:pStyle w:val="Textocuadro1"/>
              <w:rPr>
                <w:sz w:val="16"/>
                <w:szCs w:val="16"/>
              </w:rPr>
            </w:pPr>
            <w:r w:rsidRPr="00FC7306">
              <w:rPr>
                <w:sz w:val="16"/>
                <w:szCs w:val="16"/>
              </w:rPr>
              <w:t>Disponible en:</w:t>
            </w:r>
          </w:p>
          <w:p w:rsidR="001B5252" w:rsidRPr="00FC7306" w:rsidRDefault="001B5252" w:rsidP="001B5252">
            <w:pPr>
              <w:pStyle w:val="Textocuadro1"/>
              <w:rPr>
                <w:sz w:val="16"/>
                <w:szCs w:val="16"/>
              </w:rPr>
            </w:pPr>
            <w:r w:rsidRPr="00FC7306">
              <w:rPr>
                <w:sz w:val="16"/>
                <w:szCs w:val="16"/>
              </w:rPr>
              <w:t>http://www.transparenciapresupuestaria.gob.mx/</w:t>
            </w:r>
          </w:p>
        </w:tc>
      </w:tr>
    </w:tbl>
    <w:p w:rsidR="001B5252" w:rsidRPr="00FC7306" w:rsidRDefault="001B5252" w:rsidP="001B5252">
      <w:pPr>
        <w:keepNext/>
        <w:keepLines/>
        <w:outlineLvl w:val="0"/>
        <w:rPr>
          <w:sz w:val="20"/>
          <w:highlight w:val="cyan"/>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1B5252">
      <w:pPr>
        <w:pStyle w:val="Cdetexto"/>
        <w:rPr>
          <w:lang w:val="es-ES_tradnl"/>
        </w:rPr>
      </w:pPr>
    </w:p>
    <w:p w:rsidR="001B5252" w:rsidRDefault="001B5252" w:rsidP="00293B22">
      <w:pPr>
        <w:pStyle w:val="Ttulo2"/>
        <w:jc w:val="both"/>
      </w:pPr>
    </w:p>
    <w:p w:rsidR="001B5252" w:rsidRDefault="001B5252" w:rsidP="00293B22">
      <w:pPr>
        <w:pStyle w:val="Ttulo2"/>
        <w:jc w:val="both"/>
      </w:pPr>
    </w:p>
    <w:p w:rsidR="001B5252" w:rsidRDefault="001B5252" w:rsidP="00293B22">
      <w:pPr>
        <w:pStyle w:val="Ttulo2"/>
        <w:jc w:val="both"/>
      </w:pPr>
    </w:p>
    <w:p w:rsidR="001B5252" w:rsidRDefault="001B5252" w:rsidP="001B5252"/>
    <w:p w:rsidR="001B5252" w:rsidRDefault="001B5252" w:rsidP="00293B22">
      <w:pPr>
        <w:pStyle w:val="Ttulo2"/>
        <w:jc w:val="both"/>
        <w:rPr>
          <w:rFonts w:ascii="Soberana Sans" w:eastAsia="MS Mincho" w:hAnsi="Soberana Sans"/>
          <w:b w:val="0"/>
          <w:bCs w:val="0"/>
          <w:sz w:val="22"/>
          <w:szCs w:val="24"/>
        </w:rPr>
      </w:pPr>
    </w:p>
    <w:p w:rsidR="00E73EF2" w:rsidRPr="00E73EF2" w:rsidRDefault="00E73EF2" w:rsidP="00E73EF2"/>
    <w:p w:rsidR="006A03A5" w:rsidRPr="006A03A5" w:rsidRDefault="006A03A5" w:rsidP="00293B22">
      <w:pPr>
        <w:pStyle w:val="Ttulo2"/>
        <w:jc w:val="both"/>
      </w:pPr>
      <w:bookmarkStart w:id="5" w:name="_Toc456894637"/>
      <w:r w:rsidRPr="006A03A5">
        <w:lastRenderedPageBreak/>
        <w:t xml:space="preserve">ASPECTOS SUSCEPTIBLES DE MEJORA (ASM) PARA EL </w:t>
      </w:r>
      <w:r w:rsidR="00A57D20">
        <w:t>SEGUNDO</w:t>
      </w:r>
      <w:r w:rsidRPr="006A03A5">
        <w:t xml:space="preserve"> TRIMESTRE DE 201</w:t>
      </w:r>
      <w:r w:rsidR="009B70BD">
        <w:t>6</w:t>
      </w:r>
      <w:bookmarkEnd w:id="5"/>
    </w:p>
    <w:p w:rsidR="006A03A5" w:rsidRPr="006A03A5" w:rsidRDefault="006A03A5" w:rsidP="00B72D60">
      <w:pPr>
        <w:pStyle w:val="Cdetextonegrita"/>
        <w:rPr>
          <w:rFonts w:eastAsiaTheme="majorEastAsia"/>
          <w:lang w:eastAsia="en-US"/>
        </w:rPr>
      </w:pPr>
      <w:r w:rsidRPr="006A03A5">
        <w:rPr>
          <w:rFonts w:eastAsiaTheme="majorEastAsia"/>
          <w:lang w:eastAsia="en-US"/>
        </w:rPr>
        <w:t>Introducción</w:t>
      </w:r>
    </w:p>
    <w:p w:rsidR="003B3EAF" w:rsidRPr="003B3EAF" w:rsidRDefault="003B3EAF" w:rsidP="003B3EAF">
      <w:pPr>
        <w:jc w:val="both"/>
        <w:rPr>
          <w:lang w:eastAsia="en-US"/>
        </w:rPr>
      </w:pPr>
      <w:r w:rsidRPr="003B3EAF">
        <w:rPr>
          <w:lang w:eastAsia="en-US"/>
        </w:rPr>
        <w:t>Los ASM son los compromisos que asumen las dependencias y entidades para introducir mejoras en un Pp, con base en los hallazgos, debilidades, oportunidades y amenazas identificadas en una evaluación externa. Los ASM pueden ser atendidos con base en las recomendaciones y sugerencias señaladas por el evaluador externo, las cuales son analizadas por los ejecutores del gasto.</w:t>
      </w:r>
    </w:p>
    <w:p w:rsidR="003B3EAF" w:rsidRPr="003B3EAF" w:rsidRDefault="003B3EAF" w:rsidP="003B3EAF">
      <w:pPr>
        <w:jc w:val="both"/>
        <w:rPr>
          <w:bCs/>
          <w:lang w:eastAsia="en-US"/>
        </w:rPr>
      </w:pPr>
      <w:r w:rsidRPr="003B3EAF">
        <w:t>Con el objetivo de establecer un proceso para dar seguimiento a los ASM y articular los resultados de las evaluaciones externas a los Pp en el marco del Sistema de Evaluación del Desempeño (SED), la SHCP, la SFP</w:t>
      </w:r>
      <w:r w:rsidR="001B5252">
        <w:rPr>
          <w:rStyle w:val="Refdenotaalpie"/>
        </w:rPr>
        <w:footnoteReference w:id="6"/>
      </w:r>
      <w:r w:rsidRPr="003B3EAF">
        <w:t xml:space="preserve"> </w:t>
      </w:r>
      <w:r w:rsidRPr="003B3EAF">
        <w:rPr>
          <w:vertAlign w:val="superscript"/>
        </w:rPr>
        <w:footnoteReference w:customMarkFollows="1" w:id="7"/>
        <w:t>_/</w:t>
      </w:r>
      <w:r w:rsidRPr="003B3EAF">
        <w:t xml:space="preserve"> y el CONEVAL emitieron en octubre de 2008 la primera versión del “Mecanismo para el seguimiento a los aspectos susceptibles de mejora derivados de los informes y evaluaciones externas a programas federales” (Mecanismo), el cual se ha actualizado en dos ocasiones, emitiéndose en marzo de 2011 el vigente.</w:t>
      </w:r>
      <w:r w:rsidRPr="003B3EAF">
        <w:rPr>
          <w:bCs/>
          <w:lang w:eastAsia="en-US"/>
        </w:rPr>
        <w:t xml:space="preserve"> </w:t>
      </w:r>
    </w:p>
    <w:p w:rsidR="003B3EAF" w:rsidRPr="003B3EAF" w:rsidRDefault="003B3EAF" w:rsidP="003B3EAF">
      <w:pPr>
        <w:jc w:val="both"/>
        <w:rPr>
          <w:lang w:eastAsia="en-US"/>
        </w:rPr>
      </w:pPr>
      <w:r w:rsidRPr="003B3EAF">
        <w:rPr>
          <w:bCs/>
          <w:lang w:eastAsia="en-US"/>
        </w:rPr>
        <w:t xml:space="preserve">De acuerdo con el Mecanismo vigente, las dependencias y entidades reportaron en el mes de abril de 2016 los nuevos compromisos derivados de evaluaciones externas concluidas en el ejercicio 2015 y anteriores, por tal motivo, en este apartado se presentan los ASM </w:t>
      </w:r>
      <w:r w:rsidR="00821DAF">
        <w:rPr>
          <w:bCs/>
          <w:lang w:eastAsia="en-US"/>
        </w:rPr>
        <w:t>registrados</w:t>
      </w:r>
      <w:r w:rsidRPr="003B3EAF">
        <w:rPr>
          <w:bCs/>
          <w:lang w:eastAsia="en-US"/>
        </w:rPr>
        <w:t xml:space="preserve"> en el segundo trimestre de 2016 para su atención y seguimiento. De conformidad con el Mecanismo, las dependencias y entidades deberán reportar el avance de dichos compromisos, en los meses de septiembre de 2016 y marzo de 2017.</w:t>
      </w:r>
    </w:p>
    <w:p w:rsidR="006A03A5" w:rsidRPr="006A03A5" w:rsidRDefault="006A03A5" w:rsidP="00B72D60">
      <w:pPr>
        <w:pStyle w:val="Cdetextonegrita"/>
        <w:rPr>
          <w:lang w:eastAsia="es-MX"/>
        </w:rPr>
      </w:pPr>
      <w:r w:rsidRPr="006A03A5">
        <w:rPr>
          <w:lang w:eastAsia="es-MX"/>
        </w:rPr>
        <w:t xml:space="preserve">Resultados al </w:t>
      </w:r>
      <w:r w:rsidR="003B3EAF" w:rsidRPr="003B3EAF">
        <w:rPr>
          <w:lang w:eastAsia="es-MX"/>
        </w:rPr>
        <w:t xml:space="preserve">segundo </w:t>
      </w:r>
      <w:r w:rsidRPr="006A03A5">
        <w:rPr>
          <w:lang w:eastAsia="es-MX"/>
        </w:rPr>
        <w:t>trimestre 2016</w:t>
      </w:r>
    </w:p>
    <w:p w:rsidR="003B3EAF" w:rsidRDefault="003B3EAF" w:rsidP="003B3EAF">
      <w:pPr>
        <w:pStyle w:val="Cdetexto"/>
        <w:rPr>
          <w:lang w:eastAsia="es-MX"/>
        </w:rPr>
      </w:pPr>
      <w:r>
        <w:rPr>
          <w:lang w:eastAsia="es-MX"/>
        </w:rPr>
        <w:t>Para el segundo trimestre de 2016, las dependencias y entidades seleccionaron 68</w:t>
      </w:r>
      <w:r w:rsidR="006679B9">
        <w:rPr>
          <w:lang w:eastAsia="es-MX"/>
        </w:rPr>
        <w:t>1</w:t>
      </w:r>
      <w:r>
        <w:rPr>
          <w:lang w:eastAsia="es-MX"/>
        </w:rPr>
        <w:t xml:space="preserve"> ASM nuevos derivados de evaluaciones concluidas en el ejercicio 2015 y anteriores, los cuales fueron reportados a las dos instancias coordinadoras. La información se presentó de conformidad con lo establecido en el Mecanismo vigente.</w:t>
      </w:r>
    </w:p>
    <w:p w:rsidR="006A03A5" w:rsidRPr="006A03A5" w:rsidRDefault="003B3EAF" w:rsidP="003B3EAF">
      <w:pPr>
        <w:pStyle w:val="Cdetexto"/>
        <w:rPr>
          <w:lang w:eastAsia="es-MX"/>
        </w:rPr>
      </w:pPr>
      <w:r>
        <w:rPr>
          <w:lang w:eastAsia="es-MX"/>
        </w:rPr>
        <w:t>Los 681 ASM corresponden a 164 programas y acciones federales de 57 dependencias y entidades, y se distribuyen de la siguiente manera: 521 (76.5%) aspectos son del tipo específico; 154 (22.6%) son del tipo institucional; cuatro (0.6%) pertenecen al tipo interinstitucional; y dos (0.3%) son del tipo intergubernamental.</w:t>
      </w:r>
    </w:p>
    <w:p w:rsidR="006A03A5" w:rsidRPr="006A03A5" w:rsidRDefault="006A03A5" w:rsidP="006A03A5">
      <w:pPr>
        <w:autoSpaceDE w:val="0"/>
        <w:autoSpaceDN w:val="0"/>
        <w:adjustRightInd w:val="0"/>
        <w:spacing w:after="0"/>
        <w:rPr>
          <w:rFonts w:cs="Soberana Sans"/>
          <w:color w:val="000000"/>
          <w:szCs w:val="22"/>
          <w:lang w:val="es-MX" w:eastAsia="es-MX"/>
        </w:rPr>
      </w:pPr>
    </w:p>
    <w:tbl>
      <w:tblPr>
        <w:tblW w:w="9972" w:type="dxa"/>
        <w:tblCellMar>
          <w:left w:w="70" w:type="dxa"/>
          <w:right w:w="70" w:type="dxa"/>
        </w:tblCellMar>
        <w:tblLook w:val="04A0" w:firstRow="1" w:lastRow="0" w:firstColumn="1" w:lastColumn="0" w:noHBand="0" w:noVBand="1"/>
      </w:tblPr>
      <w:tblGrid>
        <w:gridCol w:w="567"/>
        <w:gridCol w:w="3530"/>
        <w:gridCol w:w="1122"/>
        <w:gridCol w:w="1019"/>
        <w:gridCol w:w="1244"/>
        <w:gridCol w:w="1445"/>
        <w:gridCol w:w="492"/>
        <w:gridCol w:w="553"/>
      </w:tblGrid>
      <w:tr w:rsidR="003B3EAF" w:rsidRPr="003B3EAF" w:rsidTr="003B3EAF">
        <w:trPr>
          <w:trHeight w:val="312"/>
          <w:tblHeader/>
        </w:trPr>
        <w:tc>
          <w:tcPr>
            <w:tcW w:w="9972" w:type="dxa"/>
            <w:gridSpan w:val="8"/>
            <w:tcBorders>
              <w:top w:val="nil"/>
              <w:left w:val="nil"/>
              <w:bottom w:val="nil"/>
              <w:right w:val="nil"/>
            </w:tcBorders>
            <w:shd w:val="clear" w:color="000000" w:fill="EAF1DD"/>
            <w:vAlign w:val="center"/>
            <w:hideMark/>
          </w:tcPr>
          <w:p w:rsidR="003B3EAF" w:rsidRPr="003B3EAF" w:rsidRDefault="003B3EAF" w:rsidP="00504083">
            <w:pPr>
              <w:spacing w:after="0"/>
              <w:jc w:val="center"/>
              <w:rPr>
                <w:rFonts w:eastAsia="Times New Roman"/>
                <w:color w:val="000000"/>
                <w:sz w:val="18"/>
                <w:szCs w:val="18"/>
                <w:lang w:val="es-MX" w:eastAsia="es-MX"/>
              </w:rPr>
            </w:pPr>
            <w:r w:rsidRPr="003B3EAF">
              <w:rPr>
                <w:rFonts w:eastAsia="Times New Roman"/>
                <w:color w:val="000000"/>
                <w:sz w:val="18"/>
                <w:szCs w:val="18"/>
                <w:lang w:val="es-MX" w:eastAsia="es-MX"/>
              </w:rPr>
              <w:t xml:space="preserve">Tabla </w:t>
            </w:r>
            <w:r w:rsidR="001B5252">
              <w:rPr>
                <w:rFonts w:eastAsia="Times New Roman"/>
                <w:color w:val="000000"/>
                <w:sz w:val="18"/>
                <w:szCs w:val="18"/>
                <w:lang w:val="es-MX" w:eastAsia="es-MX"/>
              </w:rPr>
              <w:t>2</w:t>
            </w:r>
            <w:r w:rsidRPr="001B5252">
              <w:rPr>
                <w:rFonts w:eastAsia="Times New Roman"/>
                <w:color w:val="000000"/>
                <w:sz w:val="18"/>
                <w:szCs w:val="18"/>
                <w:lang w:val="es-MX" w:eastAsia="es-MX"/>
              </w:rPr>
              <w:t>.</w:t>
            </w:r>
            <w:r w:rsidRPr="003B3EAF">
              <w:rPr>
                <w:rFonts w:eastAsia="Times New Roman"/>
                <w:color w:val="000000"/>
                <w:sz w:val="18"/>
                <w:szCs w:val="18"/>
                <w:lang w:val="es-MX" w:eastAsia="es-MX"/>
              </w:rPr>
              <w:t xml:space="preserve"> Tipo de ASM por Ramo y por dependencia o entidad </w:t>
            </w:r>
            <w:r w:rsidR="00504083">
              <w:rPr>
                <w:rFonts w:eastAsia="Times New Roman"/>
                <w:color w:val="000000"/>
                <w:sz w:val="18"/>
                <w:szCs w:val="18"/>
                <w:lang w:val="es-MX" w:eastAsia="es-MX"/>
              </w:rPr>
              <w:t>registrados</w:t>
            </w:r>
            <w:r w:rsidRPr="003B3EAF">
              <w:rPr>
                <w:rFonts w:eastAsia="Times New Roman"/>
                <w:color w:val="000000"/>
                <w:sz w:val="18"/>
                <w:szCs w:val="18"/>
                <w:lang w:val="es-MX" w:eastAsia="es-MX"/>
              </w:rPr>
              <w:t xml:space="preserve"> en abril de 2016</w:t>
            </w:r>
          </w:p>
        </w:tc>
      </w:tr>
      <w:tr w:rsidR="003B3EAF" w:rsidRPr="003B3EAF" w:rsidTr="003B3EAF">
        <w:trPr>
          <w:trHeight w:val="327"/>
          <w:tblHeader/>
        </w:trPr>
        <w:tc>
          <w:tcPr>
            <w:tcW w:w="567"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rPr>
                <w:rFonts w:eastAsia="Times New Roman"/>
                <w:color w:val="000000"/>
                <w:sz w:val="14"/>
                <w:szCs w:val="14"/>
                <w:lang w:val="es-MX" w:eastAsia="es-MX"/>
              </w:rPr>
            </w:pPr>
            <w:r w:rsidRPr="003B3EAF">
              <w:rPr>
                <w:rFonts w:eastAsia="Times New Roman"/>
                <w:color w:val="000000"/>
                <w:sz w:val="14"/>
                <w:szCs w:val="14"/>
                <w:lang w:val="es-MX" w:eastAsia="es-MX"/>
              </w:rPr>
              <w:t>Ramo</w:t>
            </w:r>
          </w:p>
        </w:tc>
        <w:tc>
          <w:tcPr>
            <w:tcW w:w="3530"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Dependencia o Entidad</w:t>
            </w:r>
          </w:p>
        </w:tc>
        <w:tc>
          <w:tcPr>
            <w:tcW w:w="1122"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Específico</w:t>
            </w:r>
          </w:p>
        </w:tc>
        <w:tc>
          <w:tcPr>
            <w:tcW w:w="1019"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Institucional</w:t>
            </w:r>
          </w:p>
        </w:tc>
        <w:tc>
          <w:tcPr>
            <w:tcW w:w="1244"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Interinstitucional</w:t>
            </w:r>
          </w:p>
        </w:tc>
        <w:tc>
          <w:tcPr>
            <w:tcW w:w="1445"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Intergubernamental</w:t>
            </w:r>
          </w:p>
        </w:tc>
        <w:tc>
          <w:tcPr>
            <w:tcW w:w="492"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Total</w:t>
            </w:r>
          </w:p>
        </w:tc>
        <w:tc>
          <w:tcPr>
            <w:tcW w:w="553"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 del Total</w:t>
            </w:r>
          </w:p>
        </w:tc>
      </w:tr>
      <w:tr w:rsidR="003B3EAF" w:rsidRPr="003B3EAF" w:rsidTr="00C66416">
        <w:trPr>
          <w:trHeight w:val="327"/>
        </w:trPr>
        <w:tc>
          <w:tcPr>
            <w:tcW w:w="4097" w:type="dxa"/>
            <w:gridSpan w:val="2"/>
            <w:tcBorders>
              <w:top w:val="single" w:sz="12" w:space="0" w:color="auto"/>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04 Gobernación</w:t>
            </w:r>
          </w:p>
        </w:tc>
        <w:tc>
          <w:tcPr>
            <w:tcW w:w="1122" w:type="dxa"/>
            <w:tcBorders>
              <w:top w:val="nil"/>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26</w:t>
            </w:r>
          </w:p>
        </w:tc>
        <w:tc>
          <w:tcPr>
            <w:tcW w:w="1019" w:type="dxa"/>
            <w:tcBorders>
              <w:top w:val="nil"/>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14</w:t>
            </w:r>
          </w:p>
        </w:tc>
        <w:tc>
          <w:tcPr>
            <w:tcW w:w="1244" w:type="dxa"/>
            <w:tcBorders>
              <w:top w:val="nil"/>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nil"/>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nil"/>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40</w:t>
            </w:r>
          </w:p>
        </w:tc>
        <w:tc>
          <w:tcPr>
            <w:tcW w:w="553" w:type="dxa"/>
            <w:tcBorders>
              <w:top w:val="nil"/>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5.9</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de Seguridad (CNS)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14</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19</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Consejo Nacional para Prevenir la Discriminación (CONAPRED)</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lastRenderedPageBreak/>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Nacional de Migración (INM)</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7</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7</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Gobernación (SEGOB)</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8</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8</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Secretariado Ejecutivo del Sistema Nacional de Seguridad Pública (SECRETARIADO EJECUTIVO)</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05 Relaciones Exteriores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9</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9</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1.3</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Relaciones Exteriores (SRE)</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9</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9</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06 Hacienda y Crédito Público</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15</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9</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3.5</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Banco del Ahorro Nacional y Servicios Financieros, S.N.C. (BANSEFI)</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Bancaria y de Valores (CNBV)</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de Seguros y Fianzas (CNSF)</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para la Protección y Defensa de los Usuarios de Servicios Financieros (CONDUSEF)</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Servicio de Administración Tributaria (SAT)</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Tesorería de la Federación (TESOFE)</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6</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6</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08 Agricultura, Ganadería, Desarrollo Rural, Pesca y Alimentación</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26</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26</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3.8</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Agencia de Servicios a la Comercialización y Desarrollo de Mercados Agropecuarios (ASERCA)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de Acuacultura y Pesca (CONAPESCA)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Nacional de Investigaciones Forestales, Agrícolas y Pecuarias (INIFAP)</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Agricultura, Ganadería, Desarrollo Rural, Pesca y Alimentación (SAGARPA)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17</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17</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Servicio de Información Agroalimentaria y Pesquera (SIAP)</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Servicio Nacional de Sanidad, Inocuidad y Calidad Agroalimentaria (SENASICA)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09 Comunicaciones y Transportes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26</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9</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5.1</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Comunicaciones y Transportes (SCT)</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18</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7</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Servicio Postal Mexicano (SEPOMEX)</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7</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8</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Telecomunicaciones de México (TELECOM)</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10 Economía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29</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18</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47</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6.9</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Nacional del Emprendedor (INADEM)</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Pro México (PROMÉXICO)</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7</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Procuraduría Federal del Consumidor (PROFECO)</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8</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11</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Economía (SE)</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8</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20</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11 Educación Pública</w:t>
            </w:r>
            <w:r w:rsidR="001B5252" w:rsidRPr="00C66416">
              <w:rPr>
                <w:rStyle w:val="Refdenotaalpie"/>
                <w:rFonts w:eastAsia="Times New Roman"/>
                <w:color w:val="000000"/>
                <w:sz w:val="14"/>
                <w:szCs w:val="14"/>
                <w:lang w:val="es-MX" w:eastAsia="es-MX"/>
              </w:rPr>
              <w:footnoteReference w:id="8"/>
            </w:r>
            <w:r w:rsidRPr="00C66416">
              <w:rPr>
                <w:rStyle w:val="Refdenotaalpie"/>
                <w:sz w:val="14"/>
                <w:szCs w:val="14"/>
              </w:rPr>
              <w:footnoteReference w:customMarkFollows="1" w:id="9"/>
              <w:t>_/</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179</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15</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194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28.5</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de Cultura Física y Deporte (CONADE)</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lastRenderedPageBreak/>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Consejo Nacional de Fomento Educativo (CONAFE)</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15</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Educación Pública (SEP)</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162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15</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177</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12 Salud</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24</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3.5</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Federal para la Protección contra Riesgos Sanitarios (COFEPRIS)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Salud (SALUD)</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r w:rsidR="006679B9" w:rsidRPr="00C66416">
              <w:rPr>
                <w:rFonts w:eastAsia="Times New Roman"/>
                <w:color w:val="000000"/>
                <w:sz w:val="14"/>
                <w:szCs w:val="14"/>
                <w:lang w:val="es-MX" w:eastAsia="es-MX"/>
              </w:rPr>
              <w:t>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r w:rsidR="00607F71" w:rsidRPr="00C66416">
              <w:rPr>
                <w:rFonts w:eastAsia="Times New Roman"/>
                <w:color w:val="000000"/>
                <w:sz w:val="14"/>
                <w:szCs w:val="14"/>
                <w:lang w:val="es-MX" w:eastAsia="es-MX"/>
              </w:rPr>
              <w:t>1</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14 Trabajo y Previsión Social</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0.6</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del Trabajo y Previsión Social (STPS)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15 Desarrollo Agrario, Territorial y Urbano</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0.7</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de Vivienda (CONAVI)</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Desarrollo Agrario, Territorial y Urbano (SEDATU)</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16 Medio Ambiente y Recursos Naturales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39</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12</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56</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8.2</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del Agua (CONAGUA)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9</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Forestal (CONAFOR)</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26</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Mexicano de Tecnología del Agua (IMTA)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A10F06"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Nacional de Ecología y Cambio Climático (INECC)</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Medio Ambiente y Recursos Naturales (SEMARNAT)</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17</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19 Aportaciones a Seguridad Social</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0.3</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607F71">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Mexicano del Seguro Social (IMSS</w:t>
            </w:r>
            <w:r w:rsidR="00607F71" w:rsidRPr="00C66416">
              <w:rPr>
                <w:rFonts w:eastAsia="Times New Roman"/>
                <w:color w:val="000000"/>
                <w:sz w:val="14"/>
                <w:szCs w:val="14"/>
                <w:lang w:val="es-MX" w:eastAsia="es-MX"/>
              </w:rPr>
              <w:t>-PROSPERA</w:t>
            </w:r>
            <w:r w:rsidRPr="00C66416">
              <w:rPr>
                <w:rFonts w:eastAsia="Times New Roman"/>
                <w:color w:val="000000"/>
                <w:sz w:val="14"/>
                <w:szCs w:val="14"/>
                <w:lang w:val="es-MX" w:eastAsia="es-MX"/>
              </w:rPr>
              <w:t>)</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20 Desarrollo Social</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54</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105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15.4</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Coordinación Nacional de PROSPERA Programa de Inclusión Social (CNP)</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Diconsa, S. A. de C. V.  (DICONSA)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6</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10</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Fondo Nacional para el Fomento de las Artesanías (FONART)</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Mexicano de la Juventud (IMJUVE)</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Nacional de Desarrollo Social (INDESOL)</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6</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9</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Nacional de las Personas Adultas Mayores (INAPAM)</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Liconsa, S.A. de C.V (LICONSA)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Desarrollo Social (SEDESOL)</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38</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69</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21 Turismo</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9</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6</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2.2</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Consejo de Prom</w:t>
            </w:r>
            <w:r w:rsidR="00E27859" w:rsidRPr="00C66416">
              <w:rPr>
                <w:rFonts w:eastAsia="Times New Roman"/>
                <w:color w:val="000000"/>
                <w:sz w:val="14"/>
                <w:szCs w:val="14"/>
                <w:lang w:val="es-MX" w:eastAsia="es-MX"/>
              </w:rPr>
              <w:t>oción Turística de México  (CPTM</w:t>
            </w:r>
            <w:r w:rsidRPr="00C66416">
              <w:rPr>
                <w:rFonts w:eastAsia="Times New Roman"/>
                <w:color w:val="000000"/>
                <w:sz w:val="14"/>
                <w:szCs w:val="14"/>
                <w:lang w:val="es-MX" w:eastAsia="es-MX"/>
              </w:rPr>
              <w:t>)</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5</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bookmarkStart w:id="6" w:name="_GoBack"/>
            <w:bookmarkEnd w:id="6"/>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Fondo Nacional de Fomento al Turismo (FONATUR)</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Turismo (SECTUR)</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7</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27 Función Pública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7</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7</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r w:rsidR="00E417DA" w:rsidRPr="00C66416">
              <w:rPr>
                <w:rFonts w:eastAsia="Times New Roman"/>
                <w:color w:val="000000"/>
                <w:sz w:val="14"/>
                <w:szCs w:val="14"/>
                <w:lang w:val="es-MX" w:eastAsia="es-MX"/>
              </w:rPr>
              <w:t>0</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de Administración y Avalúos de Bienes Nacionales (INDAABIN)</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Secretaría de la Función Pública (SFP)</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lastRenderedPageBreak/>
              <w:t>31 Tribunales Agrarios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r w:rsidR="00E417DA" w:rsidRPr="00C66416">
              <w:rPr>
                <w:rFonts w:eastAsia="Times New Roman"/>
                <w:color w:val="000000"/>
                <w:sz w:val="14"/>
                <w:szCs w:val="14"/>
                <w:lang w:val="es-MX" w:eastAsia="es-MX"/>
              </w:rPr>
              <w:t>3</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Tribunal Superior Agrario (TRIBUNALES AGRARIOS)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38 Consejo Nacional de Ciencia y Tecnología</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19</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20</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2.9</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Consejo Nacional de Ciencia y Tecnología (CONACYT)</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19</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20</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47 Entidades No Sectorizadas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46</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6.8</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Ejecutiva de Atención a Víctimas (CEAV)</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Comisión Nacional para el Desarrollo de los Pueblos Indígenas (CDI)</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35</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37</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Nacional de las Mujeres (INMUJERES)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3</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4</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Procuraduría de la Defensa del Contribuyente (PRODECON)</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50 Instituto Mexicano del Seguro Social</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0.3</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Mexicano del Seguro Social (IMSS)</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12"/>
        </w:trPr>
        <w:tc>
          <w:tcPr>
            <w:tcW w:w="4097" w:type="dxa"/>
            <w:gridSpan w:val="2"/>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51 Instituto de Seguridad y Servicios Sociales de los Trabajadores del Estado</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10</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8</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18</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2F2F2"/>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2.6</w:t>
            </w:r>
          </w:p>
        </w:tc>
      </w:tr>
      <w:tr w:rsidR="003B3EAF" w:rsidRPr="003B3EAF" w:rsidTr="00C66416">
        <w:trPr>
          <w:trHeight w:val="312"/>
        </w:trPr>
        <w:tc>
          <w:tcPr>
            <w:tcW w:w="567"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 </w:t>
            </w:r>
          </w:p>
        </w:tc>
        <w:tc>
          <w:tcPr>
            <w:tcW w:w="3530"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rPr>
                <w:rFonts w:eastAsia="Times New Roman"/>
                <w:color w:val="000000"/>
                <w:sz w:val="14"/>
                <w:szCs w:val="14"/>
                <w:lang w:val="es-MX" w:eastAsia="es-MX"/>
              </w:rPr>
            </w:pPr>
            <w:r w:rsidRPr="00C66416">
              <w:rPr>
                <w:rFonts w:eastAsia="Times New Roman"/>
                <w:color w:val="000000"/>
                <w:sz w:val="14"/>
                <w:szCs w:val="14"/>
                <w:lang w:val="es-MX" w:eastAsia="es-MX"/>
              </w:rPr>
              <w:t>Instituto de Seguridad y Servicios Sociales de los Trabajadores del Estado (ISSSTE)</w:t>
            </w:r>
          </w:p>
        </w:tc>
        <w:tc>
          <w:tcPr>
            <w:tcW w:w="112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10</w:t>
            </w:r>
          </w:p>
        </w:tc>
        <w:tc>
          <w:tcPr>
            <w:tcW w:w="1019"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8</w:t>
            </w:r>
          </w:p>
        </w:tc>
        <w:tc>
          <w:tcPr>
            <w:tcW w:w="1244"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1445"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0</w:t>
            </w:r>
          </w:p>
        </w:tc>
        <w:tc>
          <w:tcPr>
            <w:tcW w:w="492"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18</w:t>
            </w:r>
          </w:p>
        </w:tc>
        <w:tc>
          <w:tcPr>
            <w:tcW w:w="553" w:type="dxa"/>
            <w:tcBorders>
              <w:top w:val="single" w:sz="12" w:space="0" w:color="F2F2F2" w:themeColor="background1" w:themeShade="F2"/>
              <w:left w:val="nil"/>
              <w:bottom w:val="single" w:sz="12" w:space="0" w:color="F2F2F2" w:themeColor="background1" w:themeShade="F2"/>
              <w:right w:val="nil"/>
            </w:tcBorders>
            <w:shd w:val="clear" w:color="000000" w:fill="FFFFFF"/>
            <w:noWrap/>
            <w:vAlign w:val="center"/>
            <w:hideMark/>
          </w:tcPr>
          <w:p w:rsidR="003B3EAF" w:rsidRPr="00C66416" w:rsidRDefault="003B3EAF" w:rsidP="003B3EAF">
            <w:pPr>
              <w:spacing w:after="0"/>
              <w:jc w:val="center"/>
              <w:rPr>
                <w:rFonts w:eastAsia="Times New Roman"/>
                <w:color w:val="000000"/>
                <w:sz w:val="14"/>
                <w:szCs w:val="14"/>
                <w:lang w:val="es-MX" w:eastAsia="es-MX"/>
              </w:rPr>
            </w:pPr>
            <w:r w:rsidRPr="00C66416">
              <w:rPr>
                <w:rFonts w:eastAsia="Times New Roman"/>
                <w:color w:val="000000"/>
                <w:sz w:val="14"/>
                <w:szCs w:val="14"/>
                <w:lang w:val="es-MX" w:eastAsia="es-MX"/>
              </w:rPr>
              <w:t> </w:t>
            </w:r>
          </w:p>
        </w:tc>
      </w:tr>
      <w:tr w:rsidR="003B3EAF" w:rsidRPr="003B3EAF" w:rsidTr="00C66416">
        <w:trPr>
          <w:trHeight w:val="327"/>
        </w:trPr>
        <w:tc>
          <w:tcPr>
            <w:tcW w:w="4097" w:type="dxa"/>
            <w:gridSpan w:val="2"/>
            <w:tcBorders>
              <w:top w:val="single" w:sz="12" w:space="0" w:color="F2F2F2" w:themeColor="background1" w:themeShade="F2"/>
              <w:left w:val="nil"/>
              <w:bottom w:val="single" w:sz="12" w:space="0" w:color="auto"/>
              <w:right w:val="nil"/>
            </w:tcBorders>
            <w:shd w:val="clear" w:color="000000" w:fill="FFFFFF"/>
            <w:noWrap/>
            <w:vAlign w:val="center"/>
            <w:hideMark/>
          </w:tcPr>
          <w:p w:rsidR="003B3EAF" w:rsidRPr="00C66416" w:rsidRDefault="003B3EAF" w:rsidP="003B3EAF">
            <w:pPr>
              <w:spacing w:after="0"/>
              <w:rPr>
                <w:rFonts w:eastAsia="Times New Roman"/>
                <w:b/>
                <w:bCs/>
                <w:color w:val="000000"/>
                <w:sz w:val="14"/>
                <w:szCs w:val="14"/>
                <w:lang w:val="es-MX" w:eastAsia="es-MX"/>
              </w:rPr>
            </w:pPr>
            <w:r w:rsidRPr="00C66416">
              <w:rPr>
                <w:rFonts w:eastAsia="Times New Roman"/>
                <w:b/>
                <w:bCs/>
                <w:color w:val="000000"/>
                <w:sz w:val="14"/>
                <w:szCs w:val="14"/>
                <w:lang w:val="es-MX" w:eastAsia="es-MX"/>
              </w:rPr>
              <w:t>Total</w:t>
            </w:r>
          </w:p>
        </w:tc>
        <w:tc>
          <w:tcPr>
            <w:tcW w:w="1122" w:type="dxa"/>
            <w:tcBorders>
              <w:top w:val="single" w:sz="12" w:space="0" w:color="F2F2F2" w:themeColor="background1" w:themeShade="F2"/>
              <w:left w:val="nil"/>
              <w:bottom w:val="single" w:sz="12" w:space="0" w:color="auto"/>
              <w:right w:val="nil"/>
            </w:tcBorders>
            <w:shd w:val="clear" w:color="000000" w:fill="FFFFFF"/>
            <w:noWrap/>
            <w:vAlign w:val="center"/>
            <w:hideMark/>
          </w:tcPr>
          <w:p w:rsidR="003B3EAF" w:rsidRPr="00C66416" w:rsidRDefault="003B3EAF" w:rsidP="003B3EAF">
            <w:pPr>
              <w:spacing w:after="0"/>
              <w:jc w:val="center"/>
              <w:rPr>
                <w:rFonts w:eastAsia="Times New Roman"/>
                <w:b/>
                <w:bCs/>
                <w:color w:val="000000"/>
                <w:sz w:val="14"/>
                <w:szCs w:val="14"/>
                <w:lang w:val="es-MX" w:eastAsia="es-MX"/>
              </w:rPr>
            </w:pPr>
            <w:r w:rsidRPr="00C66416">
              <w:rPr>
                <w:rFonts w:eastAsia="Times New Roman"/>
                <w:b/>
                <w:bCs/>
                <w:color w:val="000000"/>
                <w:sz w:val="14"/>
                <w:szCs w:val="14"/>
                <w:lang w:val="es-MX" w:eastAsia="es-MX"/>
              </w:rPr>
              <w:t>521</w:t>
            </w:r>
          </w:p>
        </w:tc>
        <w:tc>
          <w:tcPr>
            <w:tcW w:w="1019" w:type="dxa"/>
            <w:tcBorders>
              <w:top w:val="single" w:sz="12" w:space="0" w:color="F2F2F2" w:themeColor="background1" w:themeShade="F2"/>
              <w:left w:val="nil"/>
              <w:bottom w:val="single" w:sz="12" w:space="0" w:color="auto"/>
              <w:right w:val="nil"/>
            </w:tcBorders>
            <w:shd w:val="clear" w:color="000000" w:fill="FFFFFF"/>
            <w:noWrap/>
            <w:vAlign w:val="center"/>
            <w:hideMark/>
          </w:tcPr>
          <w:p w:rsidR="003B3EAF" w:rsidRPr="00C66416" w:rsidRDefault="003B3EAF" w:rsidP="003B3EAF">
            <w:pPr>
              <w:spacing w:after="0"/>
              <w:jc w:val="center"/>
              <w:rPr>
                <w:rFonts w:eastAsia="Times New Roman"/>
                <w:b/>
                <w:bCs/>
                <w:color w:val="000000"/>
                <w:sz w:val="14"/>
                <w:szCs w:val="14"/>
                <w:lang w:val="es-MX" w:eastAsia="es-MX"/>
              </w:rPr>
            </w:pPr>
            <w:r w:rsidRPr="00C66416">
              <w:rPr>
                <w:rFonts w:eastAsia="Times New Roman"/>
                <w:b/>
                <w:bCs/>
                <w:color w:val="000000"/>
                <w:sz w:val="14"/>
                <w:szCs w:val="14"/>
                <w:lang w:val="es-MX" w:eastAsia="es-MX"/>
              </w:rPr>
              <w:t>154</w:t>
            </w:r>
          </w:p>
        </w:tc>
        <w:tc>
          <w:tcPr>
            <w:tcW w:w="1244" w:type="dxa"/>
            <w:tcBorders>
              <w:top w:val="single" w:sz="12" w:space="0" w:color="F2F2F2" w:themeColor="background1" w:themeShade="F2"/>
              <w:left w:val="nil"/>
              <w:bottom w:val="single" w:sz="12" w:space="0" w:color="auto"/>
              <w:right w:val="nil"/>
            </w:tcBorders>
            <w:shd w:val="clear" w:color="000000" w:fill="FFFFFF"/>
            <w:noWrap/>
            <w:vAlign w:val="center"/>
            <w:hideMark/>
          </w:tcPr>
          <w:p w:rsidR="003B3EAF" w:rsidRPr="00C66416" w:rsidRDefault="003B3EAF" w:rsidP="003B3EAF">
            <w:pPr>
              <w:spacing w:after="0"/>
              <w:jc w:val="center"/>
              <w:rPr>
                <w:rFonts w:eastAsia="Times New Roman"/>
                <w:b/>
                <w:bCs/>
                <w:color w:val="000000"/>
                <w:sz w:val="14"/>
                <w:szCs w:val="14"/>
                <w:lang w:val="es-MX" w:eastAsia="es-MX"/>
              </w:rPr>
            </w:pPr>
            <w:r w:rsidRPr="00C66416">
              <w:rPr>
                <w:rFonts w:eastAsia="Times New Roman"/>
                <w:b/>
                <w:bCs/>
                <w:color w:val="000000"/>
                <w:sz w:val="14"/>
                <w:szCs w:val="14"/>
                <w:lang w:val="es-MX" w:eastAsia="es-MX"/>
              </w:rPr>
              <w:t>4</w:t>
            </w:r>
          </w:p>
        </w:tc>
        <w:tc>
          <w:tcPr>
            <w:tcW w:w="1445" w:type="dxa"/>
            <w:tcBorders>
              <w:top w:val="single" w:sz="12" w:space="0" w:color="F2F2F2" w:themeColor="background1" w:themeShade="F2"/>
              <w:left w:val="nil"/>
              <w:bottom w:val="single" w:sz="12" w:space="0" w:color="auto"/>
              <w:right w:val="nil"/>
            </w:tcBorders>
            <w:shd w:val="clear" w:color="000000" w:fill="FFFFFF"/>
            <w:noWrap/>
            <w:vAlign w:val="center"/>
            <w:hideMark/>
          </w:tcPr>
          <w:p w:rsidR="003B3EAF" w:rsidRPr="00C66416" w:rsidRDefault="003B3EAF" w:rsidP="003B3EAF">
            <w:pPr>
              <w:spacing w:after="0"/>
              <w:jc w:val="center"/>
              <w:rPr>
                <w:rFonts w:eastAsia="Times New Roman"/>
                <w:b/>
                <w:bCs/>
                <w:color w:val="000000"/>
                <w:sz w:val="14"/>
                <w:szCs w:val="14"/>
                <w:lang w:val="es-MX" w:eastAsia="es-MX"/>
              </w:rPr>
            </w:pPr>
            <w:r w:rsidRPr="00C66416">
              <w:rPr>
                <w:rFonts w:eastAsia="Times New Roman"/>
                <w:b/>
                <w:bCs/>
                <w:color w:val="000000"/>
                <w:sz w:val="14"/>
                <w:szCs w:val="14"/>
                <w:lang w:val="es-MX" w:eastAsia="es-MX"/>
              </w:rPr>
              <w:t>2</w:t>
            </w:r>
          </w:p>
        </w:tc>
        <w:tc>
          <w:tcPr>
            <w:tcW w:w="492" w:type="dxa"/>
            <w:tcBorders>
              <w:top w:val="single" w:sz="12" w:space="0" w:color="F2F2F2" w:themeColor="background1" w:themeShade="F2"/>
              <w:left w:val="nil"/>
              <w:bottom w:val="single" w:sz="12" w:space="0" w:color="auto"/>
              <w:right w:val="nil"/>
            </w:tcBorders>
            <w:shd w:val="clear" w:color="000000" w:fill="FFFFFF"/>
            <w:noWrap/>
            <w:vAlign w:val="center"/>
            <w:hideMark/>
          </w:tcPr>
          <w:p w:rsidR="003B3EAF" w:rsidRPr="00C66416" w:rsidRDefault="003B3EAF" w:rsidP="003B3EAF">
            <w:pPr>
              <w:spacing w:after="0"/>
              <w:jc w:val="center"/>
              <w:rPr>
                <w:rFonts w:eastAsia="Times New Roman"/>
                <w:b/>
                <w:bCs/>
                <w:color w:val="000000"/>
                <w:sz w:val="14"/>
                <w:szCs w:val="14"/>
                <w:lang w:val="es-MX" w:eastAsia="es-MX"/>
              </w:rPr>
            </w:pPr>
            <w:r w:rsidRPr="00C66416">
              <w:rPr>
                <w:rFonts w:eastAsia="Times New Roman"/>
                <w:b/>
                <w:bCs/>
                <w:color w:val="000000"/>
                <w:sz w:val="14"/>
                <w:szCs w:val="14"/>
                <w:lang w:val="es-MX" w:eastAsia="es-MX"/>
              </w:rPr>
              <w:t>681</w:t>
            </w:r>
          </w:p>
        </w:tc>
        <w:tc>
          <w:tcPr>
            <w:tcW w:w="553" w:type="dxa"/>
            <w:tcBorders>
              <w:top w:val="single" w:sz="12" w:space="0" w:color="F2F2F2" w:themeColor="background1" w:themeShade="F2"/>
              <w:left w:val="nil"/>
              <w:bottom w:val="single" w:sz="12" w:space="0" w:color="auto"/>
              <w:right w:val="nil"/>
            </w:tcBorders>
            <w:shd w:val="clear" w:color="000000" w:fill="FFFFFF"/>
            <w:noWrap/>
            <w:vAlign w:val="center"/>
            <w:hideMark/>
          </w:tcPr>
          <w:p w:rsidR="003B3EAF" w:rsidRPr="00C66416" w:rsidRDefault="003B3EAF" w:rsidP="003B3EAF">
            <w:pPr>
              <w:spacing w:after="0"/>
              <w:jc w:val="center"/>
              <w:rPr>
                <w:rFonts w:eastAsia="Times New Roman"/>
                <w:b/>
                <w:bCs/>
                <w:color w:val="000000"/>
                <w:sz w:val="14"/>
                <w:szCs w:val="14"/>
                <w:lang w:val="es-MX" w:eastAsia="es-MX"/>
              </w:rPr>
            </w:pPr>
            <w:r w:rsidRPr="00C66416">
              <w:rPr>
                <w:rFonts w:eastAsia="Times New Roman"/>
                <w:b/>
                <w:bCs/>
                <w:color w:val="000000"/>
                <w:sz w:val="14"/>
                <w:szCs w:val="14"/>
                <w:lang w:val="es-MX" w:eastAsia="es-MX"/>
              </w:rPr>
              <w:t>100</w:t>
            </w:r>
            <w:r w:rsidR="00D170C7" w:rsidRPr="00C66416">
              <w:rPr>
                <w:rFonts w:eastAsia="Times New Roman"/>
                <w:b/>
                <w:bCs/>
                <w:color w:val="000000"/>
                <w:sz w:val="14"/>
                <w:szCs w:val="14"/>
                <w:lang w:val="es-MX" w:eastAsia="es-MX"/>
              </w:rPr>
              <w:t>.0</w:t>
            </w:r>
          </w:p>
        </w:tc>
      </w:tr>
      <w:tr w:rsidR="003B3EAF" w:rsidRPr="003B3EAF" w:rsidTr="003B3EAF">
        <w:trPr>
          <w:trHeight w:val="327"/>
        </w:trPr>
        <w:tc>
          <w:tcPr>
            <w:tcW w:w="9972" w:type="dxa"/>
            <w:gridSpan w:val="8"/>
            <w:tcBorders>
              <w:top w:val="single" w:sz="12" w:space="0" w:color="auto"/>
              <w:left w:val="nil"/>
              <w:bottom w:val="nil"/>
              <w:right w:val="nil"/>
            </w:tcBorders>
            <w:shd w:val="clear" w:color="000000" w:fill="FFFFFF"/>
            <w:noWrap/>
            <w:vAlign w:val="center"/>
            <w:hideMark/>
          </w:tcPr>
          <w:p w:rsidR="003B3EAF" w:rsidRDefault="003B3EAF" w:rsidP="003B3EAF">
            <w:pPr>
              <w:spacing w:after="0"/>
              <w:rPr>
                <w:rFonts w:eastAsia="Times New Roman"/>
                <w:color w:val="000000"/>
                <w:sz w:val="12"/>
                <w:szCs w:val="12"/>
                <w:lang w:val="es-MX" w:eastAsia="es-MX"/>
              </w:rPr>
            </w:pPr>
            <w:r w:rsidRPr="003B3EAF">
              <w:rPr>
                <w:rFonts w:eastAsia="Times New Roman"/>
                <w:color w:val="000000"/>
                <w:sz w:val="12"/>
                <w:szCs w:val="12"/>
                <w:lang w:val="es-MX" w:eastAsia="es-MX"/>
              </w:rPr>
              <w:t>Fuente: Unidad de Evaluación del Desempeño, con Información proporcionada por las dependencias y entidades de la APF a las instancias coordinadoras (SHCP y CONEVAL).</w:t>
            </w:r>
          </w:p>
          <w:p w:rsidR="00E417DA" w:rsidRPr="003B3EAF" w:rsidRDefault="00E417DA" w:rsidP="003B3EAF">
            <w:pPr>
              <w:spacing w:after="0"/>
              <w:rPr>
                <w:rFonts w:eastAsia="Times New Roman"/>
                <w:color w:val="000000"/>
                <w:sz w:val="12"/>
                <w:szCs w:val="12"/>
                <w:lang w:val="es-MX" w:eastAsia="es-MX"/>
              </w:rPr>
            </w:pPr>
            <w:r w:rsidRPr="00E417DA">
              <w:rPr>
                <w:rFonts w:eastAsia="Times New Roman"/>
                <w:color w:val="000000"/>
                <w:sz w:val="12"/>
                <w:szCs w:val="12"/>
                <w:lang w:val="es-MX" w:eastAsia="es-MX"/>
              </w:rPr>
              <w:t>Nota: La suma del porcentaje total puede no coincidir por efectos de redondeo.</w:t>
            </w:r>
          </w:p>
        </w:tc>
      </w:tr>
    </w:tbl>
    <w:p w:rsidR="006A03A5" w:rsidRPr="003B3EAF" w:rsidRDefault="006A03A5" w:rsidP="006A03A5">
      <w:pPr>
        <w:jc w:val="both"/>
        <w:rPr>
          <w:rFonts w:eastAsia="Times New Roman" w:cs="Arial"/>
          <w:szCs w:val="20"/>
          <w:lang w:val="es-MX"/>
        </w:rPr>
      </w:pPr>
    </w:p>
    <w:p w:rsidR="003B3EAF" w:rsidRPr="00052F49" w:rsidRDefault="003B3EAF" w:rsidP="003B3EAF">
      <w:pPr>
        <w:pStyle w:val="Cdetexto"/>
      </w:pPr>
      <w:r w:rsidRPr="00052F49">
        <w:t xml:space="preserve">Del total de los ASM </w:t>
      </w:r>
      <w:r w:rsidR="009755B0">
        <w:t>registrados</w:t>
      </w:r>
      <w:r w:rsidRPr="00052F49">
        <w:t xml:space="preserve"> al segundo trimestre de 2016, los Ramos que destacan por la cantidad de compromisos asumidos son: </w:t>
      </w:r>
      <w:r w:rsidR="009755B0">
        <w:t xml:space="preserve">Ramo </w:t>
      </w:r>
      <w:r w:rsidRPr="00052F49">
        <w:t xml:space="preserve">11 Educación Pública con 194 (28.5%); </w:t>
      </w:r>
      <w:r w:rsidR="00F10E04">
        <w:t xml:space="preserve">Ramo </w:t>
      </w:r>
      <w:r w:rsidRPr="00052F49">
        <w:t xml:space="preserve">20 Desarrollo Social con 105 (15.4%); </w:t>
      </w:r>
      <w:r w:rsidR="00F10E04">
        <w:t xml:space="preserve">Ramo </w:t>
      </w:r>
      <w:r w:rsidRPr="00052F49">
        <w:t xml:space="preserve">16 Medio Ambiente y Recursos Naturales que informó la suscripción de 56 (8.2%); </w:t>
      </w:r>
      <w:r w:rsidR="00F10E04">
        <w:t xml:space="preserve">Ramo </w:t>
      </w:r>
      <w:r w:rsidRPr="00052F49">
        <w:t>10 Economía que reportó 47 (6.9%)</w:t>
      </w:r>
      <w:r w:rsidR="00F10E04">
        <w:t>; Ramo</w:t>
      </w:r>
      <w:r w:rsidRPr="00052F49">
        <w:t xml:space="preserve"> 47 Entidades no Sectorizadas con 46 (6.8%)</w:t>
      </w:r>
      <w:r w:rsidR="00F10E04">
        <w:t xml:space="preserve"> y finalmente el Ramo 4 Gobernación con 40 (</w:t>
      </w:r>
      <w:r w:rsidRPr="00052F49">
        <w:t xml:space="preserve"> </w:t>
      </w:r>
      <w:r w:rsidR="00F10E04">
        <w:t>5.9%) ASM registrados.</w:t>
      </w:r>
    </w:p>
    <w:p w:rsidR="003B3EAF" w:rsidRPr="00052F49" w:rsidRDefault="003B3EAF" w:rsidP="003B3EAF">
      <w:pPr>
        <w:pStyle w:val="Cdetexto"/>
      </w:pPr>
      <w:r w:rsidRPr="00052F49">
        <w:t>Es importante destacar que la mayoría (76.</w:t>
      </w:r>
      <w:r w:rsidR="00F10E04">
        <w:t>5</w:t>
      </w:r>
      <w:r w:rsidRPr="00052F49">
        <w:t xml:space="preserve">%) de los ASM </w:t>
      </w:r>
      <w:r w:rsidR="00821DAF">
        <w:t>registrados</w:t>
      </w:r>
      <w:r w:rsidRPr="00052F49">
        <w:t xml:space="preserve">, se concentran en aspectos clasificados del tipo específico, que de acuerdo a lo establecido en el Mecanismo, son atendidos por la Unidad Responsable (UR) del programa. </w:t>
      </w:r>
    </w:p>
    <w:p w:rsidR="003B3EAF" w:rsidRPr="00052F49" w:rsidRDefault="003B3EAF" w:rsidP="003B3EAF">
      <w:pPr>
        <w:pStyle w:val="Cifrascentradasnegrita"/>
        <w:rPr>
          <w:lang w:val="es-ES_tradnl"/>
        </w:rPr>
      </w:pPr>
      <w:r>
        <w:rPr>
          <w:noProof/>
          <w:lang w:eastAsia="es-MX"/>
        </w:rPr>
        <w:lastRenderedPageBreak/>
        <w:drawing>
          <wp:inline distT="0" distB="0" distL="0" distR="0" wp14:anchorId="5AC962A0" wp14:editId="7AD98DA8">
            <wp:extent cx="4573283" cy="2767950"/>
            <wp:effectExtent l="0" t="0" r="0" b="1397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B3EAF" w:rsidRPr="00052F49" w:rsidRDefault="003B3EAF" w:rsidP="003B3EAF">
      <w:pPr>
        <w:pStyle w:val="Cifrascentradasnegrita"/>
        <w:jc w:val="both"/>
      </w:pPr>
    </w:p>
    <w:p w:rsidR="003B3EAF" w:rsidRPr="00052F49" w:rsidRDefault="003B3EAF" w:rsidP="003B3EAF">
      <w:pPr>
        <w:pStyle w:val="Cdetexto"/>
        <w:rPr>
          <w:sz w:val="4"/>
        </w:rPr>
      </w:pPr>
    </w:p>
    <w:p w:rsidR="006A03A5" w:rsidRPr="006A03A5" w:rsidRDefault="003B3EAF" w:rsidP="003B3EAF">
      <w:pPr>
        <w:pStyle w:val="Cdetexto"/>
      </w:pPr>
      <w:r w:rsidRPr="00052F49">
        <w:t>Respecto de la coordinación para el seguimiento a la instrumentación de los ASM, 219 (32.2%) son coordinados por la SHCP y 462 (67.8%),</w:t>
      </w:r>
      <w:r>
        <w:t xml:space="preserve"> son coordinados por el CONEVAL</w:t>
      </w:r>
      <w:r w:rsidR="006A03A5" w:rsidRPr="006A03A5">
        <w:t xml:space="preserve">. </w:t>
      </w:r>
    </w:p>
    <w:p w:rsidR="006A03A5" w:rsidRPr="006A03A5" w:rsidRDefault="003B3EAF" w:rsidP="006A03A5">
      <w:pPr>
        <w:jc w:val="center"/>
        <w:rPr>
          <w:rFonts w:eastAsia="Times New Roman" w:cs="Arial"/>
          <w:szCs w:val="20"/>
          <w:lang w:val="es-MX"/>
        </w:rPr>
      </w:pPr>
      <w:r>
        <w:rPr>
          <w:noProof/>
          <w:lang w:val="es-MX" w:eastAsia="es-MX"/>
        </w:rPr>
        <w:drawing>
          <wp:inline distT="0" distB="0" distL="0" distR="0" wp14:anchorId="071C57B4" wp14:editId="655D36A2">
            <wp:extent cx="4568798" cy="2889998"/>
            <wp:effectExtent l="0" t="0" r="3810"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3EAF" w:rsidRDefault="003B3EAF" w:rsidP="003B3EAF">
      <w:pPr>
        <w:pStyle w:val="Cdetexto"/>
        <w:spacing w:after="0"/>
      </w:pPr>
      <w:r w:rsidRPr="00052F49">
        <w:t xml:space="preserve">De acuerdo al tipo de evaluación que dio origen a los ASM reportados en este trimestre, se identifican principalmente los siguientes tipos: Diseño con 284 (41.7%), Específica de Desempeño con 138 (20.3%); y Consistencia y Resultados con 96 (14.1%) ASM suscritos. Es importante destacar que </w:t>
      </w:r>
      <w:r>
        <w:t>63</w:t>
      </w:r>
      <w:r w:rsidRPr="00052F49">
        <w:t xml:space="preserve"> (</w:t>
      </w:r>
      <w:r>
        <w:t>9</w:t>
      </w:r>
      <w:r w:rsidRPr="00052F49">
        <w:t>.</w:t>
      </w:r>
      <w:r>
        <w:t>3</w:t>
      </w:r>
      <w:r w:rsidRPr="00052F49">
        <w:t>%) ASM se suscribieron a partir de otros ejercicios de evaluación, esencialmente de Fichas de Monitoreo y Evaluación</w:t>
      </w:r>
      <w:r w:rsidR="001B5252">
        <w:rPr>
          <w:rStyle w:val="Refdenotaalpie"/>
        </w:rPr>
        <w:footnoteReference w:id="10"/>
      </w:r>
      <w:r>
        <w:rPr>
          <w:rStyle w:val="Refdenotaalpie"/>
        </w:rPr>
        <w:footnoteReference w:customMarkFollows="1" w:id="11"/>
        <w:t>_/</w:t>
      </w:r>
      <w:r w:rsidRPr="00052F49">
        <w:t xml:space="preserve">. </w:t>
      </w:r>
    </w:p>
    <w:p w:rsidR="003B3EAF" w:rsidRPr="00052F49" w:rsidRDefault="003B3EAF" w:rsidP="003B3EAF">
      <w:pPr>
        <w:pStyle w:val="Cdetexto"/>
        <w:spacing w:after="0"/>
      </w:pPr>
    </w:p>
    <w:tbl>
      <w:tblPr>
        <w:tblW w:w="8838" w:type="dxa"/>
        <w:jc w:val="center"/>
        <w:tblCellMar>
          <w:left w:w="70" w:type="dxa"/>
          <w:right w:w="70" w:type="dxa"/>
        </w:tblCellMar>
        <w:tblLook w:val="04A0" w:firstRow="1" w:lastRow="0" w:firstColumn="1" w:lastColumn="0" w:noHBand="0" w:noVBand="1"/>
      </w:tblPr>
      <w:tblGrid>
        <w:gridCol w:w="5084"/>
        <w:gridCol w:w="660"/>
        <w:gridCol w:w="1156"/>
        <w:gridCol w:w="643"/>
        <w:gridCol w:w="1295"/>
      </w:tblGrid>
      <w:tr w:rsidR="003B3EAF" w:rsidRPr="003B3EAF" w:rsidTr="003B3EAF">
        <w:trPr>
          <w:trHeight w:val="315"/>
          <w:jc w:val="center"/>
        </w:trPr>
        <w:tc>
          <w:tcPr>
            <w:tcW w:w="8838" w:type="dxa"/>
            <w:gridSpan w:val="5"/>
            <w:tcBorders>
              <w:top w:val="nil"/>
              <w:left w:val="nil"/>
              <w:bottom w:val="nil"/>
              <w:right w:val="nil"/>
            </w:tcBorders>
            <w:shd w:val="clear" w:color="000000" w:fill="EAF1DD"/>
            <w:noWrap/>
            <w:vAlign w:val="center"/>
            <w:hideMark/>
          </w:tcPr>
          <w:p w:rsidR="003B3EAF" w:rsidRPr="003B3EAF" w:rsidRDefault="001B5252" w:rsidP="003B3EAF">
            <w:pPr>
              <w:spacing w:after="0"/>
              <w:jc w:val="center"/>
              <w:rPr>
                <w:rFonts w:eastAsia="Times New Roman"/>
                <w:color w:val="000000"/>
                <w:sz w:val="18"/>
                <w:szCs w:val="18"/>
                <w:lang w:val="es-MX" w:eastAsia="es-MX"/>
              </w:rPr>
            </w:pPr>
            <w:r>
              <w:rPr>
                <w:rFonts w:eastAsia="Times New Roman"/>
                <w:color w:val="000000"/>
                <w:sz w:val="18"/>
                <w:szCs w:val="18"/>
                <w:lang w:val="es-MX" w:eastAsia="es-MX"/>
              </w:rPr>
              <w:t>Tabla 3</w:t>
            </w:r>
            <w:r w:rsidR="003B3EAF" w:rsidRPr="003B3EAF">
              <w:rPr>
                <w:rFonts w:eastAsia="Times New Roman"/>
                <w:color w:val="000000"/>
                <w:sz w:val="18"/>
                <w:szCs w:val="18"/>
                <w:lang w:val="es-MX" w:eastAsia="es-MX"/>
              </w:rPr>
              <w:t xml:space="preserve">. Cantidad de ASM por tipo de evaluación </w:t>
            </w:r>
            <w:r w:rsidR="00821DAF">
              <w:rPr>
                <w:rFonts w:eastAsia="Times New Roman"/>
                <w:color w:val="000000"/>
                <w:sz w:val="18"/>
                <w:szCs w:val="18"/>
                <w:lang w:val="es-MX" w:eastAsia="es-MX"/>
              </w:rPr>
              <w:t>registrados</w:t>
            </w:r>
            <w:r w:rsidR="003B3EAF" w:rsidRPr="003B3EAF">
              <w:rPr>
                <w:rFonts w:eastAsia="Times New Roman"/>
                <w:color w:val="000000"/>
                <w:sz w:val="18"/>
                <w:szCs w:val="18"/>
                <w:lang w:val="es-MX" w:eastAsia="es-MX"/>
              </w:rPr>
              <w:t xml:space="preserve"> en abril 2016</w:t>
            </w:r>
          </w:p>
        </w:tc>
      </w:tr>
      <w:tr w:rsidR="003B3EAF" w:rsidRPr="003B3EAF" w:rsidTr="003B3EAF">
        <w:trPr>
          <w:trHeight w:val="330"/>
          <w:jc w:val="center"/>
        </w:trPr>
        <w:tc>
          <w:tcPr>
            <w:tcW w:w="5084"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Tipo de evaluación (Fuente de información)</w:t>
            </w:r>
          </w:p>
        </w:tc>
        <w:tc>
          <w:tcPr>
            <w:tcW w:w="660"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SHCP</w:t>
            </w:r>
          </w:p>
        </w:tc>
        <w:tc>
          <w:tcPr>
            <w:tcW w:w="1156"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CONEVAL</w:t>
            </w:r>
          </w:p>
        </w:tc>
        <w:tc>
          <w:tcPr>
            <w:tcW w:w="643"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Total</w:t>
            </w:r>
          </w:p>
        </w:tc>
        <w:tc>
          <w:tcPr>
            <w:tcW w:w="1295"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del Total</w:t>
            </w:r>
          </w:p>
        </w:tc>
      </w:tr>
      <w:tr w:rsidR="003B3EAF" w:rsidRPr="003B3EAF" w:rsidTr="003B3EAF">
        <w:trPr>
          <w:trHeight w:val="315"/>
          <w:jc w:val="center"/>
        </w:trPr>
        <w:tc>
          <w:tcPr>
            <w:tcW w:w="5084"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Evaluación de Diseño</w:t>
            </w:r>
          </w:p>
        </w:tc>
        <w:tc>
          <w:tcPr>
            <w:tcW w:w="66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80</w:t>
            </w:r>
          </w:p>
        </w:tc>
        <w:tc>
          <w:tcPr>
            <w:tcW w:w="1156"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204</w:t>
            </w:r>
          </w:p>
        </w:tc>
        <w:tc>
          <w:tcPr>
            <w:tcW w:w="64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284</w:t>
            </w:r>
          </w:p>
        </w:tc>
        <w:tc>
          <w:tcPr>
            <w:tcW w:w="129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41.7</w:t>
            </w:r>
          </w:p>
        </w:tc>
      </w:tr>
      <w:tr w:rsidR="003B3EAF" w:rsidRPr="003B3EAF" w:rsidTr="003B3EAF">
        <w:trPr>
          <w:trHeight w:val="315"/>
          <w:jc w:val="center"/>
        </w:trPr>
        <w:tc>
          <w:tcPr>
            <w:tcW w:w="5084" w:type="dxa"/>
            <w:tcBorders>
              <w:top w:val="nil"/>
              <w:left w:val="nil"/>
              <w:bottom w:val="nil"/>
              <w:right w:val="nil"/>
            </w:tcBorders>
            <w:shd w:val="clear" w:color="000000" w:fill="FFFFFF"/>
            <w:noWrap/>
            <w:vAlign w:val="center"/>
            <w:hideMark/>
          </w:tcPr>
          <w:p w:rsidR="003B3EAF" w:rsidRPr="007300B7" w:rsidRDefault="003B3EAF" w:rsidP="003B3EAF">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Evaluación Específica de Desempeño</w:t>
            </w:r>
          </w:p>
        </w:tc>
        <w:tc>
          <w:tcPr>
            <w:tcW w:w="66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156"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122</w:t>
            </w:r>
          </w:p>
        </w:tc>
        <w:tc>
          <w:tcPr>
            <w:tcW w:w="64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138</w:t>
            </w:r>
          </w:p>
        </w:tc>
        <w:tc>
          <w:tcPr>
            <w:tcW w:w="129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20.3</w:t>
            </w:r>
          </w:p>
        </w:tc>
      </w:tr>
      <w:tr w:rsidR="003B3EAF" w:rsidRPr="003B3EAF" w:rsidTr="003B3EAF">
        <w:trPr>
          <w:trHeight w:val="315"/>
          <w:jc w:val="center"/>
        </w:trPr>
        <w:tc>
          <w:tcPr>
            <w:tcW w:w="5084" w:type="dxa"/>
            <w:tcBorders>
              <w:top w:val="nil"/>
              <w:left w:val="nil"/>
              <w:bottom w:val="nil"/>
              <w:right w:val="nil"/>
            </w:tcBorders>
            <w:shd w:val="clear" w:color="000000" w:fill="FFFFFF"/>
            <w:noWrap/>
            <w:vAlign w:val="center"/>
            <w:hideMark/>
          </w:tcPr>
          <w:p w:rsidR="003B3EAF" w:rsidRPr="007300B7" w:rsidRDefault="003B3EAF" w:rsidP="003B3EAF">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Evaluación de Consistencia y Resultados</w:t>
            </w:r>
          </w:p>
        </w:tc>
        <w:tc>
          <w:tcPr>
            <w:tcW w:w="66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80</w:t>
            </w:r>
          </w:p>
        </w:tc>
        <w:tc>
          <w:tcPr>
            <w:tcW w:w="1156"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64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96</w:t>
            </w:r>
          </w:p>
        </w:tc>
        <w:tc>
          <w:tcPr>
            <w:tcW w:w="129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14.1</w:t>
            </w:r>
          </w:p>
        </w:tc>
      </w:tr>
      <w:tr w:rsidR="003B3EAF" w:rsidRPr="003B3EAF" w:rsidTr="003B3EAF">
        <w:trPr>
          <w:trHeight w:val="315"/>
          <w:jc w:val="center"/>
        </w:trPr>
        <w:tc>
          <w:tcPr>
            <w:tcW w:w="5084" w:type="dxa"/>
            <w:tcBorders>
              <w:top w:val="nil"/>
              <w:left w:val="nil"/>
              <w:bottom w:val="nil"/>
              <w:right w:val="nil"/>
            </w:tcBorders>
            <w:shd w:val="clear" w:color="000000" w:fill="FFFFFF"/>
            <w:noWrap/>
            <w:vAlign w:val="center"/>
            <w:hideMark/>
          </w:tcPr>
          <w:p w:rsidR="003B3EAF" w:rsidRPr="007300B7" w:rsidRDefault="003B3EAF" w:rsidP="003B3EAF">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Evaluación de Procesos</w:t>
            </w:r>
          </w:p>
        </w:tc>
        <w:tc>
          <w:tcPr>
            <w:tcW w:w="66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33</w:t>
            </w:r>
          </w:p>
        </w:tc>
        <w:tc>
          <w:tcPr>
            <w:tcW w:w="1156"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40</w:t>
            </w:r>
          </w:p>
        </w:tc>
        <w:tc>
          <w:tcPr>
            <w:tcW w:w="64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73</w:t>
            </w:r>
          </w:p>
        </w:tc>
        <w:tc>
          <w:tcPr>
            <w:tcW w:w="129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10.7</w:t>
            </w:r>
          </w:p>
        </w:tc>
      </w:tr>
      <w:tr w:rsidR="003B3EAF" w:rsidRPr="003B3EAF" w:rsidTr="003B3EAF">
        <w:trPr>
          <w:trHeight w:val="315"/>
          <w:jc w:val="center"/>
        </w:trPr>
        <w:tc>
          <w:tcPr>
            <w:tcW w:w="5084" w:type="dxa"/>
            <w:tcBorders>
              <w:top w:val="nil"/>
              <w:left w:val="nil"/>
              <w:bottom w:val="nil"/>
              <w:right w:val="nil"/>
            </w:tcBorders>
            <w:shd w:val="clear" w:color="000000" w:fill="FFFFFF"/>
            <w:noWrap/>
            <w:vAlign w:val="center"/>
            <w:hideMark/>
          </w:tcPr>
          <w:p w:rsidR="003B3EAF" w:rsidRPr="007300B7" w:rsidRDefault="003B3EAF" w:rsidP="003B3EAF">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Evaluación Complementaria</w:t>
            </w:r>
          </w:p>
        </w:tc>
        <w:tc>
          <w:tcPr>
            <w:tcW w:w="66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156"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15</w:t>
            </w:r>
          </w:p>
        </w:tc>
        <w:tc>
          <w:tcPr>
            <w:tcW w:w="64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15</w:t>
            </w:r>
          </w:p>
        </w:tc>
        <w:tc>
          <w:tcPr>
            <w:tcW w:w="129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2.2</w:t>
            </w:r>
          </w:p>
        </w:tc>
      </w:tr>
      <w:tr w:rsidR="003B3EAF" w:rsidRPr="003B3EAF" w:rsidTr="003B3EAF">
        <w:trPr>
          <w:trHeight w:val="315"/>
          <w:jc w:val="center"/>
        </w:trPr>
        <w:tc>
          <w:tcPr>
            <w:tcW w:w="5084"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Evaluación Costo - Efectividad</w:t>
            </w:r>
          </w:p>
        </w:tc>
        <w:tc>
          <w:tcPr>
            <w:tcW w:w="66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w:t>
            </w:r>
          </w:p>
        </w:tc>
        <w:tc>
          <w:tcPr>
            <w:tcW w:w="1156"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64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10</w:t>
            </w:r>
          </w:p>
        </w:tc>
        <w:tc>
          <w:tcPr>
            <w:tcW w:w="129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1.5</w:t>
            </w:r>
          </w:p>
        </w:tc>
      </w:tr>
      <w:tr w:rsidR="003B3EAF" w:rsidRPr="003B3EAF" w:rsidTr="003B3EAF">
        <w:trPr>
          <w:trHeight w:val="315"/>
          <w:jc w:val="center"/>
        </w:trPr>
        <w:tc>
          <w:tcPr>
            <w:tcW w:w="5084"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Evaluación de Impacto</w:t>
            </w:r>
          </w:p>
        </w:tc>
        <w:tc>
          <w:tcPr>
            <w:tcW w:w="66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156"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64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9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0.1</w:t>
            </w:r>
          </w:p>
        </w:tc>
      </w:tr>
      <w:tr w:rsidR="003B3EAF" w:rsidRPr="003B3EAF" w:rsidTr="003B3EAF">
        <w:trPr>
          <w:trHeight w:val="315"/>
          <w:jc w:val="center"/>
        </w:trPr>
        <w:tc>
          <w:tcPr>
            <w:tcW w:w="5084" w:type="dxa"/>
            <w:tcBorders>
              <w:top w:val="nil"/>
              <w:left w:val="nil"/>
              <w:bottom w:val="nil"/>
              <w:right w:val="nil"/>
            </w:tcBorders>
            <w:shd w:val="clear" w:color="000000" w:fill="FFFFFF"/>
            <w:noWrap/>
            <w:vAlign w:val="center"/>
            <w:hideMark/>
          </w:tcPr>
          <w:p w:rsidR="003B3EAF" w:rsidRPr="007300B7" w:rsidRDefault="003B3EAF" w:rsidP="003B3EAF">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Evaluación de Indicadores</w:t>
            </w:r>
          </w:p>
        </w:tc>
        <w:tc>
          <w:tcPr>
            <w:tcW w:w="66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156"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64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9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0.1</w:t>
            </w:r>
          </w:p>
        </w:tc>
      </w:tr>
      <w:tr w:rsidR="003B3EAF" w:rsidRPr="003B3EAF" w:rsidTr="003B3EAF">
        <w:trPr>
          <w:trHeight w:val="315"/>
          <w:jc w:val="center"/>
        </w:trPr>
        <w:tc>
          <w:tcPr>
            <w:tcW w:w="5084" w:type="dxa"/>
            <w:tcBorders>
              <w:top w:val="nil"/>
              <w:left w:val="nil"/>
              <w:bottom w:val="nil"/>
              <w:right w:val="nil"/>
            </w:tcBorders>
            <w:shd w:val="clear" w:color="000000" w:fill="FFFFFF"/>
            <w:noWrap/>
            <w:vAlign w:val="center"/>
            <w:hideMark/>
          </w:tcPr>
          <w:p w:rsidR="003B3EAF" w:rsidRPr="007300B7" w:rsidRDefault="003B3EAF" w:rsidP="003B3EAF">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Otros Informes Externos (Ficha de Monitoreo)</w:t>
            </w:r>
          </w:p>
        </w:tc>
        <w:tc>
          <w:tcPr>
            <w:tcW w:w="66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156"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63</w:t>
            </w:r>
          </w:p>
        </w:tc>
        <w:tc>
          <w:tcPr>
            <w:tcW w:w="64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63</w:t>
            </w:r>
          </w:p>
        </w:tc>
        <w:tc>
          <w:tcPr>
            <w:tcW w:w="129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9.3</w:t>
            </w:r>
          </w:p>
        </w:tc>
      </w:tr>
      <w:tr w:rsidR="003B3EAF" w:rsidRPr="003B3EAF" w:rsidTr="003B3EAF">
        <w:trPr>
          <w:trHeight w:val="330"/>
          <w:jc w:val="center"/>
        </w:trPr>
        <w:tc>
          <w:tcPr>
            <w:tcW w:w="5084"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both"/>
              <w:rPr>
                <w:rFonts w:eastAsia="Times New Roman"/>
                <w:b/>
                <w:bCs/>
                <w:color w:val="000000"/>
                <w:sz w:val="14"/>
                <w:szCs w:val="14"/>
                <w:lang w:val="es-MX" w:eastAsia="es-MX"/>
              </w:rPr>
            </w:pPr>
            <w:r w:rsidRPr="007300B7">
              <w:rPr>
                <w:rFonts w:eastAsia="Times New Roman"/>
                <w:b/>
                <w:bCs/>
                <w:color w:val="000000"/>
                <w:sz w:val="14"/>
                <w:szCs w:val="14"/>
                <w:lang w:val="es-MX" w:eastAsia="es-MX"/>
              </w:rPr>
              <w:t>Total</w:t>
            </w:r>
          </w:p>
        </w:tc>
        <w:tc>
          <w:tcPr>
            <w:tcW w:w="660"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219</w:t>
            </w:r>
          </w:p>
        </w:tc>
        <w:tc>
          <w:tcPr>
            <w:tcW w:w="1156"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462</w:t>
            </w:r>
          </w:p>
        </w:tc>
        <w:tc>
          <w:tcPr>
            <w:tcW w:w="643"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681</w:t>
            </w:r>
          </w:p>
        </w:tc>
        <w:tc>
          <w:tcPr>
            <w:tcW w:w="1295" w:type="dxa"/>
            <w:tcBorders>
              <w:top w:val="nil"/>
              <w:left w:val="nil"/>
              <w:bottom w:val="single" w:sz="8"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100.0</w:t>
            </w:r>
          </w:p>
        </w:tc>
      </w:tr>
      <w:tr w:rsidR="003B3EAF" w:rsidRPr="003B3EAF" w:rsidTr="003B3EAF">
        <w:trPr>
          <w:trHeight w:val="315"/>
          <w:jc w:val="center"/>
        </w:trPr>
        <w:tc>
          <w:tcPr>
            <w:tcW w:w="8838" w:type="dxa"/>
            <w:gridSpan w:val="5"/>
            <w:tcBorders>
              <w:top w:val="single" w:sz="8" w:space="0" w:color="auto"/>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2"/>
                <w:szCs w:val="12"/>
                <w:lang w:val="es-MX" w:eastAsia="es-MX"/>
              </w:rPr>
            </w:pPr>
            <w:r w:rsidRPr="007300B7">
              <w:rPr>
                <w:rFonts w:eastAsia="Times New Roman"/>
                <w:color w:val="000000"/>
                <w:sz w:val="12"/>
                <w:szCs w:val="12"/>
                <w:lang w:val="es-MX" w:eastAsia="es-MX"/>
              </w:rPr>
              <w:t>Fuente: Unidad de Evaluación del Desempeño, con Información proporcionada por las dependencias y entidades de la APF a las instancias coordinadoras (SHCP y CONEVAL).</w:t>
            </w:r>
          </w:p>
        </w:tc>
      </w:tr>
    </w:tbl>
    <w:p w:rsidR="0028554A" w:rsidRDefault="0028554A" w:rsidP="003B3EAF">
      <w:pPr>
        <w:pStyle w:val="Cdetexto"/>
        <w:rPr>
          <w:szCs w:val="22"/>
          <w:lang w:val="es-MX"/>
        </w:rPr>
      </w:pPr>
    </w:p>
    <w:p w:rsidR="003B3EAF" w:rsidRDefault="003B3EAF" w:rsidP="003B3EAF">
      <w:pPr>
        <w:pStyle w:val="Cdetexto"/>
        <w:rPr>
          <w:szCs w:val="22"/>
        </w:rPr>
      </w:pPr>
      <w:r w:rsidRPr="00052F49">
        <w:rPr>
          <w:szCs w:val="22"/>
          <w:lang w:val="es-MX"/>
        </w:rPr>
        <w:t xml:space="preserve">De igual forma, </w:t>
      </w:r>
      <w:r w:rsidRPr="00052F49">
        <w:rPr>
          <w:szCs w:val="22"/>
        </w:rPr>
        <w:t xml:space="preserve">los tres principales temas sobre los cuales se incorporaron ASM fueron: </w:t>
      </w:r>
      <w:r w:rsidRPr="00157960">
        <w:rPr>
          <w:szCs w:val="22"/>
        </w:rPr>
        <w:t xml:space="preserve">Diseño, enfocado en la consistencia y lógica interna de los programas, con </w:t>
      </w:r>
      <w:r>
        <w:rPr>
          <w:szCs w:val="22"/>
        </w:rPr>
        <w:t>184 (27.0</w:t>
      </w:r>
      <w:r w:rsidRPr="00157960">
        <w:rPr>
          <w:szCs w:val="22"/>
        </w:rPr>
        <w:t xml:space="preserve">%); </w:t>
      </w:r>
      <w:r w:rsidRPr="00052F49">
        <w:t>Operación,</w:t>
      </w:r>
      <w:r w:rsidRPr="00052F49">
        <w:rPr>
          <w:szCs w:val="22"/>
        </w:rPr>
        <w:t xml:space="preserve"> </w:t>
      </w:r>
      <w:r w:rsidRPr="00052F49">
        <w:t xml:space="preserve">que analiza los principales procesos establecidos en las Reglas de Operación del programa o en la normatividad aplicable, </w:t>
      </w:r>
      <w:r>
        <w:rPr>
          <w:szCs w:val="22"/>
        </w:rPr>
        <w:t>con 103 (15</w:t>
      </w:r>
      <w:r w:rsidRPr="00052F49">
        <w:rPr>
          <w:szCs w:val="22"/>
        </w:rPr>
        <w:t>.</w:t>
      </w:r>
      <w:r>
        <w:rPr>
          <w:szCs w:val="22"/>
        </w:rPr>
        <w:t>1</w:t>
      </w:r>
      <w:r w:rsidRPr="00052F49">
        <w:rPr>
          <w:szCs w:val="22"/>
        </w:rPr>
        <w:t xml:space="preserve">%); e </w:t>
      </w:r>
      <w:r w:rsidRPr="00052F49">
        <w:t>Indicadores,</w:t>
      </w:r>
      <w:r w:rsidRPr="00052F49">
        <w:rPr>
          <w:szCs w:val="22"/>
        </w:rPr>
        <w:t xml:space="preserve"> que se relacionan con modificaciones a las metas, resúmenes</w:t>
      </w:r>
      <w:r w:rsidRPr="00052F49">
        <w:t xml:space="preserve"> </w:t>
      </w:r>
      <w:r w:rsidRPr="00052F49">
        <w:rPr>
          <w:szCs w:val="22"/>
        </w:rPr>
        <w:t>narrativos e indicadores; formas de cálculo; agregar o eliminar indicadores de Fin, Propósit</w:t>
      </w:r>
      <w:r>
        <w:rPr>
          <w:szCs w:val="22"/>
        </w:rPr>
        <w:t>o, Componente o Actividad, con 92 (13.5%)</w:t>
      </w:r>
      <w:r w:rsidRPr="00CF57C7">
        <w:rPr>
          <w:szCs w:val="22"/>
        </w:rPr>
        <w:t xml:space="preserve"> </w:t>
      </w:r>
      <w:r>
        <w:rPr>
          <w:szCs w:val="22"/>
        </w:rPr>
        <w:t>ASM.</w:t>
      </w:r>
    </w:p>
    <w:p w:rsidR="0028554A" w:rsidRPr="00052F49" w:rsidRDefault="0028554A" w:rsidP="003B3EAF">
      <w:pPr>
        <w:pStyle w:val="Cdetexto"/>
        <w:rPr>
          <w:szCs w:val="22"/>
          <w:lang w:val="es-MX"/>
        </w:rPr>
      </w:pPr>
    </w:p>
    <w:tbl>
      <w:tblPr>
        <w:tblW w:w="8838" w:type="dxa"/>
        <w:jc w:val="center"/>
        <w:tblCellMar>
          <w:left w:w="70" w:type="dxa"/>
          <w:right w:w="70" w:type="dxa"/>
        </w:tblCellMar>
        <w:tblLook w:val="04A0" w:firstRow="1" w:lastRow="0" w:firstColumn="1" w:lastColumn="0" w:noHBand="0" w:noVBand="1"/>
      </w:tblPr>
      <w:tblGrid>
        <w:gridCol w:w="2600"/>
        <w:gridCol w:w="1063"/>
        <w:gridCol w:w="1868"/>
        <w:gridCol w:w="1315"/>
        <w:gridCol w:w="1992"/>
      </w:tblGrid>
      <w:tr w:rsidR="003B3EAF" w:rsidRPr="003B3EAF" w:rsidTr="003B3EAF">
        <w:trPr>
          <w:trHeight w:val="315"/>
          <w:jc w:val="center"/>
        </w:trPr>
        <w:tc>
          <w:tcPr>
            <w:tcW w:w="8838" w:type="dxa"/>
            <w:gridSpan w:val="5"/>
            <w:tcBorders>
              <w:top w:val="nil"/>
              <w:left w:val="nil"/>
              <w:bottom w:val="nil"/>
              <w:right w:val="nil"/>
            </w:tcBorders>
            <w:shd w:val="clear" w:color="000000" w:fill="EAF1DD"/>
            <w:noWrap/>
            <w:vAlign w:val="center"/>
            <w:hideMark/>
          </w:tcPr>
          <w:p w:rsidR="003B3EAF" w:rsidRPr="003B3EAF" w:rsidRDefault="001B5252" w:rsidP="003B3EAF">
            <w:pPr>
              <w:spacing w:after="0"/>
              <w:jc w:val="center"/>
              <w:rPr>
                <w:rFonts w:eastAsia="Times New Roman"/>
                <w:color w:val="000000"/>
                <w:sz w:val="18"/>
                <w:szCs w:val="18"/>
                <w:lang w:val="es-MX" w:eastAsia="es-MX"/>
              </w:rPr>
            </w:pPr>
            <w:r>
              <w:rPr>
                <w:rFonts w:eastAsia="Times New Roman"/>
                <w:color w:val="000000"/>
                <w:sz w:val="18"/>
                <w:szCs w:val="18"/>
                <w:lang w:val="es-MX" w:eastAsia="es-MX"/>
              </w:rPr>
              <w:t>Tabla 4</w:t>
            </w:r>
            <w:r w:rsidR="003B3EAF" w:rsidRPr="003B3EAF">
              <w:rPr>
                <w:rFonts w:eastAsia="Times New Roman"/>
                <w:color w:val="000000"/>
                <w:sz w:val="18"/>
                <w:szCs w:val="18"/>
                <w:lang w:val="es-MX" w:eastAsia="es-MX"/>
              </w:rPr>
              <w:t xml:space="preserve">.  Temas a los que van dirigidos los ASM </w:t>
            </w:r>
            <w:r w:rsidR="0028554A">
              <w:rPr>
                <w:rFonts w:eastAsia="Times New Roman"/>
                <w:color w:val="000000"/>
                <w:sz w:val="18"/>
                <w:szCs w:val="18"/>
                <w:lang w:val="es-MX" w:eastAsia="es-MX"/>
              </w:rPr>
              <w:t>registrados</w:t>
            </w:r>
            <w:r w:rsidR="003B3EAF" w:rsidRPr="003B3EAF">
              <w:rPr>
                <w:rFonts w:eastAsia="Times New Roman"/>
                <w:color w:val="000000"/>
                <w:sz w:val="18"/>
                <w:szCs w:val="18"/>
                <w:lang w:val="es-MX" w:eastAsia="es-MX"/>
              </w:rPr>
              <w:t xml:space="preserve"> en abril 2016</w:t>
            </w:r>
          </w:p>
        </w:tc>
      </w:tr>
      <w:tr w:rsidR="003B3EAF" w:rsidRPr="003B3EAF" w:rsidTr="003B3EAF">
        <w:trPr>
          <w:trHeight w:val="330"/>
          <w:jc w:val="center"/>
        </w:trPr>
        <w:tc>
          <w:tcPr>
            <w:tcW w:w="2600"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Tema</w:t>
            </w:r>
          </w:p>
        </w:tc>
        <w:tc>
          <w:tcPr>
            <w:tcW w:w="1063"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SHCP</w:t>
            </w:r>
          </w:p>
        </w:tc>
        <w:tc>
          <w:tcPr>
            <w:tcW w:w="1868"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CONEVAL</w:t>
            </w:r>
          </w:p>
        </w:tc>
        <w:tc>
          <w:tcPr>
            <w:tcW w:w="1315"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T0TAL</w:t>
            </w:r>
          </w:p>
        </w:tc>
        <w:tc>
          <w:tcPr>
            <w:tcW w:w="1992"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del total</w:t>
            </w:r>
          </w:p>
        </w:tc>
      </w:tr>
      <w:tr w:rsidR="003B3EAF" w:rsidRPr="003B3EAF" w:rsidTr="003B3EAF">
        <w:trPr>
          <w:trHeight w:val="330"/>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Diseño</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70</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114</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184</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27.0</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Operación</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42</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61</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103</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15.1</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Indicadores</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76</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92</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13.5</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Planeación</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24</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32</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56</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8.2</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Coberturas</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44</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56</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8.2</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Resultado</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19</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21</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40</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5.9</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Evaluación</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19</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25</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3.7</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Productos</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19</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19</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2.8</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Ejecución</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1.8</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Otros</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21</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24</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3.5</w:t>
            </w:r>
          </w:p>
        </w:tc>
      </w:tr>
      <w:tr w:rsidR="003B3EAF" w:rsidRPr="003B3EAF" w:rsidTr="003B3EAF">
        <w:trPr>
          <w:trHeight w:val="315"/>
          <w:jc w:val="center"/>
        </w:trPr>
        <w:tc>
          <w:tcPr>
            <w:tcW w:w="2600"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Más de un Tema</w:t>
            </w:r>
          </w:p>
        </w:tc>
        <w:tc>
          <w:tcPr>
            <w:tcW w:w="106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23</w:t>
            </w:r>
          </w:p>
        </w:tc>
        <w:tc>
          <w:tcPr>
            <w:tcW w:w="186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47</w:t>
            </w:r>
          </w:p>
        </w:tc>
        <w:tc>
          <w:tcPr>
            <w:tcW w:w="131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70</w:t>
            </w:r>
          </w:p>
        </w:tc>
        <w:tc>
          <w:tcPr>
            <w:tcW w:w="199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10.3</w:t>
            </w:r>
          </w:p>
        </w:tc>
      </w:tr>
      <w:tr w:rsidR="003B3EAF" w:rsidRPr="003B3EAF" w:rsidTr="003B3EAF">
        <w:trPr>
          <w:trHeight w:val="330"/>
          <w:jc w:val="center"/>
        </w:trPr>
        <w:tc>
          <w:tcPr>
            <w:tcW w:w="2600"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Total</w:t>
            </w:r>
          </w:p>
        </w:tc>
        <w:tc>
          <w:tcPr>
            <w:tcW w:w="1063"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219</w:t>
            </w:r>
          </w:p>
        </w:tc>
        <w:tc>
          <w:tcPr>
            <w:tcW w:w="1868"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462</w:t>
            </w:r>
          </w:p>
        </w:tc>
        <w:tc>
          <w:tcPr>
            <w:tcW w:w="1315"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681</w:t>
            </w:r>
          </w:p>
        </w:tc>
        <w:tc>
          <w:tcPr>
            <w:tcW w:w="1992"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100</w:t>
            </w:r>
            <w:r w:rsidR="00D170C7" w:rsidRPr="007300B7">
              <w:rPr>
                <w:rFonts w:eastAsia="Times New Roman"/>
                <w:b/>
                <w:bCs/>
                <w:color w:val="000000"/>
                <w:sz w:val="14"/>
                <w:szCs w:val="14"/>
                <w:lang w:val="es-MX" w:eastAsia="es-MX"/>
              </w:rPr>
              <w:t>.0</w:t>
            </w:r>
          </w:p>
        </w:tc>
      </w:tr>
      <w:tr w:rsidR="003B3EAF" w:rsidRPr="003B3EAF" w:rsidTr="003B3EAF">
        <w:trPr>
          <w:trHeight w:val="330"/>
          <w:jc w:val="center"/>
        </w:trPr>
        <w:tc>
          <w:tcPr>
            <w:tcW w:w="8838" w:type="dxa"/>
            <w:gridSpan w:val="5"/>
            <w:tcBorders>
              <w:top w:val="single" w:sz="12" w:space="0" w:color="auto"/>
              <w:left w:val="nil"/>
              <w:bottom w:val="nil"/>
              <w:right w:val="nil"/>
            </w:tcBorders>
            <w:shd w:val="clear" w:color="000000" w:fill="FFFFFF"/>
            <w:noWrap/>
            <w:vAlign w:val="center"/>
            <w:hideMark/>
          </w:tcPr>
          <w:p w:rsidR="003B3EAF" w:rsidRPr="003B3EAF" w:rsidRDefault="003B3EAF" w:rsidP="003B3EAF">
            <w:pPr>
              <w:spacing w:after="0"/>
              <w:rPr>
                <w:rFonts w:eastAsia="Times New Roman"/>
                <w:color w:val="000000"/>
                <w:sz w:val="12"/>
                <w:szCs w:val="12"/>
                <w:lang w:val="es-MX" w:eastAsia="es-MX"/>
              </w:rPr>
            </w:pPr>
            <w:r w:rsidRPr="003B3EAF">
              <w:rPr>
                <w:rFonts w:eastAsia="Times New Roman"/>
                <w:color w:val="000000"/>
                <w:sz w:val="12"/>
                <w:szCs w:val="12"/>
                <w:lang w:val="es-MX" w:eastAsia="es-MX"/>
              </w:rPr>
              <w:t>Fuente: Unidad de Evaluación del Desempeño, con Información proporcionada por las dependencias y entidades de la APF a las instancias coordinadoras (SHCP y CONEVAL).</w:t>
            </w:r>
          </w:p>
        </w:tc>
      </w:tr>
    </w:tbl>
    <w:p w:rsidR="003B3EAF" w:rsidRPr="003B3EAF" w:rsidRDefault="003B3EAF" w:rsidP="006A03A5">
      <w:pPr>
        <w:spacing w:before="20" w:after="0"/>
        <w:jc w:val="center"/>
        <w:rPr>
          <w:rFonts w:eastAsia="Calibri" w:cstheme="minorBidi"/>
          <w:b/>
          <w:sz w:val="12"/>
          <w:szCs w:val="22"/>
          <w:lang w:val="es-MX" w:eastAsia="en-US"/>
        </w:rPr>
      </w:pPr>
    </w:p>
    <w:p w:rsidR="0028554A" w:rsidRDefault="0028554A" w:rsidP="00B72D60">
      <w:pPr>
        <w:pStyle w:val="Cdetextonegrita"/>
      </w:pPr>
    </w:p>
    <w:p w:rsidR="006A03A5" w:rsidRPr="006A03A5" w:rsidRDefault="006A03A5" w:rsidP="00B72D60">
      <w:pPr>
        <w:pStyle w:val="Cdetextonegrita"/>
      </w:pPr>
      <w:r w:rsidRPr="006A03A5">
        <w:lastRenderedPageBreak/>
        <w:t>ASM derivados de las evaluaciones externas realizadas a P</w:t>
      </w:r>
      <w:r w:rsidR="003D057A">
        <w:t>p</w:t>
      </w:r>
      <w:r w:rsidRPr="006A03A5">
        <w:t xml:space="preserve"> con recursos federales transferidos a entidades federativas y municipios</w:t>
      </w:r>
      <w:r w:rsidR="0028554A">
        <w:t>.</w:t>
      </w:r>
    </w:p>
    <w:p w:rsidR="003B3EAF" w:rsidRPr="00052F49" w:rsidRDefault="003B3EAF" w:rsidP="00433667">
      <w:pPr>
        <w:pStyle w:val="Cdetexto"/>
      </w:pPr>
      <w:r>
        <w:t>Para el segundo trimestre 2016</w:t>
      </w:r>
      <w:r w:rsidRPr="00052F49">
        <w:t xml:space="preserve">, las dependencias y entidades informaron la suscripción de </w:t>
      </w:r>
      <w:r w:rsidR="00940F6E">
        <w:t xml:space="preserve">167 </w:t>
      </w:r>
      <w:r w:rsidRPr="00052F49">
        <w:t>ASM derivados de evaluaciones externa</w:t>
      </w:r>
      <w:r w:rsidR="00666188">
        <w:t>s</w:t>
      </w:r>
      <w:r w:rsidRPr="00052F49">
        <w:t xml:space="preserve"> realizadas a </w:t>
      </w:r>
      <w:r w:rsidR="0028554A">
        <w:t>Pp</w:t>
      </w:r>
      <w:r w:rsidRPr="00052F49">
        <w:t xml:space="preserve"> que </w:t>
      </w:r>
      <w:r w:rsidR="0002526E">
        <w:t>transfieren</w:t>
      </w:r>
      <w:r w:rsidRPr="00052F49">
        <w:t xml:space="preserve"> recursos federales a entidades federativas y municipios.</w:t>
      </w:r>
      <w:r w:rsidR="00433667">
        <w:t xml:space="preserve"> </w:t>
      </w:r>
      <w:r w:rsidRPr="00052F49">
        <w:t>La información se presenta con fundamento en la línea de acción 2.4.2 “</w:t>
      </w:r>
      <w:r w:rsidRPr="00AA617F">
        <w:rPr>
          <w:i/>
        </w:rPr>
        <w:t>Identificar y transparentar ASM en la aplicación del gasto federalizado</w:t>
      </w:r>
      <w:r w:rsidRPr="00052F49">
        <w:t>” incluido en la estrategia 2.4 “</w:t>
      </w:r>
      <w:r w:rsidRPr="00AA617F">
        <w:rPr>
          <w:i/>
        </w:rPr>
        <w:t>Mejorar la calidad el gasto federalizado con base en los preceptos del SED</w:t>
      </w:r>
      <w:r w:rsidRPr="00052F49">
        <w:t>” del Programa para un Gobierno Cercano y Moderno</w:t>
      </w:r>
      <w:r w:rsidR="0002526E">
        <w:t xml:space="preserve"> 2013-2018.</w:t>
      </w:r>
    </w:p>
    <w:p w:rsidR="006A03A5" w:rsidRPr="006A03A5" w:rsidRDefault="003B3EAF" w:rsidP="003B3EAF">
      <w:pPr>
        <w:pStyle w:val="Cdetexto"/>
      </w:pPr>
      <w:r w:rsidRPr="00052F49">
        <w:t>Los 167 ASM corresponden a 26 programas federales de 13 dependencias y entidades, y se describen a continuación:</w:t>
      </w:r>
      <w:r w:rsidR="006A03A5" w:rsidRPr="006A03A5">
        <w:t xml:space="preserve"> </w:t>
      </w:r>
    </w:p>
    <w:p w:rsidR="006A03A5" w:rsidRPr="006A03A5" w:rsidRDefault="006A03A5" w:rsidP="006A03A5">
      <w:pPr>
        <w:jc w:val="both"/>
        <w:rPr>
          <w:szCs w:val="22"/>
          <w:lang w:val="es-ES"/>
        </w:rPr>
      </w:pPr>
    </w:p>
    <w:tbl>
      <w:tblPr>
        <w:tblW w:w="10218" w:type="dxa"/>
        <w:jc w:val="center"/>
        <w:tblCellMar>
          <w:left w:w="70" w:type="dxa"/>
          <w:right w:w="70" w:type="dxa"/>
        </w:tblCellMar>
        <w:tblLook w:val="04A0" w:firstRow="1" w:lastRow="0" w:firstColumn="1" w:lastColumn="0" w:noHBand="0" w:noVBand="1"/>
      </w:tblPr>
      <w:tblGrid>
        <w:gridCol w:w="700"/>
        <w:gridCol w:w="1285"/>
        <w:gridCol w:w="978"/>
        <w:gridCol w:w="1244"/>
        <w:gridCol w:w="3623"/>
        <w:gridCol w:w="1445"/>
        <w:gridCol w:w="1296"/>
      </w:tblGrid>
      <w:tr w:rsidR="003B3EAF" w:rsidRPr="003B3EAF" w:rsidTr="00AA617F">
        <w:trPr>
          <w:trHeight w:val="638"/>
          <w:tblHeader/>
          <w:jc w:val="center"/>
        </w:trPr>
        <w:tc>
          <w:tcPr>
            <w:tcW w:w="10218" w:type="dxa"/>
            <w:gridSpan w:val="7"/>
            <w:tcBorders>
              <w:top w:val="nil"/>
              <w:left w:val="nil"/>
              <w:bottom w:val="nil"/>
              <w:right w:val="nil"/>
            </w:tcBorders>
            <w:shd w:val="clear" w:color="000000" w:fill="EAF1DD"/>
            <w:vAlign w:val="center"/>
            <w:hideMark/>
          </w:tcPr>
          <w:p w:rsidR="003B3EAF" w:rsidRPr="003B3EAF" w:rsidRDefault="001B5252" w:rsidP="00EC4208">
            <w:pPr>
              <w:spacing w:after="0"/>
              <w:jc w:val="center"/>
              <w:rPr>
                <w:rFonts w:eastAsia="Times New Roman"/>
                <w:color w:val="000000"/>
                <w:sz w:val="18"/>
                <w:szCs w:val="18"/>
                <w:lang w:val="es-MX" w:eastAsia="es-MX"/>
              </w:rPr>
            </w:pPr>
            <w:r>
              <w:rPr>
                <w:rFonts w:eastAsia="Times New Roman"/>
                <w:color w:val="000000"/>
                <w:sz w:val="18"/>
                <w:szCs w:val="18"/>
                <w:lang w:val="es-MX" w:eastAsia="es-MX"/>
              </w:rPr>
              <w:t>Tabla 5</w:t>
            </w:r>
            <w:r w:rsidR="003B3EAF" w:rsidRPr="003B3EAF">
              <w:rPr>
                <w:rFonts w:eastAsia="Times New Roman"/>
                <w:color w:val="000000"/>
                <w:sz w:val="18"/>
                <w:szCs w:val="18"/>
                <w:lang w:val="es-MX" w:eastAsia="es-MX"/>
              </w:rPr>
              <w:t xml:space="preserve">. ASM de </w:t>
            </w:r>
            <w:r w:rsidR="00433667">
              <w:rPr>
                <w:rFonts w:eastAsia="Times New Roman"/>
                <w:color w:val="000000"/>
                <w:sz w:val="18"/>
                <w:szCs w:val="18"/>
                <w:lang w:val="es-MX" w:eastAsia="es-MX"/>
              </w:rPr>
              <w:t>Pp</w:t>
            </w:r>
            <w:r w:rsidR="003B3EAF" w:rsidRPr="003B3EAF">
              <w:rPr>
                <w:rFonts w:eastAsia="Times New Roman"/>
                <w:color w:val="000000"/>
                <w:sz w:val="18"/>
                <w:szCs w:val="18"/>
                <w:lang w:val="es-MX" w:eastAsia="es-MX"/>
              </w:rPr>
              <w:t xml:space="preserve"> que </w:t>
            </w:r>
            <w:r w:rsidR="00433667">
              <w:rPr>
                <w:rFonts w:eastAsia="Times New Roman"/>
                <w:color w:val="000000"/>
                <w:sz w:val="18"/>
                <w:szCs w:val="18"/>
                <w:lang w:val="es-MX" w:eastAsia="es-MX"/>
              </w:rPr>
              <w:t>realizaron</w:t>
            </w:r>
            <w:r w:rsidR="00433667" w:rsidRPr="003B3EAF">
              <w:rPr>
                <w:rFonts w:eastAsia="Times New Roman"/>
                <w:color w:val="000000"/>
                <w:sz w:val="18"/>
                <w:szCs w:val="18"/>
                <w:lang w:val="es-MX" w:eastAsia="es-MX"/>
              </w:rPr>
              <w:t xml:space="preserve"> </w:t>
            </w:r>
            <w:r w:rsidR="003B3EAF" w:rsidRPr="003B3EAF">
              <w:rPr>
                <w:rFonts w:eastAsia="Times New Roman"/>
                <w:color w:val="000000"/>
                <w:sz w:val="18"/>
                <w:szCs w:val="18"/>
                <w:lang w:val="es-MX" w:eastAsia="es-MX"/>
              </w:rPr>
              <w:t xml:space="preserve">trasferencias de recursos  federales a entidades federativas o municipios por dependencia o entidad </w:t>
            </w:r>
            <w:r w:rsidR="00EC4208">
              <w:rPr>
                <w:rFonts w:eastAsia="Times New Roman"/>
                <w:color w:val="000000"/>
                <w:sz w:val="18"/>
                <w:szCs w:val="18"/>
                <w:lang w:val="es-MX" w:eastAsia="es-MX"/>
              </w:rPr>
              <w:t>registrados</w:t>
            </w:r>
            <w:r w:rsidR="003B3EAF" w:rsidRPr="003B3EAF">
              <w:rPr>
                <w:rFonts w:eastAsia="Times New Roman"/>
                <w:color w:val="000000"/>
                <w:sz w:val="18"/>
                <w:szCs w:val="18"/>
                <w:lang w:val="es-MX" w:eastAsia="es-MX"/>
              </w:rPr>
              <w:t xml:space="preserve"> en abril de 2016</w:t>
            </w:r>
          </w:p>
        </w:tc>
      </w:tr>
      <w:tr w:rsidR="003B3EAF" w:rsidRPr="003B3EAF" w:rsidTr="00704966">
        <w:trPr>
          <w:trHeight w:val="327"/>
          <w:tblHeader/>
          <w:jc w:val="center"/>
        </w:trPr>
        <w:tc>
          <w:tcPr>
            <w:tcW w:w="700"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Clave del Ramo</w:t>
            </w:r>
          </w:p>
        </w:tc>
        <w:tc>
          <w:tcPr>
            <w:tcW w:w="1285"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Dependencia</w:t>
            </w:r>
          </w:p>
        </w:tc>
        <w:tc>
          <w:tcPr>
            <w:tcW w:w="978"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Modalidad y Clave del Programa</w:t>
            </w:r>
          </w:p>
        </w:tc>
        <w:tc>
          <w:tcPr>
            <w:tcW w:w="1082"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Nombre del Programa</w:t>
            </w:r>
          </w:p>
        </w:tc>
        <w:tc>
          <w:tcPr>
            <w:tcW w:w="3623"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Aspecto Susceptible de Mejora</w:t>
            </w:r>
          </w:p>
        </w:tc>
        <w:tc>
          <w:tcPr>
            <w:tcW w:w="1254"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Tipo de Aspecto</w:t>
            </w:r>
          </w:p>
        </w:tc>
        <w:tc>
          <w:tcPr>
            <w:tcW w:w="1296" w:type="dxa"/>
            <w:tcBorders>
              <w:top w:val="nil"/>
              <w:left w:val="nil"/>
              <w:bottom w:val="single" w:sz="12"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Prioridad</w:t>
            </w:r>
          </w:p>
        </w:tc>
      </w:tr>
      <w:tr w:rsidR="003B3EAF" w:rsidRPr="003B3EAF" w:rsidTr="00AA617F">
        <w:trPr>
          <w:trHeight w:val="327"/>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666188">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SEGOB</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P001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Conducción de la política interior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433667"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w:t>
            </w:r>
            <w:r w:rsidR="003B3EAF" w:rsidRPr="007300B7">
              <w:rPr>
                <w:rFonts w:eastAsia="Times New Roman"/>
                <w:color w:val="000000"/>
                <w:sz w:val="14"/>
                <w:szCs w:val="14"/>
                <w:lang w:val="es-MX" w:eastAsia="es-MX"/>
              </w:rPr>
              <w:t>ontar con un documento de diagnóstico y análisis del P001</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666188">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SEGOB</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P001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Conducción de la política interior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433667"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Árbol</w:t>
            </w:r>
            <w:r w:rsidR="003B3EAF" w:rsidRPr="007300B7">
              <w:rPr>
                <w:rFonts w:eastAsia="Times New Roman"/>
                <w:color w:val="000000"/>
                <w:sz w:val="14"/>
                <w:szCs w:val="14"/>
                <w:lang w:val="es-MX" w:eastAsia="es-MX"/>
              </w:rPr>
              <w:t xml:space="preserve"> de problemas y objetivos que contenga todos los aspectos del P001</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SEGOB</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P001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Conducción de la política interior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433667"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F</w:t>
            </w:r>
            <w:r w:rsidR="003B3EAF" w:rsidRPr="007300B7">
              <w:rPr>
                <w:rFonts w:eastAsia="Times New Roman"/>
                <w:color w:val="000000"/>
                <w:sz w:val="14"/>
                <w:szCs w:val="14"/>
                <w:lang w:val="es-MX" w:eastAsia="es-MX"/>
              </w:rPr>
              <w:t>ortalecer la vinculación del fin con el objetivo sectorial y/o transversal</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SEGOB</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P001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Conducción de la política interior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433667"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R</w:t>
            </w:r>
            <w:r w:rsidR="003B3EAF" w:rsidRPr="007300B7">
              <w:rPr>
                <w:rFonts w:eastAsia="Times New Roman"/>
                <w:color w:val="000000"/>
                <w:sz w:val="14"/>
                <w:szCs w:val="14"/>
                <w:lang w:val="es-MX" w:eastAsia="es-MX"/>
              </w:rPr>
              <w:t>ediseño de objetivo de la MIR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SEGOB</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P001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Conducción de la política interior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433667"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F</w:t>
            </w:r>
            <w:r w:rsidR="003B3EAF" w:rsidRPr="007300B7">
              <w:rPr>
                <w:rFonts w:eastAsia="Times New Roman"/>
                <w:color w:val="000000"/>
                <w:sz w:val="14"/>
                <w:szCs w:val="14"/>
                <w:lang w:val="es-MX" w:eastAsia="es-MX"/>
              </w:rPr>
              <w:t>lujogramas de proceso sustancial</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SEGOB</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P001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Conducción de la política interior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433667"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R</w:t>
            </w:r>
            <w:r w:rsidR="003B3EAF" w:rsidRPr="007300B7">
              <w:rPr>
                <w:rFonts w:eastAsia="Times New Roman"/>
                <w:color w:val="000000"/>
                <w:sz w:val="14"/>
                <w:szCs w:val="14"/>
                <w:lang w:val="es-MX" w:eastAsia="es-MX"/>
              </w:rPr>
              <w:t>eestructura de indicadores de la MIR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SECRETARIADO EJECUTIVO</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en materia de seguridad pública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Hacer referencia al subsidio en el nivel de “medios” de Árbol de Objetivos, ya que el SESNSP no ejecuta directamente las acciones ahí referidas, sino que transfiere recursos a las entidades federativas para que sean éstas quienes las realicen.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SECRETARIADO EJECUTIVO</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en materia de seguridad pública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Incorporar en la MIR la vinculación del programa con el objetivo 5 del Programa Nacional de Seguridad Pública 2014-2018; Adecuar el Propósito de la MIR para incluir elementos del objetivo del Programa Sectorial; Mantener la continuidad entre los indicadores de la MIR; Respecto de las metas correspondientes a los indicadores a nivel de Propósito, Componente y Actividad, recuperar los resultados obtenidos como línea base para establecer las metas de este indicador en ejercicios fiscales futuros.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SECRETARIADO EJECUTIVO</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en materia de seguridad pública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E73EF2">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Se sugiere adecuar la redacción de los Lineamientos y la MIR para que sea más evidente y completa la correspondencia entre uno y otro. </w:t>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t xml:space="preserve">Se sugiere incorporar la descripción del Fin del Programa (vinculándolo al objetivo del Plan Nacional de Desarrollo 2013-2018 y del Programa Sectorial de Gobernación 2013-2018 con el que se relaciona) como parte de los “Considerandos” (justificación) del </w:t>
            </w:r>
            <w:r w:rsidRPr="007300B7">
              <w:rPr>
                <w:rFonts w:eastAsia="Times New Roman"/>
                <w:color w:val="000000"/>
                <w:sz w:val="14"/>
                <w:szCs w:val="14"/>
                <w:lang w:val="es-MX" w:eastAsia="es-MX"/>
              </w:rPr>
              <w:lastRenderedPageBreak/>
              <w:t>documento normativo del Programa (Lineamientos SPA), por ejemplo.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SECRETARIADO EJECUTIVO</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en materia de seguridad pública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Se recomienda precisar en los Lineamientos del Programa que el procedimiento a seguir para la concertación de los Convenios Específicos de Adhesión (junto con su Anexo Único), se hará conforme a la “Estrategia de concertación” que para tales efectos emitirá la Dirección General de Vinculación y Seguimiento. </w:t>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t>Se insta a continuar con los procesos de mejora mediante la simplificación de procesos y su mejor regulación, en la medida de lo posible.</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04</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SECRETARIADO EJECUTIVO</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en materia de seguridad pública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E73EF2">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Es necesario detallar los procedimientos que ya se siguen para la puesta en marcha de los mecanismos de seguimiento en un manual que los documente y contribuya a su estandarización.</w:t>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t xml:space="preserve">Se sugiere reforzar lo establecido en los Lineamientos SPA sobre todos los procedimientos que se llevan a cabo como parte de la puesta en marcha del Programa con un manual donde se detallen sus características y pasos a seguir en los diferentes escenarios donde éstos puedan desarrollarse. </w:t>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t xml:space="preserve">1) Darle continuidad a la Encuesta, sustentando su aplicación en algún documento normativo o de operación del Programa. </w:t>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t>2) Formular una estrategia de trabajo para que, con base en las áreas de oportunidad detectadas mediante este instrumento, puedan generarse acciones de mejora a los procedimientos de operación del Programa. Esta estrategia debe incluir plazos, responsables, cambios a poner en marcha,  breve descripción de la mejora esperada, etcétera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08</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SAGARPA</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Concurrencia con las Entidades Federativas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Mejorar la Matriz de Indicadores para Resultados 2017 en su lógica vertical y horizontal.</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S221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Escuelas de Tiempo Completo</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realiza ajustes para el cumplimiento de la meta sexenal, dejando de lado cuestiones sustantivas y metas de largo plazo, que le den mayor definición</w:t>
            </w:r>
            <w:r w:rsidR="00433667" w:rsidRPr="007300B7">
              <w:rPr>
                <w:rFonts w:eastAsia="Times New Roman"/>
                <w:color w:val="000000"/>
                <w:sz w:val="14"/>
                <w:szCs w:val="14"/>
                <w:lang w:val="es-MX" w:eastAsia="es-MX"/>
              </w:rPr>
              <w:t>.</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S221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Escuelas de Tiempo Completo</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Las modificaciones derivadas de la nueva Estructura Programática 2016 pueden generar mayores problemas para definir indicadores que reflejen el impacto del Programa y su operación.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S221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Escuelas de Tiempo Completo</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recortes presupuestales afectan el cumplimiento de las metas del Programa. Aunque esta situación se resuelve con ajuste de metas, se considera un aspecto que afecta negativamente.</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S221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Escuelas de Tiempo Completo</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Las modificaciones derivadas de la nueva Estructura Programática 2016 pueden generar mayores problemas para definir indicadores que reflejen el impacto del Programa y su operación.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S221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Escuelas de Tiempo Completo</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realiza ajustes para el cumplimiento de la meta sexenal, dejando de lado cuestiones sustantivas y metas de largo plazo, que le den mayor definición.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5. Las tres Subsecretarías cuentan con un padrón de beneficiarios que permite conocer quiénes reciben los apoyos otorgados por el Programa.</w:t>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t>18. Los procedimientos para otorgar los apoyos a los beneficiarios no se encuentran sistematizados.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433667"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6. El</w:t>
            </w:r>
            <w:r w:rsidR="003B3EAF" w:rsidRPr="007300B7">
              <w:rPr>
                <w:rFonts w:eastAsia="Times New Roman"/>
                <w:color w:val="000000"/>
                <w:sz w:val="14"/>
                <w:szCs w:val="14"/>
                <w:lang w:val="es-MX" w:eastAsia="es-MX"/>
              </w:rPr>
              <w:t xml:space="preserve"> fin de la MIR representa un objetivo superior al que el Programa puede contribuir directamente.</w:t>
            </w:r>
            <w:r w:rsidR="003B3EAF" w:rsidRPr="007300B7">
              <w:rPr>
                <w:rFonts w:eastAsia="Times New Roman"/>
                <w:color w:val="000000"/>
                <w:sz w:val="14"/>
                <w:szCs w:val="14"/>
                <w:lang w:val="es-MX" w:eastAsia="es-MX"/>
              </w:rPr>
              <w:br/>
            </w:r>
            <w:r w:rsidR="003B3EAF" w:rsidRPr="007300B7">
              <w:rPr>
                <w:rFonts w:eastAsia="Times New Roman"/>
                <w:color w:val="000000"/>
                <w:sz w:val="14"/>
                <w:szCs w:val="14"/>
                <w:lang w:val="es-MX" w:eastAsia="es-MX"/>
              </w:rPr>
              <w:br/>
              <w:t>7. El propósito de la MIR incluye a la población objetivo.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4. Los procedimientos para dar trámite a las solicitudes de apoyo corresponden a las características de la población objetivo y están disponibles para ella.</w:t>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t xml:space="preserve">9. Dos de las tres Subsecretarías tienen publicadas las ROP del Programa en sus páginas web a menos de tres clics. 23. El Programa no cuenta con una línea telefónica de atención específica difundida en su página web para los solicitantes que necesiten apoyo en la elaboración de </w:t>
            </w:r>
            <w:r w:rsidR="00433667" w:rsidRPr="007300B7">
              <w:rPr>
                <w:rFonts w:eastAsia="Times New Roman"/>
                <w:color w:val="000000"/>
                <w:sz w:val="14"/>
                <w:szCs w:val="14"/>
                <w:lang w:val="es-MX" w:eastAsia="es-MX"/>
              </w:rPr>
              <w:t>sus proyectos</w:t>
            </w:r>
            <w:r w:rsidRPr="007300B7">
              <w:rPr>
                <w:rFonts w:eastAsia="Times New Roman"/>
                <w:color w:val="000000"/>
                <w:sz w:val="14"/>
                <w:szCs w:val="14"/>
                <w:lang w:val="es-MX" w:eastAsia="es-MX"/>
              </w:rPr>
              <w:t xml:space="preserve"> o estrategias.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E73EF2">
        <w:trPr>
          <w:trHeight w:val="887"/>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E73EF2" w:rsidRDefault="00E73EF2" w:rsidP="00F71297">
            <w:pPr>
              <w:spacing w:after="240"/>
              <w:jc w:val="both"/>
              <w:rPr>
                <w:rFonts w:eastAsia="Times New Roman"/>
                <w:color w:val="000000"/>
                <w:sz w:val="14"/>
                <w:szCs w:val="14"/>
                <w:lang w:val="es-MX" w:eastAsia="es-MX"/>
              </w:rPr>
            </w:pPr>
          </w:p>
          <w:p w:rsidR="003B3EAF" w:rsidRPr="007300B7" w:rsidRDefault="00E73EF2" w:rsidP="00395DF1">
            <w:pPr>
              <w:spacing w:after="0"/>
              <w:jc w:val="both"/>
              <w:rPr>
                <w:rFonts w:eastAsia="Times New Roman"/>
                <w:color w:val="000000"/>
                <w:sz w:val="14"/>
                <w:szCs w:val="14"/>
                <w:lang w:val="es-MX" w:eastAsia="es-MX"/>
              </w:rPr>
            </w:pPr>
            <w:r>
              <w:rPr>
                <w:rFonts w:eastAsia="Times New Roman"/>
                <w:color w:val="000000"/>
                <w:sz w:val="14"/>
                <w:szCs w:val="14"/>
                <w:lang w:val="es-MX" w:eastAsia="es-MX"/>
              </w:rPr>
              <w:t>E</w:t>
            </w:r>
            <w:r w:rsidR="003B3EAF" w:rsidRPr="007300B7">
              <w:rPr>
                <w:rFonts w:eastAsia="Times New Roman"/>
                <w:color w:val="000000"/>
                <w:sz w:val="14"/>
                <w:szCs w:val="14"/>
                <w:lang w:val="es-MX" w:eastAsia="es-MX"/>
              </w:rPr>
              <w:t>l Programa identifica el problema que pretende atender.</w:t>
            </w:r>
            <w:r w:rsidR="003B3EAF" w:rsidRPr="007300B7">
              <w:rPr>
                <w:rFonts w:eastAsia="Times New Roman"/>
                <w:color w:val="000000"/>
                <w:sz w:val="14"/>
                <w:szCs w:val="14"/>
                <w:lang w:val="es-MX" w:eastAsia="es-MX"/>
              </w:rPr>
              <w:br/>
            </w:r>
            <w:r w:rsidR="003B3EAF" w:rsidRPr="007300B7">
              <w:rPr>
                <w:rFonts w:eastAsia="Times New Roman"/>
                <w:color w:val="000000"/>
                <w:sz w:val="14"/>
                <w:szCs w:val="14"/>
                <w:lang w:val="es-MX" w:eastAsia="es-MX"/>
              </w:rPr>
              <w:br/>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Se ofrecen justificaciones empíricas y experiencias de buenas prácticas nacionales e internacionales.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El propósito del Programa está vinculado indirectamente a los Objetivos de Desarrollo del Milenio.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No hay una definición clara ni acotada de lo que implica una situación de “vulnerabilidad”.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No se encuentran coincidencias con otros programas.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Las actividades no reflejan la cronología que se sigue para producir el componente correspondiente.</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No se identifica claramente cómo la problemática afecta directamente a la población que tiene la necesidad, ya que no se cuenta con información precisa sobre la distribución de la población con discapacidad y/o vulnerabilidad en las distintas instituciones de los tres niveles educativos.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establece en sus documentos una vinculación clara con la Agenda de Desarrollo post-2015.</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Los indicadores de varios objetivos no cuentan con medios de verificación monitoreables ni suficientes.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cuenta con una estrategia de cobertura documentada para atender a su población objetivo.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Una de las actividades (D9) contiene un indicador de presupuesto (“radicación de recursos asignados para educación media superior”).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Las definiciones de las poblaciones potencial y objetivo no existen para todas las Subsecretarías o no son homogéneas entre las tres Subsecretarías que participan en el Programa.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identifica el problema que pretende atender.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Se ofrecen justificaciones empíricas y experiencias de buenas prácticas nacionales e internacionales.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Las tres Subsecretarías cuentan con un padrón de beneficiarios que permite conocer quiénes reciben los apoyos otorgados por el Programa.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se encuentran coincidencias con otros programas.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se identifica claramente cómo la problemática afecta directamente a la población que tiene la necesidad, ya que no se cuenta con información precisa sobre la distribución de la población con discapacidad y/o vulnerabilidad en las distintas instituciones de los tres niveles educativos.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establece en sus documentos una vinculación clara con la Agenda de Desarrollo post-2015.</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Las definiciones de </w:t>
            </w:r>
            <w:r w:rsidR="00D170C7" w:rsidRPr="007300B7">
              <w:rPr>
                <w:rFonts w:eastAsia="Times New Roman"/>
                <w:color w:val="000000"/>
                <w:sz w:val="14"/>
                <w:szCs w:val="14"/>
                <w:lang w:val="es-MX" w:eastAsia="es-MX"/>
              </w:rPr>
              <w:t>las po</w:t>
            </w:r>
            <w:r w:rsidR="00821DAF" w:rsidRPr="007300B7">
              <w:rPr>
                <w:rFonts w:eastAsia="Times New Roman"/>
                <w:color w:val="000000"/>
                <w:sz w:val="14"/>
                <w:szCs w:val="14"/>
                <w:lang w:val="es-MX" w:eastAsia="es-MX"/>
              </w:rPr>
              <w:t>blaciones potencial y objetivo</w:t>
            </w:r>
            <w:r w:rsidRPr="007300B7">
              <w:rPr>
                <w:rFonts w:eastAsia="Times New Roman"/>
                <w:color w:val="000000"/>
                <w:sz w:val="14"/>
                <w:szCs w:val="14"/>
                <w:lang w:val="es-MX" w:eastAsia="es-MX"/>
              </w:rPr>
              <w:t xml:space="preserve"> no existen para todas las Subsecretarías o no son homogéneas entre las tres Subsecretarías que participan en el Programa.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procedimientos para otorgar los apoyos a los beneficiarios no se encuentran sistematizados.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la Inclusión y la Equidad Educativa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hay una definición clara ni acotada de lo que implica una situación de “vulnerabilidad”.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Se identifica de manera clara el problema como la falta de perfil idóneo de los docentes.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Se cuentan con algunos mecanismos de rendición de cuentas.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Las Reglas de Operación contemplan mecanismos de coordinación para evitar duplicidades.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 xml:space="preserve">Programa para el Desarrollo </w:t>
            </w:r>
            <w:r w:rsidRPr="007300B7">
              <w:rPr>
                <w:rFonts w:eastAsia="Times New Roman"/>
                <w:color w:val="000000"/>
                <w:sz w:val="14"/>
                <w:szCs w:val="14"/>
                <w:lang w:val="es-MX" w:eastAsia="es-MX"/>
              </w:rPr>
              <w:lastRenderedPageBreak/>
              <w:t>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lastRenderedPageBreak/>
              <w:t>No incluye una revisión general del problema de falta de perfil requerido.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incluye teorías o experiencias internacionales que permitan justificar la intervención que se realiza.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 información que se presenta en cada nivel educativo es muy diferente y no permite entender el estado actual del problema.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define las características del perfil requerido en todos los niveles educativos.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se tienen indicadores que permitan verificar los resultados del PRODEP en el PND.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Para las ROP 2014 no se contaba con alineación para Educación Media Superior y Superior.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niveles de educación, a través de las UR, no definen criterios de elegibilidad.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se tiene un mecanismo para cuantificar la población objetivo.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Fin no está claramente identificado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 redacción del Propósito es demasiado ambigua y no permite identificar el cambio que se pretende generar en la población objetivo.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componentes no reflejan la totalidad de bienes y servicios que brinda el Programa.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principal reto se encuentra a nivel de actividades, ya que no son las necesarias para producir los componentes.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 lógica horizontal presenta importantes inconsistencias que impiden monitorear el Programa y evaluar sus logros, debido a que en todos los niveles es necesario establecer indicadores adecuados.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Falta identificar y cuantificar los gastos en los que se incurre para entregar los apoyos en todas las unidades responsables.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logros del Programa referentes a la cantidad de apoyos entregados y a la evolución de la problemática que atienden no se encuentran registrados en el portal web.</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 información del PRODEP se encuentra fragmentada en los diversos sitios web de las Unidades Responsables.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para el Desarrollo Profesional Docente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 vinculación del Programa con la Ley General del Servicio Profesional Docente brinda diversas áreas de oportunidad para uniformar conceptos y población objetivo de Educación Básica y Media Superior.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U006</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para organismos descentralizados estatales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Existen inconsistencias en los datos reportados en el Informe de la Cuenta Pública sobre las metas alcanzadas en la mayoría de los indicadores de la MIR del programa. Ésta es una debilidad, en tanto que puede limitar el seguimiento del programa, en específico, la identificación de sus logros y desafíos, así como la contribución que hace al cumplimiento de las metas nacionales a las que está asociado.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U006</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para organismos descentralizados estatales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 entrega inoportuna de los recursos a los ODE puede representar una amenaza para la operación de los ODE y la atención a la demanda de servicios educativos en EMS y 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U006</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para organismos descentralizados estatales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Existen inconsistencias en los datos reportados en el Informe de la Cuenta Pública sobre las metas alcanzadas en la mayoría de los indicadores de la MIR del programa. Ésta es una debilidad, en tanto que puede limitar el seguimiento del programa, en específico, la identificación de sus logros y desafíos, así como la contribución que hace al cumplimiento de las metas nacionales a las que está asociado.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U031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Fortalecimiento a la educación temprana y el desarrollo infantil</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define el problema que se quiere atender de manera clara.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U031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Fortalecimiento a la educación temprana y el desarrollo infantil</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indicadores con que cuenta el programa no otorgan información sustantiva sobre su operación.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U031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Fortalecimiento a la educación temprana y el desarrollo infantil</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convenios con las entidades que proporcionó el Programa a modo de ejemplos tienen cláusulas muy laxas para el ejercicio de los recursos.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U031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Fortalecimiento a la educación temprana y el desarrollo infantil</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cuenta con ningún mecanismo de seguimiento sustantivo respecto de la distribución y uso de los recursos una vez que han sido entregados a los estados.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U040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Carrera Docente en UPES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 definición de las poblaciones objetivo y atendida no corresponde totalmente con los destinatarios finales de los beneficios del U040; el hecho de que en el actualidad la unidad de medida de las poblaciones referidas sean las UPE vuelve complicado cuantificar la manera en que se distribuyen los recursos a los destinatarios finales, que son los Profesores de Tiempo Completo (PTC).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U040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Carrera Docente en UPES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En los Lineamientos del U040, si bien se describe el método para la distribución de los recursos entre las UPE, existen algunos pasos dentro del método de cálculo que no son del todo explícitos, especialmente el tercero, lo que a su vez podría generar confusión entre los destinatarios del programa, sobre cómo</w:t>
            </w:r>
            <w:r w:rsidR="00433667" w:rsidRPr="007300B7">
              <w:rPr>
                <w:rFonts w:eastAsia="Times New Roman"/>
                <w:color w:val="000000"/>
                <w:sz w:val="14"/>
                <w:szCs w:val="14"/>
                <w:lang w:val="es-MX" w:eastAsia="es-MX"/>
              </w:rPr>
              <w:t xml:space="preserve"> </w:t>
            </w:r>
            <w:r w:rsidRPr="007300B7">
              <w:rPr>
                <w:rFonts w:eastAsia="Times New Roman"/>
                <w:color w:val="000000"/>
                <w:sz w:val="14"/>
                <w:szCs w:val="14"/>
                <w:lang w:val="es-MX" w:eastAsia="es-MX"/>
              </w:rPr>
              <w:t>se asignan los recursos a las UPE.</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Inclusión Digital</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Se advierte una falta de adecuación y consistencia en la Matriz de Indicadores para Resultados: no se cumple la lógica horizontal entre el Fin y su indicador.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Inclusión Digital</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cuenta con documentos que establezcan claramente los criterios de selección de las entidades beneficiadas. Tampoco se cuantifican adecuadamente las poblaciones potencial y objetivo.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Inclusión Digital</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cuenta con indicadores que permitan conocer los niveles de aprendizaje de los alumnos beneficiados.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Inclusión Digital</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indicadores de servicios y gestión del programa son insuficientes para conocer su funcionamiento.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240"/>
              <w:jc w:val="both"/>
              <w:rPr>
                <w:rFonts w:eastAsia="Times New Roman"/>
                <w:color w:val="000000"/>
                <w:sz w:val="14"/>
                <w:szCs w:val="14"/>
                <w:lang w:val="es-MX" w:eastAsia="es-MX"/>
              </w:rPr>
            </w:pPr>
            <w:r w:rsidRPr="007300B7">
              <w:rPr>
                <w:rFonts w:eastAsia="Times New Roman"/>
                <w:color w:val="000000"/>
                <w:sz w:val="14"/>
                <w:szCs w:val="14"/>
                <w:lang w:val="es-MX" w:eastAsia="es-MX"/>
              </w:rPr>
              <w:t>Unificar la definición de objetivos, metas y problemas que atiende el programa sin diferencias las poblaciones que éste atiende.</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Corregir los objetivos del PND referidos en el Diagnóstico.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cuenta con un Padrón de Beneficiarios y con información que permitiría su actualización y mejora.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Corregir la meta del segundo indicador de propósito.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Agregar el desglose de Gastos de Operación para las URs que los reciban en el documento Diagnóstico para facilitar su consulta.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hay una identificación clara de la problemática general que lleva a la creación del programa. Amenaza: Falta de apoyo a las instituciones que lo requieren por falta de comprensión del problema.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objetivos del PND referidos en el Diagnósticos no concuerdan con el documento del PND.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existe un formato común entre las U</w:t>
            </w:r>
            <w:r w:rsidR="00EC4208" w:rsidRPr="007300B7">
              <w:rPr>
                <w:rFonts w:eastAsia="Times New Roman"/>
                <w:color w:val="000000"/>
                <w:sz w:val="14"/>
                <w:szCs w:val="14"/>
                <w:lang w:val="es-MX" w:eastAsia="es-MX"/>
              </w:rPr>
              <w:t>r</w:t>
            </w:r>
            <w:r w:rsidRPr="007300B7">
              <w:rPr>
                <w:rFonts w:eastAsia="Times New Roman"/>
                <w:color w:val="000000"/>
                <w:sz w:val="14"/>
                <w:szCs w:val="14"/>
                <w:lang w:val="es-MX" w:eastAsia="es-MX"/>
              </w:rPr>
              <w:t>s para generar el Padrón de Beneficiarios, ni un responsable directo de administrar dicha información. Amenaza: No se cuenta con información completa y homogénea que permita verificar los montos que se asignaron a las escuelas.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No cuenta con un resumen narrativo de la MIR, y no se cuenta con mecanismos de verificación para todos los indicadores. Así mismo el programa no cuenta con recursos humanos suficientes para la operación del programa.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Se puede creer que la meta excede la capacidad del programa o se castigue al programa por no cumplir con ella. No es posible verificar el grado de cumplimiento de los indicadores.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AA617F">
        <w:trPr>
          <w:trHeight w:val="342"/>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U079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Expansión de la Educación Media Superior y Superior</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Los gastos operativos, de mantenimiento, capital o gasto unitario no se </w:t>
            </w:r>
            <w:r w:rsidR="00433667" w:rsidRPr="007300B7">
              <w:rPr>
                <w:rFonts w:eastAsia="Times New Roman"/>
                <w:color w:val="000000"/>
                <w:sz w:val="14"/>
                <w:szCs w:val="14"/>
                <w:lang w:val="es-MX" w:eastAsia="es-MX"/>
              </w:rPr>
              <w:t>encuentran</w:t>
            </w:r>
            <w:r w:rsidRPr="007300B7">
              <w:rPr>
                <w:rFonts w:eastAsia="Times New Roman"/>
                <w:color w:val="000000"/>
                <w:sz w:val="14"/>
                <w:szCs w:val="14"/>
                <w:lang w:val="es-MX" w:eastAsia="es-MX"/>
              </w:rPr>
              <w:t xml:space="preserve"> debidamente identificados en el documento </w:t>
            </w:r>
            <w:r w:rsidR="00EC4208" w:rsidRPr="007300B7">
              <w:rPr>
                <w:rFonts w:eastAsia="Times New Roman"/>
                <w:color w:val="000000"/>
                <w:sz w:val="14"/>
                <w:szCs w:val="14"/>
                <w:lang w:val="es-MX" w:eastAsia="es-MX"/>
              </w:rPr>
              <w:t>“</w:t>
            </w:r>
            <w:r w:rsidRPr="007300B7">
              <w:rPr>
                <w:rFonts w:eastAsia="Times New Roman"/>
                <w:color w:val="000000"/>
                <w:sz w:val="14"/>
                <w:szCs w:val="14"/>
                <w:lang w:val="es-MX" w:eastAsia="es-MX"/>
              </w:rPr>
              <w:t>Diagnóstico</w:t>
            </w:r>
            <w:r w:rsidR="00EC4208" w:rsidRPr="007300B7">
              <w:rPr>
                <w:rFonts w:eastAsia="Times New Roman"/>
                <w:color w:val="000000"/>
                <w:sz w:val="14"/>
                <w:szCs w:val="14"/>
                <w:lang w:val="es-MX" w:eastAsia="es-MX"/>
              </w:rPr>
              <w:t>”</w:t>
            </w:r>
            <w:r w:rsidRPr="007300B7">
              <w:rPr>
                <w:rFonts w:eastAsia="Times New Roman"/>
                <w:color w:val="000000"/>
                <w:sz w:val="14"/>
                <w:szCs w:val="14"/>
                <w:lang w:val="es-MX" w:eastAsia="es-MX"/>
              </w:rPr>
              <w:t>.</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Cuentan con el apoyo de la SHCP.</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 diversidad de objetivos, metas y poblaciones de los programas que lo integran.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Claramente se vinculan con las estrategias nacionales.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Las instancias que integran las poblaciones pueden ser fácilmente identificadas y cuantificadas.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Las instancias financieras de cada programa pueden identificar la instancia a la que transfieren los subsidios.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tiene acceso a los datos que el permitirán integrar el padrón de beneficiarios.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Se cuenta con un padrón de beneficiarios 2014, por lo que sólo es necesaria su actualización.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Los medios de verificación pueden integrarse considerando a todos los programas que integran el U080.</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define de forma muy pertinente y clara el propósito, componente y actividades.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contempla asignación de gasto corriente, lo que hace sencilla su programación.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diagnóstico para la creación del Programa no es claro y tampoco por qué esos programas son los idóneos para agruparse.</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Poca claridad y trasparencia en el ejercicio de los recursos, por falta de comprensión sobre los objetivos.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refiere los vínculos con las estrategias nacionales en su documento diagnóstico.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Que se les demande vinculación con otras metas más allá del propio alcance del Programa.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mezcla los grupos de poblaciones del U080 con los de los diferentes programas que lo integran.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Opacidad en la comprobación de recursos y en el cumplimiento de las metas.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El Programa no cuenta con un padrón actualizado de beneficiarios ni establece </w:t>
            </w:r>
            <w:r w:rsidR="00433667" w:rsidRPr="007300B7">
              <w:rPr>
                <w:rFonts w:eastAsia="Times New Roman"/>
                <w:color w:val="000000"/>
                <w:sz w:val="14"/>
                <w:szCs w:val="14"/>
                <w:lang w:val="es-MX" w:eastAsia="es-MX"/>
              </w:rPr>
              <w:t>los mecanismos</w:t>
            </w:r>
            <w:r w:rsidRPr="007300B7">
              <w:rPr>
                <w:rFonts w:eastAsia="Times New Roman"/>
                <w:color w:val="000000"/>
                <w:sz w:val="14"/>
                <w:szCs w:val="14"/>
                <w:lang w:val="es-MX" w:eastAsia="es-MX"/>
              </w:rPr>
              <w:t xml:space="preserve"> de atención.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Fallas en la transferencia de subsidios por no tener claridad en los beneficiarios.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vínculo tan lejano entre el Programa y su contribución con el abandono escolar (establecido en el fin).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 Programa no cuenta con mecanismos de transparencia y rendición de cuentas.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U080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a centros y organizaciones de educación</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En la Matriz no se definen las metas del nivel fin. Tampoco se establecen la línea base y comportamiento del indicador para ninguno de los elementos.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COFEPRIS</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G004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Protección Contra Riesgos Sanitarios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Mantener y fortalecer esfuerzos con las entidades federativas para la determinación de temas y proyectos mediante la evaluación de riesgos prioritarios como son agua de contacto, agua de calidad físico química, agua de calidad bacteriológica, hielo y agua purificados, rastros, zoonosis.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COFEPRIS</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G004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Protección Contra Riesgos Sanitarios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395DF1">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Mantenimiento y cumplimiento de los indicadores de la Organización Mundial de la Salud y la Organización Panamericana de la Salud para la acreditación como Autoridad Reguladora Funcional en vacunas o de referencia regional en medicamentos y vacunas.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COFEPRIS</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G004</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Protección Contra Riesgos Sanitarios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Establecer una nueva Matriz de Indicadores para Resultados que denote la importancia de la COFEPRIS y permita dar mayor información sobre las actividades sustantivas que realiza para la prevención de riesgos sanitarios.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COFEPRIS</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S039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Atención a Personas con Discapacidad</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Inclusión en el modelo de convenio de coordinación de las Reglas de Operación del Programa la obligación para la integración de  Cédulas de Información de la Población Objetivo Beneficiada</w:t>
            </w:r>
            <w:r w:rsidR="00EC4208" w:rsidRPr="007300B7">
              <w:rPr>
                <w:rFonts w:eastAsia="Times New Roman"/>
                <w:color w:val="000000"/>
                <w:sz w:val="14"/>
                <w:szCs w:val="14"/>
                <w:lang w:val="es-MX" w:eastAsia="es-MX"/>
              </w:rPr>
              <w:t>”</w:t>
            </w:r>
            <w:r w:rsidRPr="007300B7">
              <w:rPr>
                <w:rFonts w:eastAsia="Times New Roman"/>
                <w:color w:val="000000"/>
                <w:sz w:val="14"/>
                <w:szCs w:val="14"/>
                <w:lang w:val="es-MX" w:eastAsia="es-MX"/>
              </w:rPr>
              <w:t xml:space="preserve"> y/o el "Padrón de la Población Objetivo Beneficiada" por cada proyecto apoyado por las instancias ejecutoras.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Fortalecimiento a la atención médica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Monitorear la detección de embarazo de alto riesgo y la referencia oportuna a unidades resolutivas como indicador de propósito en la MIR.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Fortalecimiento a la atención médica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Especificar los criterios de focalización sin limitarlos al índice de marginación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Seguro Médico Siglo XXI</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Revisión las definiciones de población objetivo y potencial así como su método de </w:t>
            </w:r>
            <w:r w:rsidR="00433667" w:rsidRPr="007300B7">
              <w:rPr>
                <w:rFonts w:eastAsia="Times New Roman"/>
                <w:color w:val="000000"/>
                <w:sz w:val="14"/>
                <w:szCs w:val="14"/>
                <w:lang w:val="es-MX" w:eastAsia="es-MX"/>
              </w:rPr>
              <w:t>cálculo</w:t>
            </w:r>
            <w:r w:rsidRPr="007300B7">
              <w:rPr>
                <w:rFonts w:eastAsia="Times New Roman"/>
                <w:color w:val="000000"/>
                <w:sz w:val="14"/>
                <w:szCs w:val="14"/>
                <w:lang w:val="es-MX" w:eastAsia="es-MX"/>
              </w:rPr>
              <w:t xml:space="preserve"> y cuantificación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S201</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Seguro Médico Siglo XXI</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Adecuar las Reglas de Operación  2016 con la revisión de la Población Objetivo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S202</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Calidad en la Atención Médica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Elaboración y publicación de la MIR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S202</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Calidad en la Atención Médica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Inclusión en la Convocatoria para el financiamiento de Proyectos de Mejora de la Calidad en la Atención Médica 2016 de dos nuevos temas prioritarios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S202</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Calidad en la Atención Médica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Definir la conformación de las Redes de atención en las Reglas de Operación del Programa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S202</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Calidad en la Atención Médica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Inclusión de un indicador de buenas prácticas en la MIR 2016</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S202</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Calidad en la Atención Médica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Asesoría para Proyectos de Mejora de la Calidad y Premio Nacional de Calidad en Salud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S202</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Calidad en la Atención Médica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Reunión para la elaboración de la MIR con base en </w:t>
            </w:r>
            <w:r w:rsidR="00821DAF" w:rsidRPr="007300B7">
              <w:rPr>
                <w:rFonts w:eastAsia="Times New Roman"/>
                <w:color w:val="000000"/>
                <w:sz w:val="14"/>
                <w:szCs w:val="14"/>
                <w:lang w:val="es-MX" w:eastAsia="es-MX"/>
              </w:rPr>
              <w:t>la</w:t>
            </w:r>
            <w:r w:rsidRPr="007300B7">
              <w:rPr>
                <w:rFonts w:eastAsia="Times New Roman"/>
                <w:color w:val="000000"/>
                <w:sz w:val="14"/>
                <w:szCs w:val="14"/>
                <w:lang w:val="es-MX" w:eastAsia="es-MX"/>
              </w:rPr>
              <w:t xml:space="preserve"> metodología de Marco Lógico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U008</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Prevención y Control de Sobrepeso, Obesidad y Diabetes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Modificación en el </w:t>
            </w:r>
            <w:r w:rsidR="00433667" w:rsidRPr="007300B7">
              <w:rPr>
                <w:rFonts w:eastAsia="Times New Roman"/>
                <w:color w:val="000000"/>
                <w:sz w:val="14"/>
                <w:szCs w:val="14"/>
                <w:lang w:val="es-MX" w:eastAsia="es-MX"/>
              </w:rPr>
              <w:t>cálculo</w:t>
            </w:r>
            <w:r w:rsidRPr="007300B7">
              <w:rPr>
                <w:rFonts w:eastAsia="Times New Roman"/>
                <w:color w:val="000000"/>
                <w:sz w:val="14"/>
                <w:szCs w:val="14"/>
                <w:lang w:val="es-MX" w:eastAsia="es-MX"/>
              </w:rPr>
              <w:t xml:space="preserve"> los indicadores.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SALUD</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U008</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Prevención y Control de Sobrepeso, Obesidad y Diabetes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Mejora en la cuantificación de la población</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15</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SEDATU</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S177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acceso al financiamiento para soluciones habitacionales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Informes trimestrales con desglose de subsidios para adquisición de vivienda en nueva y usada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15</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SEDATU</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S177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acceso al financiamiento para soluciones habitacionales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Firma de convenios de adhesión con entidades ejecutoras que atiendan a población vulnerable</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E005</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Capacitación Ambiental y Desarrollo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Información  sobre los beneficiaros de los programas (E005 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E005</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Capacitación Ambiental y Desarrollo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Manejo de redes sociales y TIC para potencial el alcance de los proyectos del CECADESU (E005 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E005</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Capacitación Ambiental y Desarrollo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Comunicación de las características del programa  E005 para optimizar la planeación del trabajo institucional (E005 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E005</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Capacitación Ambiental y Desarrollo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Programa de Desarrollo Institucional (PDI) 2020 (E005 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E005</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Capacitación Ambiental y Desarrollo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Estudio del estado del arte de la Educación Ambiental: avances y retos (E005 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E005</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Capacitación Ambiental y Desarrollo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Creación de alianzas con otros sectores de la población. (U010 EED)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E005</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Capacitación Ambiental y Desarrollo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Actualizar el Plan Estratégico con base en los documentos de planeación rectores del sector medioambiente y específicamente el sector hídrico de la actual Administración Pública Federal (APF). (U010 ECyR Mecanismo 2013)</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Intergubernamental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CONAGUA</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S217</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Apoyo a la Infraestructura Hidroagrícola</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Concluir el 100% de los inventarios y elaboración de un diagnóstico integral de las Unidades de Riego. (S217 ECyR Mecanismo 2013)</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Contar con más elementos en la selección de obras de conservación y restauración de suelos. (S219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Establecer y operar un esquema de capacitación para la profesionalización de la asistencia técnica forestal. (S219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Trabajar una estrategia de coordinación en el territorio en áreas prioritarias. (S219 EED)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Medir los efectos del componente de Pago por Servicios Ambientales (PSA) sobre su población beneficiaria y conocer si dichos efectos son en realidad atribuibles a su intervención, a través de una Evaluación de Impacto. (S219 EED)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Evaluar el diseño del programa presupuestario S219 </w:t>
            </w:r>
            <w:r w:rsidR="00D170C7" w:rsidRPr="007300B7">
              <w:rPr>
                <w:rFonts w:eastAsia="Times New Roman"/>
                <w:color w:val="000000"/>
                <w:sz w:val="14"/>
                <w:szCs w:val="14"/>
                <w:lang w:val="es-MX" w:eastAsia="es-MX"/>
              </w:rPr>
              <w:t>- Apoyos</w:t>
            </w:r>
            <w:r w:rsidRPr="007300B7">
              <w:rPr>
                <w:rFonts w:eastAsia="Times New Roman"/>
                <w:color w:val="000000"/>
                <w:sz w:val="14"/>
                <w:szCs w:val="14"/>
                <w:lang w:val="es-MX" w:eastAsia="es-MX"/>
              </w:rPr>
              <w:t xml:space="preserve"> para el Desarrollo Forestal Sustentable. (S219 EED)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Fortalecer el instrumento de planeación de la Estrategia Nacional de Manejo Forestal Sustentable para el Incremento de la Producción y Productividad 2013-2018 (ENAIPROS) (S219  Procesos)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 xml:space="preserve">Apoyos para el Desarrollo </w:t>
            </w:r>
            <w:r w:rsidRPr="007300B7">
              <w:rPr>
                <w:rFonts w:eastAsia="Times New Roman"/>
                <w:color w:val="000000"/>
                <w:sz w:val="14"/>
                <w:szCs w:val="14"/>
                <w:lang w:val="es-MX" w:eastAsia="es-MX"/>
              </w:rPr>
              <w:lastRenderedPageBreak/>
              <w:t>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lastRenderedPageBreak/>
              <w:t>Implementar la evaluación a la evaluación al desempeño por parte de las Gerencias Estatales. (U036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AA617F">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 xml:space="preserve">Diseñar una propuesta de adecuación o creación de los campos para responder a las necesidades del programa en los sistemas institucionales como son el Sistema Integral de Gestión de Apoyos (SIGA-Infoprel) y el Sistema de Pagos (SIDPA), con el objeto </w:t>
            </w:r>
            <w:r w:rsidR="00D170C7" w:rsidRPr="007300B7">
              <w:rPr>
                <w:rFonts w:eastAsia="Times New Roman"/>
                <w:color w:val="000000"/>
                <w:sz w:val="14"/>
                <w:szCs w:val="14"/>
                <w:lang w:val="es-MX" w:eastAsia="es-MX"/>
              </w:rPr>
              <w:t>de mejorar</w:t>
            </w:r>
            <w:r w:rsidRPr="007300B7">
              <w:rPr>
                <w:rFonts w:eastAsia="Times New Roman"/>
                <w:color w:val="000000"/>
                <w:sz w:val="14"/>
                <w:szCs w:val="14"/>
                <w:lang w:val="es-MX" w:eastAsia="es-MX"/>
              </w:rPr>
              <w:t xml:space="preserve"> la captura y el registro de las cartas de intención, así como para facilitar el adecuado seguimiento de los beneficiarios y los apoyos del programa. (U036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Impulsar cursos de capacitación en desarrollo de habilidades gerenciales para los integrantes de las cadenas productivas y Empresa Forestales Comunitarias (EFC). (U036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Intercambio de información y mayor cobertura de monitoreo, que permita una optimización de recursos y elementos de análisis. (U036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Implementar una metodología y un sistema institucional para el monitoreo ambiental que aporte información periódica para la evaluación de los impactos generados en el Esquema de Servicios Ambientales que implementa la CONAFOR. (U036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Capacitar a los asesores técnicos en temas especializados tanto técnicos como habilidades gerenciales (administrativos y ambientales). (U036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Actualización de la NORMA Oficial Mexicana NOM-019-SEMARNAT-2006 (U036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Proponer preferentemente en los Informes Técnicos Fitosanitarios, la aplicación de control biológico y entomopatógenos, en plagas y enfermedades forestales.</w:t>
            </w:r>
            <w:r w:rsidRPr="007300B7">
              <w:rPr>
                <w:rFonts w:eastAsia="Times New Roman"/>
                <w:color w:val="000000"/>
                <w:sz w:val="14"/>
                <w:szCs w:val="14"/>
                <w:lang w:val="es-MX" w:eastAsia="es-MX"/>
              </w:rPr>
              <w:br/>
            </w:r>
            <w:r w:rsidRPr="007300B7">
              <w:rPr>
                <w:rFonts w:eastAsia="Times New Roman"/>
                <w:color w:val="000000"/>
                <w:sz w:val="14"/>
                <w:szCs w:val="14"/>
                <w:lang w:val="es-MX" w:eastAsia="es-MX"/>
              </w:rPr>
              <w:br/>
              <w:t>Nota: Corresponde a la SEMARNAT la emisión de la notificación de saneamiento con el tratamiento autorizado. Quien realiza la aplicación de los tratamientos es el propietario a través del Prestador de Servicios Técnicos. (U036 EC)</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Incrementar los números de seguidores en Redes Sociales. (U036 ED)</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Elaborar y difundir el lineamiento para la conformación y funcionamiento de los grupos operativos de la Estrategia. (S219 Procesos)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Difundir el documento de planeación de la ENAIPROS actualizado. (S219 Procesos)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Aumentar las capacidades de planeación del personal de las Gerencias Estatales. (S219 Procesos)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Difundir material informativo de la estrategia. (S219 Procesos)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 xml:space="preserve">Apoyos para el Desarrollo </w:t>
            </w:r>
            <w:r w:rsidRPr="007300B7">
              <w:rPr>
                <w:rFonts w:eastAsia="Times New Roman"/>
                <w:color w:val="000000"/>
                <w:sz w:val="14"/>
                <w:szCs w:val="14"/>
                <w:lang w:val="es-MX" w:eastAsia="es-MX"/>
              </w:rPr>
              <w:lastRenderedPageBreak/>
              <w:t>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lastRenderedPageBreak/>
              <w:t xml:space="preserve">Contar con un estudio para establecer tipologías de productores idóneos para fortalecer las capacidades </w:t>
            </w:r>
            <w:r w:rsidRPr="007300B7">
              <w:rPr>
                <w:rFonts w:eastAsia="Times New Roman"/>
                <w:color w:val="000000"/>
                <w:sz w:val="14"/>
                <w:szCs w:val="14"/>
                <w:lang w:val="es-MX" w:eastAsia="es-MX"/>
              </w:rPr>
              <w:lastRenderedPageBreak/>
              <w:t>de los ejidos y comunidades. (U036 EC-DFC  Mecanismo 2015)</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Reorientar los convenios para la producción de planta para que el proyecto de cuencas cuente con un periodo de producción de 18 meses o más de las especies que lo requieran. (U036 EC-APE Mecanismo 2015)</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Seguimiento a las actividades de asesoría en las diferentes etapas del proyecto realizadas por el asesor técnico. (U036 EC-APE Mecanismo 2015)</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CONAFOR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S219</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Apoyos para el Desarrollo Forestal Sustentable</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Contar con procedimiento para una mejor selección de las obras de restauración de suelo acorde a las características del terreno y ecosistema. (U036 EC-APE Mecanismo 2015)</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U012</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Prevención y gestión integral de residuos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Estudiar la pertinencia de redefinir la población objetivo y potencial.</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U012</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Prevención y gestión integral de residuos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Análisis de la evolución de la cobertura del programa.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U012</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Prevención y gestión integral de residuos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Definir los criterios de priorización de selección de proyectos beneficiarios del programa.</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20</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IMJUVE</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U008</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a programas para jóvenes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Elaborar el Diagnóstico del Programa U-008 "Subsidios a programas para jóvenes".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20</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IMJUVE</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U008</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a programas para jóvenes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Actualizar el diseño de la Matriz de Indicadores para Resultados del programa, tomando en cuenta el contenido del Diagnóstico para asegurar su vinculación con éste y otros documentos normativos, para que sea más estable.</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20</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IMJUVE</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U008</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Subsidios a programas para jóvenes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Actualizar la Propuesta de Atención del Programa U-008 "Subsidios a programas para jóvenes".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SECTUR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S248</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Desarrollo Regional Turístico Sustentable y Pueblos Mágicos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Actualización del Diagnóstico del Pp S248</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SECTUR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S248</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Desarrollo Regional Turístico Sustentable y Pueblos Mágicos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Mejoras a la Matriz de Indicadores para Resultados del programa presupuestario S248 (MIR)</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SECTUR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S248</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Desarrollo Regional Turístico Sustentable y Pueblos Mágicos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Presupuesto y Rendición de Cuentas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21</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SECTUR</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S248</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Programa de Desarrollo Regional Turístico Sustentable y Pueblos Mágicos</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Creación de una Base de Datos</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704966">
        <w:trPr>
          <w:trHeight w:val="311"/>
          <w:jc w:val="center"/>
        </w:trPr>
        <w:tc>
          <w:tcPr>
            <w:tcW w:w="700"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47</w:t>
            </w:r>
          </w:p>
        </w:tc>
        <w:tc>
          <w:tcPr>
            <w:tcW w:w="1285"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INMUJERES</w:t>
            </w:r>
          </w:p>
        </w:tc>
        <w:tc>
          <w:tcPr>
            <w:tcW w:w="978"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S010</w:t>
            </w:r>
          </w:p>
        </w:tc>
        <w:tc>
          <w:tcPr>
            <w:tcW w:w="1082"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Fortalecimiento a la Transversalidad de la Perspectiva de Género</w:t>
            </w:r>
          </w:p>
        </w:tc>
        <w:tc>
          <w:tcPr>
            <w:tcW w:w="3623"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Diseñar acciones que brinden relativa estabilidad a las IMM, con el fin de que las funciones y atribuciones queden plasmadas y tengan continuidad de las mismas, aún con los cambios de gobierno</w:t>
            </w:r>
          </w:p>
        </w:tc>
        <w:tc>
          <w:tcPr>
            <w:tcW w:w="1254"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4" w:space="0" w:color="BFBFBF"/>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r>
      <w:tr w:rsidR="003B3EAF" w:rsidRPr="007300B7" w:rsidTr="00704966">
        <w:trPr>
          <w:trHeight w:val="327"/>
          <w:jc w:val="center"/>
        </w:trPr>
        <w:tc>
          <w:tcPr>
            <w:tcW w:w="700" w:type="dxa"/>
            <w:tcBorders>
              <w:top w:val="nil"/>
              <w:left w:val="nil"/>
              <w:bottom w:val="single" w:sz="12" w:space="0" w:color="auto"/>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lastRenderedPageBreak/>
              <w:t>47</w:t>
            </w:r>
          </w:p>
        </w:tc>
        <w:tc>
          <w:tcPr>
            <w:tcW w:w="1285" w:type="dxa"/>
            <w:tcBorders>
              <w:top w:val="nil"/>
              <w:left w:val="nil"/>
              <w:bottom w:val="single" w:sz="12" w:space="0" w:color="auto"/>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INMUJERES</w:t>
            </w:r>
          </w:p>
        </w:tc>
        <w:tc>
          <w:tcPr>
            <w:tcW w:w="978" w:type="dxa"/>
            <w:tcBorders>
              <w:top w:val="nil"/>
              <w:left w:val="nil"/>
              <w:bottom w:val="single" w:sz="12" w:space="0" w:color="auto"/>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S010</w:t>
            </w:r>
          </w:p>
        </w:tc>
        <w:tc>
          <w:tcPr>
            <w:tcW w:w="1082" w:type="dxa"/>
            <w:tcBorders>
              <w:top w:val="nil"/>
              <w:left w:val="nil"/>
              <w:bottom w:val="single" w:sz="12" w:space="0" w:color="auto"/>
              <w:right w:val="nil"/>
            </w:tcBorders>
            <w:shd w:val="clear" w:color="000000" w:fill="FFFFFF"/>
            <w:noWrap/>
            <w:vAlign w:val="center"/>
            <w:hideMark/>
          </w:tcPr>
          <w:p w:rsidR="003B3EAF" w:rsidRPr="007300B7" w:rsidRDefault="003B3EAF" w:rsidP="00F71297">
            <w:pPr>
              <w:spacing w:after="0"/>
              <w:rPr>
                <w:rFonts w:eastAsia="Times New Roman"/>
                <w:color w:val="000000"/>
                <w:sz w:val="14"/>
                <w:szCs w:val="14"/>
                <w:lang w:val="es-MX" w:eastAsia="es-MX"/>
              </w:rPr>
            </w:pPr>
            <w:r w:rsidRPr="007300B7">
              <w:rPr>
                <w:rFonts w:eastAsia="Times New Roman"/>
                <w:color w:val="000000"/>
                <w:sz w:val="14"/>
                <w:szCs w:val="14"/>
                <w:lang w:val="es-MX" w:eastAsia="es-MX"/>
              </w:rPr>
              <w:t>Fortalecimiento a la Transversalidad de la Perspectiva de Género</w:t>
            </w:r>
          </w:p>
        </w:tc>
        <w:tc>
          <w:tcPr>
            <w:tcW w:w="3623" w:type="dxa"/>
            <w:tcBorders>
              <w:top w:val="nil"/>
              <w:left w:val="nil"/>
              <w:bottom w:val="single" w:sz="12" w:space="0" w:color="auto"/>
              <w:right w:val="nil"/>
            </w:tcBorders>
            <w:shd w:val="clear" w:color="000000" w:fill="FFFFFF"/>
            <w:noWrap/>
            <w:vAlign w:val="center"/>
            <w:hideMark/>
          </w:tcPr>
          <w:p w:rsidR="003B3EAF" w:rsidRPr="007300B7" w:rsidRDefault="003B3EAF" w:rsidP="00F71297">
            <w:pPr>
              <w:spacing w:after="0"/>
              <w:jc w:val="both"/>
              <w:rPr>
                <w:rFonts w:eastAsia="Times New Roman"/>
                <w:color w:val="000000"/>
                <w:sz w:val="14"/>
                <w:szCs w:val="14"/>
                <w:lang w:val="es-MX" w:eastAsia="es-MX"/>
              </w:rPr>
            </w:pPr>
            <w:r w:rsidRPr="007300B7">
              <w:rPr>
                <w:rFonts w:eastAsia="Times New Roman"/>
                <w:color w:val="000000"/>
                <w:sz w:val="14"/>
                <w:szCs w:val="14"/>
                <w:lang w:val="es-MX" w:eastAsia="es-MX"/>
              </w:rPr>
              <w:t>Revisar, analizar y mejorar la MIR del PFTPG, con el fin de medir mejor los resultados y logros del programa, así como organizar y mejorar los apoyos que otorga e identificar las actividades necesarias para optimizarlos</w:t>
            </w:r>
          </w:p>
        </w:tc>
        <w:tc>
          <w:tcPr>
            <w:tcW w:w="1254" w:type="dxa"/>
            <w:tcBorders>
              <w:top w:val="nil"/>
              <w:left w:val="nil"/>
              <w:bottom w:val="single" w:sz="12" w:space="0" w:color="auto"/>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Especifico</w:t>
            </w:r>
          </w:p>
        </w:tc>
        <w:tc>
          <w:tcPr>
            <w:tcW w:w="1296" w:type="dxa"/>
            <w:tcBorders>
              <w:top w:val="nil"/>
              <w:left w:val="nil"/>
              <w:bottom w:val="single" w:sz="12" w:space="0" w:color="auto"/>
              <w:right w:val="nil"/>
            </w:tcBorders>
            <w:shd w:val="clear" w:color="000000" w:fill="FFFFFF"/>
            <w:noWrap/>
            <w:vAlign w:val="center"/>
            <w:hideMark/>
          </w:tcPr>
          <w:p w:rsidR="003B3EAF" w:rsidRPr="007300B7" w:rsidRDefault="003B3EAF" w:rsidP="00F71297">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r>
      <w:tr w:rsidR="003B3EAF" w:rsidRPr="003B3EAF" w:rsidTr="00AA617F">
        <w:trPr>
          <w:trHeight w:val="327"/>
          <w:jc w:val="center"/>
        </w:trPr>
        <w:tc>
          <w:tcPr>
            <w:tcW w:w="10218" w:type="dxa"/>
            <w:gridSpan w:val="7"/>
            <w:tcBorders>
              <w:top w:val="single" w:sz="12" w:space="0" w:color="auto"/>
              <w:left w:val="nil"/>
              <w:bottom w:val="nil"/>
              <w:right w:val="nil"/>
            </w:tcBorders>
            <w:shd w:val="clear" w:color="000000" w:fill="FFFFFF"/>
            <w:noWrap/>
            <w:vAlign w:val="center"/>
            <w:hideMark/>
          </w:tcPr>
          <w:p w:rsidR="003B3EAF" w:rsidRPr="007300B7" w:rsidRDefault="00940F6E" w:rsidP="003B3EAF">
            <w:pPr>
              <w:spacing w:after="0"/>
              <w:rPr>
                <w:rFonts w:eastAsia="Times New Roman"/>
                <w:color w:val="000000"/>
                <w:sz w:val="12"/>
                <w:szCs w:val="12"/>
                <w:lang w:val="es-MX" w:eastAsia="es-MX"/>
              </w:rPr>
            </w:pPr>
            <w:r w:rsidRPr="007300B7">
              <w:rPr>
                <w:rFonts w:eastAsia="Times New Roman"/>
                <w:color w:val="000000"/>
                <w:sz w:val="12"/>
                <w:szCs w:val="12"/>
                <w:lang w:val="es-MX" w:eastAsia="es-MX"/>
              </w:rPr>
              <w:t>Fuente: Unidad de Evaluación del Desempeño, con Información proporcionada por las dependencias y entidades de la APF a las instancias coordinadoras (SHCP y CONEVAL).</w:t>
            </w:r>
          </w:p>
        </w:tc>
      </w:tr>
    </w:tbl>
    <w:p w:rsidR="00965D6E" w:rsidRDefault="00965D6E" w:rsidP="006A03A5">
      <w:pPr>
        <w:jc w:val="both"/>
        <w:rPr>
          <w:rFonts w:eastAsia="Times New Roman" w:cs="Arial"/>
          <w:b/>
          <w:szCs w:val="20"/>
          <w:lang w:val="es-MX"/>
        </w:rPr>
      </w:pPr>
    </w:p>
    <w:p w:rsidR="00965D6E" w:rsidRDefault="00965D6E">
      <w:pPr>
        <w:spacing w:after="0"/>
        <w:rPr>
          <w:rFonts w:eastAsia="Times New Roman" w:cs="Arial"/>
          <w:b/>
          <w:szCs w:val="20"/>
          <w:lang w:val="es-MX"/>
        </w:rPr>
      </w:pPr>
      <w:r>
        <w:rPr>
          <w:rFonts w:eastAsia="Times New Roman" w:cs="Arial"/>
          <w:b/>
          <w:szCs w:val="20"/>
          <w:lang w:val="es-MX"/>
        </w:rPr>
        <w:br w:type="page"/>
      </w:r>
    </w:p>
    <w:p w:rsidR="006A03A5" w:rsidRPr="006A03A5" w:rsidRDefault="006A03A5" w:rsidP="00B72D60">
      <w:pPr>
        <w:pStyle w:val="Cdetextonegrita"/>
      </w:pPr>
      <w:r w:rsidRPr="006A03A5">
        <w:lastRenderedPageBreak/>
        <w:t xml:space="preserve">ASM derivados de las evaluaciones externas </w:t>
      </w:r>
      <w:r w:rsidRPr="00B72D60">
        <w:t>coordinadas</w:t>
      </w:r>
      <w:r w:rsidRPr="006A03A5">
        <w:t xml:space="preserve"> por la SHCP</w:t>
      </w:r>
    </w:p>
    <w:p w:rsidR="003B3EAF" w:rsidRDefault="003B3EAF" w:rsidP="003B3EAF">
      <w:pPr>
        <w:pStyle w:val="Cdetexto"/>
      </w:pPr>
      <w:r>
        <w:t xml:space="preserve">Al segundo trimestre de 2016, las dependencias y entidades suscribieron un total de 219 ASM derivados de evaluaciones externas concluidas y coordinadas por la SHCP durante el ejercicio 2015 y anteriores. </w:t>
      </w:r>
      <w:r w:rsidR="00C06E5E">
        <w:t>E</w:t>
      </w:r>
      <w:r>
        <w:t>stos serán implementados con diversas acciones comprometidas y se deberán de presentar avances en los meses de septiembre de 2016 y marzo de 2017, de conformidad con el Mecanismo vigente.</w:t>
      </w:r>
    </w:p>
    <w:p w:rsidR="003B3EAF" w:rsidRDefault="003B3EAF" w:rsidP="003B3EAF">
      <w:pPr>
        <w:pStyle w:val="Cdetexto"/>
      </w:pPr>
      <w:r>
        <w:t xml:space="preserve">Los 219 ASM </w:t>
      </w:r>
      <w:r w:rsidR="0090503B">
        <w:t xml:space="preserve">registrados </w:t>
      </w:r>
      <w:r>
        <w:t>corresponden a 56 programas de 36 dependencias y entidades, y de conformidad con el actor involucrado en su solución, se distribuyen de la siguiente manera: 158 (72.1%) son del tipo específico, 58 (26.5%) corresponden al tipo institucional, dos (0.9%) son de carácter interinstitucional y uno (0.5%) corresponde al tipo intergubernamental.</w:t>
      </w:r>
    </w:p>
    <w:p w:rsidR="006A03A5" w:rsidRDefault="003B3EAF" w:rsidP="003B3EAF">
      <w:pPr>
        <w:pStyle w:val="Cdetexto"/>
      </w:pPr>
      <w:r>
        <w:t>Asimismo, de estos 219 ASM, los Ramos que destacan son los siguientes: Gobernación con 40 (18.3); Comunicaciones y Transportes con 33 (15.1%); Economía con 29 (13.1%).</w:t>
      </w:r>
      <w:r w:rsidR="006A03A5" w:rsidRPr="00B72D60">
        <w:t xml:space="preserve"> </w:t>
      </w:r>
    </w:p>
    <w:p w:rsidR="004C560B" w:rsidRPr="00B72D60" w:rsidRDefault="004C560B" w:rsidP="003B3EAF">
      <w:pPr>
        <w:pStyle w:val="Cdetexto"/>
      </w:pPr>
    </w:p>
    <w:tbl>
      <w:tblPr>
        <w:tblW w:w="9214" w:type="dxa"/>
        <w:jc w:val="center"/>
        <w:tblLayout w:type="fixed"/>
        <w:tblCellMar>
          <w:left w:w="70" w:type="dxa"/>
          <w:right w:w="70" w:type="dxa"/>
        </w:tblCellMar>
        <w:tblLook w:val="04A0" w:firstRow="1" w:lastRow="0" w:firstColumn="1" w:lastColumn="0" w:noHBand="0" w:noVBand="1"/>
      </w:tblPr>
      <w:tblGrid>
        <w:gridCol w:w="521"/>
        <w:gridCol w:w="2173"/>
        <w:gridCol w:w="1275"/>
        <w:gridCol w:w="993"/>
        <w:gridCol w:w="1244"/>
        <w:gridCol w:w="1449"/>
        <w:gridCol w:w="709"/>
        <w:gridCol w:w="850"/>
      </w:tblGrid>
      <w:tr w:rsidR="003B3EAF" w:rsidRPr="003B3EAF" w:rsidTr="003B3EAF">
        <w:trPr>
          <w:trHeight w:val="315"/>
          <w:tblHeader/>
          <w:jc w:val="center"/>
        </w:trPr>
        <w:tc>
          <w:tcPr>
            <w:tcW w:w="9214" w:type="dxa"/>
            <w:gridSpan w:val="8"/>
            <w:tcBorders>
              <w:top w:val="nil"/>
              <w:left w:val="nil"/>
              <w:bottom w:val="nil"/>
              <w:right w:val="nil"/>
            </w:tcBorders>
            <w:shd w:val="clear" w:color="000000" w:fill="EAF1DD"/>
            <w:vAlign w:val="center"/>
            <w:hideMark/>
          </w:tcPr>
          <w:p w:rsidR="003B3EAF" w:rsidRPr="003B3EAF" w:rsidRDefault="00E73EF2" w:rsidP="003B3EAF">
            <w:pPr>
              <w:spacing w:after="0"/>
              <w:jc w:val="center"/>
              <w:rPr>
                <w:rFonts w:eastAsia="Times New Roman"/>
                <w:color w:val="000000"/>
                <w:sz w:val="18"/>
                <w:szCs w:val="18"/>
                <w:lang w:val="es-MX" w:eastAsia="es-MX"/>
              </w:rPr>
            </w:pPr>
            <w:r>
              <w:rPr>
                <w:rFonts w:eastAsia="Times New Roman"/>
                <w:color w:val="000000"/>
                <w:sz w:val="18"/>
                <w:szCs w:val="18"/>
                <w:lang w:val="es-MX" w:eastAsia="es-MX"/>
              </w:rPr>
              <w:t>Tabla 6</w:t>
            </w:r>
            <w:r w:rsidR="003B3EAF" w:rsidRPr="003B3EAF">
              <w:rPr>
                <w:rFonts w:eastAsia="Times New Roman"/>
                <w:color w:val="000000"/>
                <w:sz w:val="18"/>
                <w:szCs w:val="18"/>
                <w:lang w:val="es-MX" w:eastAsia="es-MX"/>
              </w:rPr>
              <w:t xml:space="preserve">. Tipo de ASM por Ramo y por dependencia o entidad </w:t>
            </w:r>
            <w:r w:rsidR="00821DAF">
              <w:rPr>
                <w:rFonts w:eastAsia="Times New Roman"/>
                <w:color w:val="000000"/>
                <w:sz w:val="18"/>
                <w:szCs w:val="18"/>
                <w:lang w:val="es-MX" w:eastAsia="es-MX"/>
              </w:rPr>
              <w:t>registrados</w:t>
            </w:r>
            <w:r w:rsidR="003B3EAF" w:rsidRPr="003B3EAF">
              <w:rPr>
                <w:rFonts w:eastAsia="Times New Roman"/>
                <w:color w:val="000000"/>
                <w:sz w:val="18"/>
                <w:szCs w:val="18"/>
                <w:lang w:val="es-MX" w:eastAsia="es-MX"/>
              </w:rPr>
              <w:t xml:space="preserve"> en abril de 2016</w:t>
            </w:r>
          </w:p>
        </w:tc>
      </w:tr>
      <w:tr w:rsidR="003B3EAF" w:rsidRPr="003B3EAF" w:rsidTr="003B3EAF">
        <w:trPr>
          <w:trHeight w:val="330"/>
          <w:tblHeader/>
          <w:jc w:val="center"/>
        </w:trPr>
        <w:tc>
          <w:tcPr>
            <w:tcW w:w="521"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Ramo</w:t>
            </w:r>
          </w:p>
        </w:tc>
        <w:tc>
          <w:tcPr>
            <w:tcW w:w="2173"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Dependencia o Entidad</w:t>
            </w:r>
          </w:p>
        </w:tc>
        <w:tc>
          <w:tcPr>
            <w:tcW w:w="1275"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Específico</w:t>
            </w:r>
          </w:p>
        </w:tc>
        <w:tc>
          <w:tcPr>
            <w:tcW w:w="993"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Institucional</w:t>
            </w:r>
          </w:p>
        </w:tc>
        <w:tc>
          <w:tcPr>
            <w:tcW w:w="1244"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Interinstitucional</w:t>
            </w:r>
          </w:p>
        </w:tc>
        <w:tc>
          <w:tcPr>
            <w:tcW w:w="1449"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Intergubernamental</w:t>
            </w:r>
          </w:p>
        </w:tc>
        <w:tc>
          <w:tcPr>
            <w:tcW w:w="709"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Total</w:t>
            </w:r>
          </w:p>
        </w:tc>
        <w:tc>
          <w:tcPr>
            <w:tcW w:w="850"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del Total</w:t>
            </w:r>
          </w:p>
        </w:tc>
      </w:tr>
      <w:tr w:rsidR="003B3EAF" w:rsidRPr="003B3EAF" w:rsidTr="003B3EAF">
        <w:trPr>
          <w:trHeight w:val="330"/>
          <w:jc w:val="center"/>
        </w:trPr>
        <w:tc>
          <w:tcPr>
            <w:tcW w:w="2694" w:type="dxa"/>
            <w:gridSpan w:val="2"/>
            <w:tcBorders>
              <w:top w:val="single" w:sz="12" w:space="0" w:color="auto"/>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04 Gobernación</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26</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14</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40</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18.3</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CNS</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14</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19</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CONAPRED</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INM</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SECRETARIADO EJECUTIVO</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SEGOB</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05 Relaciones Exteriores</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4.1</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SRE</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06 Hacienda y Crédito Público</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15</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24</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11.0</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SAT</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BANSEFI</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CNBV</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CNSF</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CONDUSEF</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TESOFE</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09 Comunicaciones y Transportes</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25</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33</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15.1</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SCT</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17</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SEPOMEX</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r w:rsidR="0090503B" w:rsidRPr="007300B7">
              <w:rPr>
                <w:rFonts w:eastAsia="Times New Roman"/>
                <w:color w:val="000000"/>
                <w:sz w:val="14"/>
                <w:szCs w:val="14"/>
                <w:lang w:val="es-MX" w:eastAsia="es-MX"/>
              </w:rPr>
              <w:t>8</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TELECOM</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10 Economía</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13</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29</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13.2</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PROFECO</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PROMÉXICO</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11 Educación Pública</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17</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18</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8.2</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SEP</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17</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18</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lastRenderedPageBreak/>
              <w:t>12 Salud</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1.4</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COFEPRIS</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14 Trabajo y Previsión Social</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1.4</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STPS</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15 Desarrollo Agrario, Territorial y Urbano</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0.9</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SEDATU</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16 Medio Ambiente y Recursos Naturales</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2.7</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CONAGUA</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SEMARNAT</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20 Desarrollo Social</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2.3</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SEDESOL</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21 Turismo</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5.0</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E27859"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CPTM</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FONATUR</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SECTUR</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27 Función Pública</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3.2</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INDAABIN</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SFP</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31 Tribunales Agrarios</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0.9</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TRIBUNALES AGRARIOS</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940F6E"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47 Entidades No Sectorizadas</w:t>
            </w:r>
            <w:r w:rsidRPr="007300B7">
              <w:rPr>
                <w:rFonts w:eastAsia="Times New Roman"/>
                <w:color w:val="000000"/>
                <w:sz w:val="14"/>
                <w:szCs w:val="14"/>
                <w:lang w:val="es-MX" w:eastAsia="es-MX"/>
              </w:rPr>
              <w:tab/>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21</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24</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10.9</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CDI</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17</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17</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CEAV</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INMUJERES</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PRODECON</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15"/>
          <w:jc w:val="center"/>
        </w:trPr>
        <w:tc>
          <w:tcPr>
            <w:tcW w:w="2694" w:type="dxa"/>
            <w:gridSpan w:val="2"/>
            <w:tcBorders>
              <w:top w:val="nil"/>
              <w:left w:val="nil"/>
              <w:bottom w:val="nil"/>
              <w:right w:val="nil"/>
            </w:tcBorders>
            <w:shd w:val="clear" w:color="000000" w:fill="F2F2F2"/>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51 Instituto de Seguridad y Servicios Sociales de los Trabajadores del Estado</w:t>
            </w:r>
          </w:p>
        </w:tc>
        <w:tc>
          <w:tcPr>
            <w:tcW w:w="1275"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2F2F2"/>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1.4</w:t>
            </w:r>
          </w:p>
        </w:tc>
      </w:tr>
      <w:tr w:rsidR="003B3EAF" w:rsidRPr="003B3EAF" w:rsidTr="003B3EAF">
        <w:trPr>
          <w:trHeight w:val="31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ISSSTE</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w:t>
            </w:r>
          </w:p>
        </w:tc>
      </w:tr>
      <w:tr w:rsidR="003B3EAF" w:rsidRPr="003B3EAF" w:rsidTr="003B3EAF">
        <w:trPr>
          <w:trHeight w:val="330"/>
          <w:jc w:val="center"/>
        </w:trPr>
        <w:tc>
          <w:tcPr>
            <w:tcW w:w="2694" w:type="dxa"/>
            <w:gridSpan w:val="2"/>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rPr>
                <w:rFonts w:eastAsia="Times New Roman"/>
                <w:b/>
                <w:bCs/>
                <w:color w:val="000000"/>
                <w:sz w:val="14"/>
                <w:szCs w:val="14"/>
                <w:lang w:val="es-MX" w:eastAsia="es-MX"/>
              </w:rPr>
            </w:pPr>
            <w:r w:rsidRPr="007300B7">
              <w:rPr>
                <w:rFonts w:eastAsia="Times New Roman"/>
                <w:b/>
                <w:bCs/>
                <w:color w:val="000000"/>
                <w:sz w:val="14"/>
                <w:szCs w:val="14"/>
                <w:lang w:val="es-MX" w:eastAsia="es-MX"/>
              </w:rPr>
              <w:t>Total</w:t>
            </w:r>
          </w:p>
        </w:tc>
        <w:tc>
          <w:tcPr>
            <w:tcW w:w="1275"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158</w:t>
            </w:r>
          </w:p>
        </w:tc>
        <w:tc>
          <w:tcPr>
            <w:tcW w:w="993"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58</w:t>
            </w:r>
          </w:p>
        </w:tc>
        <w:tc>
          <w:tcPr>
            <w:tcW w:w="1244"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2</w:t>
            </w:r>
          </w:p>
        </w:tc>
        <w:tc>
          <w:tcPr>
            <w:tcW w:w="1449"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w:t>
            </w:r>
          </w:p>
        </w:tc>
        <w:tc>
          <w:tcPr>
            <w:tcW w:w="709"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219</w:t>
            </w:r>
          </w:p>
        </w:tc>
        <w:tc>
          <w:tcPr>
            <w:tcW w:w="850"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100</w:t>
            </w:r>
            <w:r w:rsidR="00D170C7" w:rsidRPr="007300B7">
              <w:rPr>
                <w:rFonts w:eastAsia="Times New Roman"/>
                <w:b/>
                <w:bCs/>
                <w:color w:val="000000"/>
                <w:sz w:val="14"/>
                <w:szCs w:val="14"/>
                <w:lang w:val="es-MX" w:eastAsia="es-MX"/>
              </w:rPr>
              <w:t>.0</w:t>
            </w:r>
          </w:p>
        </w:tc>
      </w:tr>
      <w:tr w:rsidR="003B3EAF" w:rsidRPr="003B3EAF" w:rsidTr="003B3EAF">
        <w:trPr>
          <w:trHeight w:val="345"/>
          <w:jc w:val="center"/>
        </w:trPr>
        <w:tc>
          <w:tcPr>
            <w:tcW w:w="521"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b/>
                <w:bCs/>
                <w:color w:val="000000"/>
                <w:sz w:val="14"/>
                <w:szCs w:val="14"/>
                <w:lang w:val="es-MX" w:eastAsia="es-MX"/>
              </w:rPr>
            </w:pPr>
            <w:r w:rsidRPr="007300B7">
              <w:rPr>
                <w:rFonts w:eastAsia="Times New Roman"/>
                <w:b/>
                <w:bCs/>
                <w:color w:val="000000"/>
                <w:sz w:val="14"/>
                <w:szCs w:val="14"/>
                <w:lang w:val="es-MX" w:eastAsia="es-MX"/>
              </w:rPr>
              <w:t> </w:t>
            </w:r>
          </w:p>
        </w:tc>
        <w:tc>
          <w:tcPr>
            <w:tcW w:w="2173"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b/>
                <w:bCs/>
                <w:color w:val="000000"/>
                <w:sz w:val="14"/>
                <w:szCs w:val="14"/>
                <w:lang w:val="es-MX" w:eastAsia="es-MX"/>
              </w:rPr>
            </w:pPr>
            <w:r w:rsidRPr="007300B7">
              <w:rPr>
                <w:rFonts w:eastAsia="Times New Roman"/>
                <w:b/>
                <w:bCs/>
                <w:color w:val="000000"/>
                <w:sz w:val="14"/>
                <w:szCs w:val="14"/>
                <w:lang w:val="es-MX" w:eastAsia="es-MX"/>
              </w:rPr>
              <w:t>% del Total</w:t>
            </w:r>
          </w:p>
        </w:tc>
        <w:tc>
          <w:tcPr>
            <w:tcW w:w="1275"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72.1</w:t>
            </w:r>
          </w:p>
        </w:tc>
        <w:tc>
          <w:tcPr>
            <w:tcW w:w="993"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26.5</w:t>
            </w:r>
          </w:p>
        </w:tc>
        <w:tc>
          <w:tcPr>
            <w:tcW w:w="12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0.9</w:t>
            </w:r>
          </w:p>
        </w:tc>
        <w:tc>
          <w:tcPr>
            <w:tcW w:w="144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0.5</w:t>
            </w:r>
          </w:p>
        </w:tc>
        <w:tc>
          <w:tcPr>
            <w:tcW w:w="709"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100</w:t>
            </w:r>
            <w:r w:rsidR="00D170C7" w:rsidRPr="007300B7">
              <w:rPr>
                <w:rFonts w:eastAsia="Times New Roman"/>
                <w:b/>
                <w:bCs/>
                <w:color w:val="000000"/>
                <w:sz w:val="14"/>
                <w:szCs w:val="14"/>
                <w:lang w:val="es-MX" w:eastAsia="es-MX"/>
              </w:rPr>
              <w:t>.0</w:t>
            </w:r>
          </w:p>
        </w:tc>
        <w:tc>
          <w:tcPr>
            <w:tcW w:w="85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 </w:t>
            </w:r>
          </w:p>
        </w:tc>
      </w:tr>
      <w:tr w:rsidR="003B3EAF" w:rsidRPr="003B3EAF" w:rsidTr="003B3EAF">
        <w:trPr>
          <w:trHeight w:val="330"/>
          <w:jc w:val="center"/>
        </w:trPr>
        <w:tc>
          <w:tcPr>
            <w:tcW w:w="9214" w:type="dxa"/>
            <w:gridSpan w:val="8"/>
            <w:tcBorders>
              <w:top w:val="single" w:sz="12" w:space="0" w:color="auto"/>
              <w:left w:val="nil"/>
              <w:bottom w:val="nil"/>
              <w:right w:val="nil"/>
            </w:tcBorders>
            <w:shd w:val="clear" w:color="000000" w:fill="FFFFFF"/>
            <w:noWrap/>
            <w:vAlign w:val="center"/>
            <w:hideMark/>
          </w:tcPr>
          <w:p w:rsidR="00F7007C" w:rsidRPr="003B3EAF" w:rsidRDefault="003B3EAF" w:rsidP="003B3EAF">
            <w:pPr>
              <w:spacing w:after="0"/>
              <w:rPr>
                <w:rFonts w:eastAsia="Times New Roman"/>
                <w:color w:val="000000"/>
                <w:sz w:val="12"/>
                <w:szCs w:val="12"/>
                <w:lang w:val="es-MX" w:eastAsia="es-MX"/>
              </w:rPr>
            </w:pPr>
            <w:r w:rsidRPr="003B3EAF">
              <w:rPr>
                <w:rFonts w:eastAsia="Times New Roman"/>
                <w:color w:val="000000"/>
                <w:sz w:val="12"/>
                <w:szCs w:val="12"/>
                <w:lang w:val="es-MX" w:eastAsia="es-MX"/>
              </w:rPr>
              <w:t>Fuente: Unidad de Evaluación del Desempeño con información proporcionada por las dependencias y entidades de la APF.</w:t>
            </w:r>
          </w:p>
        </w:tc>
      </w:tr>
    </w:tbl>
    <w:p w:rsidR="006A03A5" w:rsidRPr="006A03A5" w:rsidRDefault="006A03A5" w:rsidP="006A03A5">
      <w:pPr>
        <w:jc w:val="both"/>
        <w:rPr>
          <w:color w:val="FF0000"/>
          <w:lang w:val="es-MX"/>
        </w:rPr>
      </w:pPr>
    </w:p>
    <w:p w:rsidR="006A03A5" w:rsidRDefault="003B3EAF" w:rsidP="00AA617F">
      <w:pPr>
        <w:spacing w:before="20" w:after="0"/>
        <w:jc w:val="both"/>
        <w:rPr>
          <w:rFonts w:eastAsia="Times New Roman" w:cs="Arial"/>
          <w:szCs w:val="20"/>
          <w:lang w:val="es-MX"/>
        </w:rPr>
      </w:pPr>
      <w:r w:rsidRPr="003B3EAF">
        <w:rPr>
          <w:rFonts w:eastAsia="Times New Roman" w:cs="Arial"/>
          <w:szCs w:val="20"/>
          <w:lang w:val="es-MX"/>
        </w:rPr>
        <w:t>Es importante destacar que la mayoría (72.1%) de los ASM se concentran en aspectos clasificados como específicos.</w:t>
      </w:r>
    </w:p>
    <w:p w:rsidR="003B3EAF" w:rsidRDefault="003B3EAF" w:rsidP="003B3EAF">
      <w:pPr>
        <w:spacing w:before="20" w:after="0"/>
        <w:rPr>
          <w:rFonts w:eastAsia="Times New Roman" w:cs="Arial"/>
          <w:szCs w:val="20"/>
          <w:lang w:val="es-MX"/>
        </w:rPr>
      </w:pPr>
    </w:p>
    <w:p w:rsidR="003B3EAF" w:rsidRPr="006A03A5" w:rsidRDefault="003B3EAF" w:rsidP="003B3EAF">
      <w:pPr>
        <w:spacing w:before="20" w:after="0"/>
        <w:jc w:val="center"/>
        <w:rPr>
          <w:rFonts w:eastAsia="Calibri" w:cstheme="minorBidi"/>
          <w:b/>
          <w:sz w:val="12"/>
          <w:szCs w:val="22"/>
          <w:lang w:val="es-MX" w:eastAsia="en-US"/>
        </w:rPr>
      </w:pPr>
      <w:r>
        <w:rPr>
          <w:noProof/>
          <w:lang w:val="es-MX" w:eastAsia="es-MX"/>
        </w:rPr>
        <w:lastRenderedPageBreak/>
        <w:drawing>
          <wp:inline distT="0" distB="0" distL="0" distR="0" wp14:anchorId="4405BF11" wp14:editId="2B7FBD54">
            <wp:extent cx="4566558" cy="2581087"/>
            <wp:effectExtent l="0" t="0" r="5715"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A03A5" w:rsidRPr="006A03A5" w:rsidRDefault="006A03A5" w:rsidP="006A03A5">
      <w:pPr>
        <w:spacing w:after="0"/>
        <w:jc w:val="both"/>
        <w:rPr>
          <w:rFonts w:eastAsia="Times New Roman" w:cs="Arial"/>
          <w:szCs w:val="20"/>
          <w:lang w:val="es-ES"/>
        </w:rPr>
      </w:pPr>
    </w:p>
    <w:p w:rsidR="006A03A5" w:rsidRDefault="003B3EAF" w:rsidP="004C560B">
      <w:pPr>
        <w:pStyle w:val="Cdetexto"/>
      </w:pPr>
      <w:r w:rsidRPr="003B3EAF">
        <w:t>De acuerdo al tipo de evaluación que dio origen a los ASM suscritos por las dependencias y entidades reportados en este trimestre, se identifican principalmente los siguientes tipos: Consistencia y Resultados y Diseño con 80 (36.5%) cada una, Procesos con 33</w:t>
      </w:r>
      <w:r w:rsidR="002C0FD1">
        <w:t xml:space="preserve"> </w:t>
      </w:r>
      <w:r w:rsidRPr="003B3EAF">
        <w:t>(36.5%) y Específica de Desempeño con 16 (15.1%) ASM suscritos.</w:t>
      </w:r>
    </w:p>
    <w:p w:rsidR="003B3EAF" w:rsidRDefault="003B3EAF" w:rsidP="00B72D60">
      <w:pPr>
        <w:pStyle w:val="Cdetexto"/>
      </w:pPr>
    </w:p>
    <w:tbl>
      <w:tblPr>
        <w:tblW w:w="8440" w:type="dxa"/>
        <w:jc w:val="center"/>
        <w:tblCellMar>
          <w:left w:w="70" w:type="dxa"/>
          <w:right w:w="70" w:type="dxa"/>
        </w:tblCellMar>
        <w:tblLook w:val="04A0" w:firstRow="1" w:lastRow="0" w:firstColumn="1" w:lastColumn="0" w:noHBand="0" w:noVBand="1"/>
      </w:tblPr>
      <w:tblGrid>
        <w:gridCol w:w="3022"/>
        <w:gridCol w:w="789"/>
        <w:gridCol w:w="939"/>
        <w:gridCol w:w="1244"/>
        <w:gridCol w:w="1445"/>
        <w:gridCol w:w="492"/>
        <w:gridCol w:w="815"/>
      </w:tblGrid>
      <w:tr w:rsidR="003B3EAF" w:rsidRPr="003B3EAF" w:rsidTr="003B3EAF">
        <w:trPr>
          <w:trHeight w:val="316"/>
          <w:jc w:val="center"/>
        </w:trPr>
        <w:tc>
          <w:tcPr>
            <w:tcW w:w="8440" w:type="dxa"/>
            <w:gridSpan w:val="7"/>
            <w:tcBorders>
              <w:top w:val="nil"/>
              <w:left w:val="nil"/>
              <w:bottom w:val="nil"/>
              <w:right w:val="nil"/>
            </w:tcBorders>
            <w:shd w:val="clear" w:color="000000" w:fill="EAF1DD"/>
            <w:noWrap/>
            <w:vAlign w:val="center"/>
            <w:hideMark/>
          </w:tcPr>
          <w:p w:rsidR="003B3EAF" w:rsidRPr="003B3EAF" w:rsidRDefault="00F71297" w:rsidP="003B3EAF">
            <w:pPr>
              <w:spacing w:after="0"/>
              <w:jc w:val="center"/>
              <w:rPr>
                <w:rFonts w:eastAsia="Times New Roman"/>
                <w:color w:val="000000"/>
                <w:sz w:val="18"/>
                <w:szCs w:val="18"/>
                <w:lang w:val="es-MX" w:eastAsia="es-MX"/>
              </w:rPr>
            </w:pPr>
            <w:r>
              <w:rPr>
                <w:rFonts w:eastAsia="Times New Roman"/>
                <w:color w:val="000000"/>
                <w:sz w:val="18"/>
                <w:szCs w:val="18"/>
                <w:lang w:val="es-MX" w:eastAsia="es-MX"/>
              </w:rPr>
              <w:t>Tabla 7</w:t>
            </w:r>
            <w:r w:rsidR="003B3EAF" w:rsidRPr="003B3EAF">
              <w:rPr>
                <w:rFonts w:eastAsia="Times New Roman"/>
                <w:color w:val="000000"/>
                <w:sz w:val="18"/>
                <w:szCs w:val="18"/>
                <w:lang w:val="es-MX" w:eastAsia="es-MX"/>
              </w:rPr>
              <w:t xml:space="preserve">. Cantidad de ASM por tipo de evaluación al </w:t>
            </w:r>
            <w:r w:rsidR="00821DAF">
              <w:rPr>
                <w:rFonts w:eastAsia="Times New Roman"/>
                <w:color w:val="000000"/>
                <w:sz w:val="18"/>
                <w:szCs w:val="18"/>
                <w:lang w:val="es-MX" w:eastAsia="es-MX"/>
              </w:rPr>
              <w:t>segundo</w:t>
            </w:r>
            <w:r w:rsidR="003B3EAF" w:rsidRPr="003B3EAF">
              <w:rPr>
                <w:rFonts w:eastAsia="Times New Roman"/>
                <w:color w:val="000000"/>
                <w:sz w:val="18"/>
                <w:szCs w:val="18"/>
                <w:lang w:val="es-MX" w:eastAsia="es-MX"/>
              </w:rPr>
              <w:t xml:space="preserve"> trimestre de 2016</w:t>
            </w:r>
          </w:p>
        </w:tc>
      </w:tr>
      <w:tr w:rsidR="003B3EAF" w:rsidRPr="003B3EAF" w:rsidTr="003B3EAF">
        <w:trPr>
          <w:trHeight w:val="331"/>
          <w:jc w:val="center"/>
        </w:trPr>
        <w:tc>
          <w:tcPr>
            <w:tcW w:w="3022"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Tipo de evaluación (Fuente de información)</w:t>
            </w:r>
          </w:p>
        </w:tc>
        <w:tc>
          <w:tcPr>
            <w:tcW w:w="715"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Específico</w:t>
            </w:r>
          </w:p>
        </w:tc>
        <w:tc>
          <w:tcPr>
            <w:tcW w:w="872"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Institucional</w:t>
            </w:r>
          </w:p>
        </w:tc>
        <w:tc>
          <w:tcPr>
            <w:tcW w:w="1193"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Interinstitucional</w:t>
            </w:r>
          </w:p>
        </w:tc>
        <w:tc>
          <w:tcPr>
            <w:tcW w:w="1405"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Intergubernamental</w:t>
            </w:r>
          </w:p>
        </w:tc>
        <w:tc>
          <w:tcPr>
            <w:tcW w:w="416"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Total</w:t>
            </w:r>
          </w:p>
        </w:tc>
        <w:tc>
          <w:tcPr>
            <w:tcW w:w="815"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 del Total</w:t>
            </w:r>
          </w:p>
        </w:tc>
      </w:tr>
      <w:tr w:rsidR="003B3EAF" w:rsidRPr="003B3EAF" w:rsidTr="003B3EAF">
        <w:trPr>
          <w:trHeight w:val="316"/>
          <w:jc w:val="center"/>
        </w:trPr>
        <w:tc>
          <w:tcPr>
            <w:tcW w:w="3022" w:type="dxa"/>
            <w:tcBorders>
              <w:top w:val="nil"/>
              <w:left w:val="nil"/>
              <w:bottom w:val="nil"/>
              <w:right w:val="nil"/>
            </w:tcBorders>
            <w:shd w:val="clear" w:color="000000" w:fill="FFFFFF"/>
            <w:noWrap/>
            <w:vAlign w:val="center"/>
            <w:hideMark/>
          </w:tcPr>
          <w:p w:rsidR="003B3EAF" w:rsidRPr="003B3EAF" w:rsidRDefault="003B3EAF" w:rsidP="003B3EAF">
            <w:pPr>
              <w:spacing w:after="0"/>
              <w:jc w:val="both"/>
              <w:rPr>
                <w:rFonts w:eastAsia="Times New Roman"/>
                <w:color w:val="000000"/>
                <w:sz w:val="14"/>
                <w:szCs w:val="14"/>
                <w:lang w:val="es-MX" w:eastAsia="es-MX"/>
              </w:rPr>
            </w:pPr>
            <w:r w:rsidRPr="003B3EAF">
              <w:rPr>
                <w:rFonts w:eastAsia="Times New Roman"/>
                <w:color w:val="000000"/>
                <w:sz w:val="14"/>
                <w:szCs w:val="14"/>
                <w:lang w:val="es-MX" w:eastAsia="es-MX"/>
              </w:rPr>
              <w:t>Evaluación de Consistencia y Resultados</w:t>
            </w:r>
          </w:p>
        </w:tc>
        <w:tc>
          <w:tcPr>
            <w:tcW w:w="7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66</w:t>
            </w:r>
          </w:p>
        </w:tc>
        <w:tc>
          <w:tcPr>
            <w:tcW w:w="872"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14</w:t>
            </w:r>
          </w:p>
        </w:tc>
        <w:tc>
          <w:tcPr>
            <w:tcW w:w="1193"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140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416"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80</w:t>
            </w:r>
          </w:p>
        </w:tc>
        <w:tc>
          <w:tcPr>
            <w:tcW w:w="8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36.5</w:t>
            </w:r>
          </w:p>
        </w:tc>
      </w:tr>
      <w:tr w:rsidR="003B3EAF" w:rsidRPr="003B3EAF" w:rsidTr="003B3EAF">
        <w:trPr>
          <w:trHeight w:val="316"/>
          <w:jc w:val="center"/>
        </w:trPr>
        <w:tc>
          <w:tcPr>
            <w:tcW w:w="3022" w:type="dxa"/>
            <w:tcBorders>
              <w:top w:val="nil"/>
              <w:left w:val="nil"/>
              <w:bottom w:val="nil"/>
              <w:right w:val="nil"/>
            </w:tcBorders>
            <w:shd w:val="clear" w:color="000000" w:fill="FFFFFF"/>
            <w:noWrap/>
            <w:vAlign w:val="center"/>
            <w:hideMark/>
          </w:tcPr>
          <w:p w:rsidR="003B3EAF" w:rsidRPr="003B3EAF" w:rsidRDefault="003B3EAF" w:rsidP="003B3EAF">
            <w:pPr>
              <w:spacing w:after="0"/>
              <w:jc w:val="both"/>
              <w:rPr>
                <w:rFonts w:eastAsia="Times New Roman"/>
                <w:color w:val="000000"/>
                <w:sz w:val="14"/>
                <w:szCs w:val="14"/>
                <w:lang w:val="es-MX" w:eastAsia="es-MX"/>
              </w:rPr>
            </w:pPr>
            <w:r w:rsidRPr="003B3EAF">
              <w:rPr>
                <w:rFonts w:eastAsia="Times New Roman"/>
                <w:color w:val="000000"/>
                <w:sz w:val="14"/>
                <w:szCs w:val="14"/>
                <w:lang w:val="es-MX" w:eastAsia="es-MX"/>
              </w:rPr>
              <w:t>Evaluación de Diseño</w:t>
            </w:r>
          </w:p>
        </w:tc>
        <w:tc>
          <w:tcPr>
            <w:tcW w:w="7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57</w:t>
            </w:r>
          </w:p>
        </w:tc>
        <w:tc>
          <w:tcPr>
            <w:tcW w:w="872"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20</w:t>
            </w:r>
          </w:p>
        </w:tc>
        <w:tc>
          <w:tcPr>
            <w:tcW w:w="1193"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2</w:t>
            </w:r>
          </w:p>
        </w:tc>
        <w:tc>
          <w:tcPr>
            <w:tcW w:w="140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1</w:t>
            </w:r>
          </w:p>
        </w:tc>
        <w:tc>
          <w:tcPr>
            <w:tcW w:w="416"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80</w:t>
            </w:r>
          </w:p>
        </w:tc>
        <w:tc>
          <w:tcPr>
            <w:tcW w:w="8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36.5</w:t>
            </w:r>
          </w:p>
        </w:tc>
      </w:tr>
      <w:tr w:rsidR="003B3EAF" w:rsidRPr="003B3EAF" w:rsidTr="003B3EAF">
        <w:trPr>
          <w:trHeight w:val="316"/>
          <w:jc w:val="center"/>
        </w:trPr>
        <w:tc>
          <w:tcPr>
            <w:tcW w:w="3022" w:type="dxa"/>
            <w:tcBorders>
              <w:top w:val="nil"/>
              <w:left w:val="nil"/>
              <w:bottom w:val="nil"/>
              <w:right w:val="nil"/>
            </w:tcBorders>
            <w:shd w:val="clear" w:color="000000" w:fill="FFFFFF"/>
            <w:noWrap/>
            <w:vAlign w:val="center"/>
            <w:hideMark/>
          </w:tcPr>
          <w:p w:rsidR="003B3EAF" w:rsidRPr="003B3EAF" w:rsidRDefault="003B3EAF" w:rsidP="003B3EAF">
            <w:pPr>
              <w:spacing w:after="0"/>
              <w:jc w:val="both"/>
              <w:rPr>
                <w:rFonts w:eastAsia="Times New Roman"/>
                <w:color w:val="000000"/>
                <w:sz w:val="14"/>
                <w:szCs w:val="14"/>
                <w:lang w:val="es-MX" w:eastAsia="es-MX"/>
              </w:rPr>
            </w:pPr>
            <w:r w:rsidRPr="003B3EAF">
              <w:rPr>
                <w:rFonts w:eastAsia="Times New Roman"/>
                <w:color w:val="000000"/>
                <w:sz w:val="14"/>
                <w:szCs w:val="14"/>
                <w:lang w:val="es-MX" w:eastAsia="es-MX"/>
              </w:rPr>
              <w:t>Evaluación de Procesos</w:t>
            </w:r>
          </w:p>
        </w:tc>
        <w:tc>
          <w:tcPr>
            <w:tcW w:w="7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15</w:t>
            </w:r>
          </w:p>
        </w:tc>
        <w:tc>
          <w:tcPr>
            <w:tcW w:w="872"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18</w:t>
            </w:r>
          </w:p>
        </w:tc>
        <w:tc>
          <w:tcPr>
            <w:tcW w:w="1193"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140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416"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33</w:t>
            </w:r>
          </w:p>
        </w:tc>
        <w:tc>
          <w:tcPr>
            <w:tcW w:w="8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15.1</w:t>
            </w:r>
          </w:p>
        </w:tc>
      </w:tr>
      <w:tr w:rsidR="003B3EAF" w:rsidRPr="003B3EAF" w:rsidTr="003B3EAF">
        <w:trPr>
          <w:trHeight w:val="316"/>
          <w:jc w:val="center"/>
        </w:trPr>
        <w:tc>
          <w:tcPr>
            <w:tcW w:w="3022" w:type="dxa"/>
            <w:tcBorders>
              <w:top w:val="nil"/>
              <w:left w:val="nil"/>
              <w:bottom w:val="nil"/>
              <w:right w:val="nil"/>
            </w:tcBorders>
            <w:shd w:val="clear" w:color="000000" w:fill="FFFFFF"/>
            <w:noWrap/>
            <w:vAlign w:val="center"/>
            <w:hideMark/>
          </w:tcPr>
          <w:p w:rsidR="003B3EAF" w:rsidRPr="003B3EAF" w:rsidRDefault="003B3EAF" w:rsidP="003B3EAF">
            <w:pPr>
              <w:spacing w:after="0"/>
              <w:jc w:val="both"/>
              <w:rPr>
                <w:rFonts w:eastAsia="Times New Roman"/>
                <w:color w:val="000000"/>
                <w:sz w:val="14"/>
                <w:szCs w:val="14"/>
                <w:lang w:val="es-MX" w:eastAsia="es-MX"/>
              </w:rPr>
            </w:pPr>
            <w:r w:rsidRPr="003B3EAF">
              <w:rPr>
                <w:rFonts w:eastAsia="Times New Roman"/>
                <w:color w:val="000000"/>
                <w:sz w:val="14"/>
                <w:szCs w:val="14"/>
                <w:lang w:val="es-MX" w:eastAsia="es-MX"/>
              </w:rPr>
              <w:t>Evaluación Específica de Desempeño</w:t>
            </w:r>
          </w:p>
        </w:tc>
        <w:tc>
          <w:tcPr>
            <w:tcW w:w="7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12</w:t>
            </w:r>
          </w:p>
        </w:tc>
        <w:tc>
          <w:tcPr>
            <w:tcW w:w="872"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4</w:t>
            </w:r>
          </w:p>
        </w:tc>
        <w:tc>
          <w:tcPr>
            <w:tcW w:w="1193"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140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416"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16</w:t>
            </w:r>
          </w:p>
        </w:tc>
        <w:tc>
          <w:tcPr>
            <w:tcW w:w="8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7.3</w:t>
            </w:r>
          </w:p>
        </w:tc>
      </w:tr>
      <w:tr w:rsidR="003B3EAF" w:rsidRPr="003B3EAF" w:rsidTr="003B3EAF">
        <w:trPr>
          <w:trHeight w:val="316"/>
          <w:jc w:val="center"/>
        </w:trPr>
        <w:tc>
          <w:tcPr>
            <w:tcW w:w="3022" w:type="dxa"/>
            <w:tcBorders>
              <w:top w:val="nil"/>
              <w:left w:val="nil"/>
              <w:bottom w:val="nil"/>
              <w:right w:val="nil"/>
            </w:tcBorders>
            <w:shd w:val="clear" w:color="000000" w:fill="FFFFFF"/>
            <w:noWrap/>
            <w:vAlign w:val="center"/>
            <w:hideMark/>
          </w:tcPr>
          <w:p w:rsidR="003B3EAF" w:rsidRPr="003B3EAF" w:rsidRDefault="003B3EAF" w:rsidP="003B3EAF">
            <w:pPr>
              <w:spacing w:after="0"/>
              <w:jc w:val="both"/>
              <w:rPr>
                <w:rFonts w:eastAsia="Times New Roman"/>
                <w:color w:val="000000"/>
                <w:sz w:val="14"/>
                <w:szCs w:val="14"/>
                <w:lang w:val="es-MX" w:eastAsia="es-MX"/>
              </w:rPr>
            </w:pPr>
            <w:r w:rsidRPr="003B3EAF">
              <w:rPr>
                <w:rFonts w:eastAsia="Times New Roman"/>
                <w:color w:val="000000"/>
                <w:sz w:val="14"/>
                <w:szCs w:val="14"/>
                <w:lang w:val="es-MX" w:eastAsia="es-MX"/>
              </w:rPr>
              <w:t>Evaluación Costo - Efectividad</w:t>
            </w:r>
          </w:p>
        </w:tc>
        <w:tc>
          <w:tcPr>
            <w:tcW w:w="7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7</w:t>
            </w:r>
          </w:p>
        </w:tc>
        <w:tc>
          <w:tcPr>
            <w:tcW w:w="872"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2</w:t>
            </w:r>
          </w:p>
        </w:tc>
        <w:tc>
          <w:tcPr>
            <w:tcW w:w="1193"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140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416"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9</w:t>
            </w:r>
          </w:p>
        </w:tc>
        <w:tc>
          <w:tcPr>
            <w:tcW w:w="8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4.1</w:t>
            </w:r>
          </w:p>
        </w:tc>
      </w:tr>
      <w:tr w:rsidR="003B3EAF" w:rsidRPr="003B3EAF" w:rsidTr="003B3EAF">
        <w:trPr>
          <w:trHeight w:val="316"/>
          <w:jc w:val="center"/>
        </w:trPr>
        <w:tc>
          <w:tcPr>
            <w:tcW w:w="3022" w:type="dxa"/>
            <w:tcBorders>
              <w:top w:val="nil"/>
              <w:left w:val="nil"/>
              <w:bottom w:val="nil"/>
              <w:right w:val="nil"/>
            </w:tcBorders>
            <w:shd w:val="clear" w:color="000000" w:fill="FFFFFF"/>
            <w:noWrap/>
            <w:vAlign w:val="center"/>
            <w:hideMark/>
          </w:tcPr>
          <w:p w:rsidR="003B3EAF" w:rsidRPr="003B3EAF" w:rsidRDefault="003B3EAF" w:rsidP="003B3EAF">
            <w:pPr>
              <w:spacing w:after="0"/>
              <w:jc w:val="both"/>
              <w:rPr>
                <w:rFonts w:eastAsia="Times New Roman"/>
                <w:color w:val="000000"/>
                <w:sz w:val="14"/>
                <w:szCs w:val="14"/>
                <w:lang w:val="es-MX" w:eastAsia="es-MX"/>
              </w:rPr>
            </w:pPr>
            <w:r w:rsidRPr="003B3EAF">
              <w:rPr>
                <w:rFonts w:eastAsia="Times New Roman"/>
                <w:color w:val="000000"/>
                <w:sz w:val="14"/>
                <w:szCs w:val="14"/>
                <w:lang w:val="es-MX" w:eastAsia="es-MX"/>
              </w:rPr>
              <w:t>Evaluación de Indicadores</w:t>
            </w:r>
          </w:p>
        </w:tc>
        <w:tc>
          <w:tcPr>
            <w:tcW w:w="7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1</w:t>
            </w:r>
          </w:p>
        </w:tc>
        <w:tc>
          <w:tcPr>
            <w:tcW w:w="872"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1193"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140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w:t>
            </w:r>
          </w:p>
        </w:tc>
        <w:tc>
          <w:tcPr>
            <w:tcW w:w="416"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1</w:t>
            </w:r>
          </w:p>
        </w:tc>
        <w:tc>
          <w:tcPr>
            <w:tcW w:w="815" w:type="dxa"/>
            <w:tcBorders>
              <w:top w:val="nil"/>
              <w:left w:val="nil"/>
              <w:bottom w:val="nil"/>
              <w:right w:val="nil"/>
            </w:tcBorders>
            <w:shd w:val="clear" w:color="000000" w:fill="FFFFFF"/>
            <w:noWrap/>
            <w:vAlign w:val="center"/>
            <w:hideMark/>
          </w:tcPr>
          <w:p w:rsidR="003B3EAF" w:rsidRPr="003B3EAF" w:rsidRDefault="003B3EAF" w:rsidP="003B3EAF">
            <w:pPr>
              <w:spacing w:after="0"/>
              <w:jc w:val="center"/>
              <w:rPr>
                <w:rFonts w:eastAsia="Times New Roman"/>
                <w:color w:val="000000"/>
                <w:sz w:val="14"/>
                <w:szCs w:val="14"/>
                <w:lang w:val="es-MX" w:eastAsia="es-MX"/>
              </w:rPr>
            </w:pPr>
            <w:r w:rsidRPr="003B3EAF">
              <w:rPr>
                <w:rFonts w:eastAsia="Times New Roman"/>
                <w:color w:val="000000"/>
                <w:sz w:val="14"/>
                <w:szCs w:val="14"/>
                <w:lang w:val="es-MX" w:eastAsia="es-MX"/>
              </w:rPr>
              <w:t>0.5</w:t>
            </w:r>
          </w:p>
        </w:tc>
      </w:tr>
      <w:tr w:rsidR="003B3EAF" w:rsidRPr="003B3EAF" w:rsidTr="003B3EAF">
        <w:trPr>
          <w:trHeight w:val="331"/>
          <w:jc w:val="center"/>
        </w:trPr>
        <w:tc>
          <w:tcPr>
            <w:tcW w:w="3022"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both"/>
              <w:rPr>
                <w:rFonts w:eastAsia="Times New Roman"/>
                <w:b/>
                <w:bCs/>
                <w:color w:val="000000"/>
                <w:sz w:val="14"/>
                <w:szCs w:val="14"/>
                <w:lang w:val="es-MX" w:eastAsia="es-MX"/>
              </w:rPr>
            </w:pPr>
            <w:r w:rsidRPr="003B3EAF">
              <w:rPr>
                <w:rFonts w:eastAsia="Times New Roman"/>
                <w:b/>
                <w:bCs/>
                <w:color w:val="000000"/>
                <w:sz w:val="14"/>
                <w:szCs w:val="14"/>
                <w:lang w:val="es-MX" w:eastAsia="es-MX"/>
              </w:rPr>
              <w:t>Total</w:t>
            </w:r>
          </w:p>
        </w:tc>
        <w:tc>
          <w:tcPr>
            <w:tcW w:w="715"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b/>
                <w:bCs/>
                <w:color w:val="000000"/>
                <w:sz w:val="14"/>
                <w:szCs w:val="14"/>
                <w:lang w:val="es-MX" w:eastAsia="es-MX"/>
              </w:rPr>
            </w:pPr>
            <w:r w:rsidRPr="003B3EAF">
              <w:rPr>
                <w:rFonts w:eastAsia="Times New Roman"/>
                <w:b/>
                <w:bCs/>
                <w:color w:val="000000"/>
                <w:sz w:val="14"/>
                <w:szCs w:val="14"/>
                <w:lang w:val="es-MX" w:eastAsia="es-MX"/>
              </w:rPr>
              <w:t>158</w:t>
            </w:r>
          </w:p>
        </w:tc>
        <w:tc>
          <w:tcPr>
            <w:tcW w:w="872"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b/>
                <w:bCs/>
                <w:color w:val="000000"/>
                <w:sz w:val="14"/>
                <w:szCs w:val="14"/>
                <w:lang w:val="es-MX" w:eastAsia="es-MX"/>
              </w:rPr>
            </w:pPr>
            <w:r w:rsidRPr="003B3EAF">
              <w:rPr>
                <w:rFonts w:eastAsia="Times New Roman"/>
                <w:b/>
                <w:bCs/>
                <w:color w:val="000000"/>
                <w:sz w:val="14"/>
                <w:szCs w:val="14"/>
                <w:lang w:val="es-MX" w:eastAsia="es-MX"/>
              </w:rPr>
              <w:t>58</w:t>
            </w:r>
          </w:p>
        </w:tc>
        <w:tc>
          <w:tcPr>
            <w:tcW w:w="1193"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b/>
                <w:bCs/>
                <w:color w:val="000000"/>
                <w:sz w:val="14"/>
                <w:szCs w:val="14"/>
                <w:lang w:val="es-MX" w:eastAsia="es-MX"/>
              </w:rPr>
            </w:pPr>
            <w:r w:rsidRPr="003B3EAF">
              <w:rPr>
                <w:rFonts w:eastAsia="Times New Roman"/>
                <w:b/>
                <w:bCs/>
                <w:color w:val="000000"/>
                <w:sz w:val="14"/>
                <w:szCs w:val="14"/>
                <w:lang w:val="es-MX" w:eastAsia="es-MX"/>
              </w:rPr>
              <w:t>2</w:t>
            </w:r>
          </w:p>
        </w:tc>
        <w:tc>
          <w:tcPr>
            <w:tcW w:w="1405"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b/>
                <w:bCs/>
                <w:color w:val="000000"/>
                <w:sz w:val="14"/>
                <w:szCs w:val="14"/>
                <w:lang w:val="es-MX" w:eastAsia="es-MX"/>
              </w:rPr>
            </w:pPr>
            <w:r w:rsidRPr="003B3EAF">
              <w:rPr>
                <w:rFonts w:eastAsia="Times New Roman"/>
                <w:b/>
                <w:bCs/>
                <w:color w:val="000000"/>
                <w:sz w:val="14"/>
                <w:szCs w:val="14"/>
                <w:lang w:val="es-MX" w:eastAsia="es-MX"/>
              </w:rPr>
              <w:t>1</w:t>
            </w:r>
          </w:p>
        </w:tc>
        <w:tc>
          <w:tcPr>
            <w:tcW w:w="416"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b/>
                <w:bCs/>
                <w:color w:val="000000"/>
                <w:sz w:val="14"/>
                <w:szCs w:val="14"/>
                <w:lang w:val="es-MX" w:eastAsia="es-MX"/>
              </w:rPr>
            </w:pPr>
            <w:r w:rsidRPr="003B3EAF">
              <w:rPr>
                <w:rFonts w:eastAsia="Times New Roman"/>
                <w:b/>
                <w:bCs/>
                <w:color w:val="000000"/>
                <w:sz w:val="14"/>
                <w:szCs w:val="14"/>
                <w:lang w:val="es-MX" w:eastAsia="es-MX"/>
              </w:rPr>
              <w:t>219</w:t>
            </w:r>
          </w:p>
        </w:tc>
        <w:tc>
          <w:tcPr>
            <w:tcW w:w="815" w:type="dxa"/>
            <w:tcBorders>
              <w:top w:val="nil"/>
              <w:left w:val="nil"/>
              <w:bottom w:val="single" w:sz="8" w:space="0" w:color="auto"/>
              <w:right w:val="nil"/>
            </w:tcBorders>
            <w:shd w:val="clear" w:color="000000" w:fill="FFFFFF"/>
            <w:noWrap/>
            <w:vAlign w:val="center"/>
            <w:hideMark/>
          </w:tcPr>
          <w:p w:rsidR="003B3EAF" w:rsidRPr="003B3EAF" w:rsidRDefault="003B3EAF" w:rsidP="003B3EAF">
            <w:pPr>
              <w:spacing w:after="0"/>
              <w:jc w:val="center"/>
              <w:rPr>
                <w:rFonts w:eastAsia="Times New Roman"/>
                <w:b/>
                <w:bCs/>
                <w:color w:val="000000"/>
                <w:sz w:val="14"/>
                <w:szCs w:val="14"/>
                <w:lang w:val="es-MX" w:eastAsia="es-MX"/>
              </w:rPr>
            </w:pPr>
            <w:r w:rsidRPr="003B3EAF">
              <w:rPr>
                <w:rFonts w:eastAsia="Times New Roman"/>
                <w:b/>
                <w:bCs/>
                <w:color w:val="000000"/>
                <w:sz w:val="14"/>
                <w:szCs w:val="14"/>
                <w:lang w:val="es-MX" w:eastAsia="es-MX"/>
              </w:rPr>
              <w:t>100</w:t>
            </w:r>
            <w:r w:rsidR="00D170C7">
              <w:rPr>
                <w:rFonts w:eastAsia="Times New Roman"/>
                <w:b/>
                <w:bCs/>
                <w:color w:val="000000"/>
                <w:sz w:val="14"/>
                <w:szCs w:val="14"/>
                <w:lang w:val="es-MX" w:eastAsia="es-MX"/>
              </w:rPr>
              <w:t>.0</w:t>
            </w:r>
          </w:p>
        </w:tc>
      </w:tr>
      <w:tr w:rsidR="003B3EAF" w:rsidRPr="003B3EAF" w:rsidTr="003B3EAF">
        <w:trPr>
          <w:trHeight w:val="316"/>
          <w:jc w:val="center"/>
        </w:trPr>
        <w:tc>
          <w:tcPr>
            <w:tcW w:w="8440" w:type="dxa"/>
            <w:gridSpan w:val="7"/>
            <w:tcBorders>
              <w:top w:val="single" w:sz="8" w:space="0" w:color="auto"/>
              <w:left w:val="nil"/>
              <w:bottom w:val="nil"/>
              <w:right w:val="nil"/>
            </w:tcBorders>
            <w:shd w:val="clear" w:color="000000" w:fill="FFFFFF"/>
            <w:noWrap/>
            <w:vAlign w:val="center"/>
            <w:hideMark/>
          </w:tcPr>
          <w:p w:rsidR="003B3EAF" w:rsidRPr="003B3EAF" w:rsidRDefault="003B3EAF" w:rsidP="003B3EAF">
            <w:pPr>
              <w:spacing w:after="0"/>
              <w:rPr>
                <w:rFonts w:eastAsia="Times New Roman"/>
                <w:color w:val="000000"/>
                <w:sz w:val="12"/>
                <w:szCs w:val="12"/>
                <w:lang w:val="es-MX" w:eastAsia="es-MX"/>
              </w:rPr>
            </w:pPr>
            <w:r w:rsidRPr="003B3EAF">
              <w:rPr>
                <w:rFonts w:eastAsia="Times New Roman"/>
                <w:color w:val="000000"/>
                <w:sz w:val="12"/>
                <w:szCs w:val="12"/>
                <w:lang w:val="es-MX" w:eastAsia="es-MX"/>
              </w:rPr>
              <w:t>Fuente: Unidad de Evaluación del Desempeño con información proporcionada por las dependencias y entidades de la APF.</w:t>
            </w:r>
          </w:p>
        </w:tc>
      </w:tr>
    </w:tbl>
    <w:p w:rsidR="006A03A5" w:rsidRPr="006A03A5" w:rsidRDefault="006A03A5" w:rsidP="006A03A5">
      <w:pPr>
        <w:jc w:val="both"/>
        <w:rPr>
          <w:rFonts w:eastAsia="Times New Roman" w:cs="Arial"/>
          <w:szCs w:val="20"/>
          <w:lang w:val="es-ES"/>
        </w:rPr>
      </w:pPr>
    </w:p>
    <w:p w:rsidR="006A03A5" w:rsidRDefault="003B3EAF" w:rsidP="00B72D60">
      <w:pPr>
        <w:pStyle w:val="Cdetexto"/>
        <w:rPr>
          <w:lang w:val="es-MX"/>
        </w:rPr>
      </w:pPr>
      <w:r w:rsidRPr="003B3EAF">
        <w:rPr>
          <w:lang w:val="es-MX"/>
        </w:rPr>
        <w:t xml:space="preserve">Los tres principales temas sobre los cuales se suscribieron </w:t>
      </w:r>
      <w:r w:rsidR="0001521C">
        <w:rPr>
          <w:lang w:val="es-MX"/>
        </w:rPr>
        <w:t xml:space="preserve">los </w:t>
      </w:r>
      <w:r w:rsidRPr="003B3EAF">
        <w:rPr>
          <w:lang w:val="es-MX"/>
        </w:rPr>
        <w:t>ASM fueron: Diseño</w:t>
      </w:r>
      <w:r w:rsidR="0001521C">
        <w:rPr>
          <w:lang w:val="es-MX"/>
        </w:rPr>
        <w:t xml:space="preserve"> </w:t>
      </w:r>
      <w:r w:rsidRPr="003B3EAF">
        <w:rPr>
          <w:lang w:val="es-MX"/>
        </w:rPr>
        <w:t>con 70</w:t>
      </w:r>
      <w:r w:rsidR="0001521C">
        <w:rPr>
          <w:lang w:val="es-MX"/>
        </w:rPr>
        <w:t xml:space="preserve"> ASM</w:t>
      </w:r>
      <w:r w:rsidRPr="003B3EAF">
        <w:rPr>
          <w:lang w:val="es-MX"/>
        </w:rPr>
        <w:t xml:space="preserve"> (31.9%); Operación</w:t>
      </w:r>
      <w:r w:rsidR="0001521C">
        <w:rPr>
          <w:lang w:val="es-MX"/>
        </w:rPr>
        <w:t xml:space="preserve"> </w:t>
      </w:r>
      <w:r w:rsidRPr="003B3EAF">
        <w:rPr>
          <w:lang w:val="es-MX"/>
        </w:rPr>
        <w:t>con 42 ASM (19.2%); y Planeación con 24</w:t>
      </w:r>
      <w:r w:rsidR="0001521C">
        <w:rPr>
          <w:lang w:val="es-MX"/>
        </w:rPr>
        <w:t xml:space="preserve"> ASM</w:t>
      </w:r>
      <w:r w:rsidRPr="003B3EAF">
        <w:rPr>
          <w:lang w:val="es-MX"/>
        </w:rPr>
        <w:t xml:space="preserve"> (11.0%). Cabe mencionar que algunos ASM abordan distintas temáticas, en este caso son 23 </w:t>
      </w:r>
      <w:r w:rsidR="0001521C">
        <w:rPr>
          <w:lang w:val="es-MX"/>
        </w:rPr>
        <w:t>ASM</w:t>
      </w:r>
      <w:r w:rsidR="002C0FD1">
        <w:rPr>
          <w:lang w:val="es-MX"/>
        </w:rPr>
        <w:t xml:space="preserve"> </w:t>
      </w:r>
      <w:r w:rsidRPr="003B3EAF">
        <w:rPr>
          <w:lang w:val="es-MX"/>
        </w:rPr>
        <w:t xml:space="preserve">(10.5%) que </w:t>
      </w:r>
      <w:r w:rsidR="0001521C">
        <w:rPr>
          <w:lang w:val="es-MX"/>
        </w:rPr>
        <w:t>fueron registrados en más</w:t>
      </w:r>
      <w:r w:rsidRPr="003B3EAF">
        <w:rPr>
          <w:lang w:val="es-MX"/>
        </w:rPr>
        <w:t xml:space="preserve"> de un tema. De igual forma, respecto del nivel de prioridad, de los 219 ASM suscritos, 60 (27.4%) son de prioridad Alta; 135 (61.6%) son de </w:t>
      </w:r>
      <w:r w:rsidR="002C0FD1">
        <w:rPr>
          <w:lang w:val="es-MX"/>
        </w:rPr>
        <w:t xml:space="preserve">prioridad </w:t>
      </w:r>
      <w:r w:rsidRPr="003B3EAF">
        <w:rPr>
          <w:lang w:val="es-MX"/>
        </w:rPr>
        <w:t>Media; y 24 (11.0%) son de prioridad Baja.</w:t>
      </w:r>
    </w:p>
    <w:p w:rsidR="003B3EAF" w:rsidRPr="006A03A5" w:rsidRDefault="003B3EAF" w:rsidP="00B72D60">
      <w:pPr>
        <w:pStyle w:val="Cdetexto"/>
      </w:pPr>
    </w:p>
    <w:tbl>
      <w:tblPr>
        <w:tblW w:w="7944" w:type="dxa"/>
        <w:jc w:val="center"/>
        <w:tblCellMar>
          <w:left w:w="70" w:type="dxa"/>
          <w:right w:w="70" w:type="dxa"/>
        </w:tblCellMar>
        <w:tblLook w:val="04A0" w:firstRow="1" w:lastRow="0" w:firstColumn="1" w:lastColumn="0" w:noHBand="0" w:noVBand="1"/>
      </w:tblPr>
      <w:tblGrid>
        <w:gridCol w:w="2415"/>
        <w:gridCol w:w="762"/>
        <w:gridCol w:w="1080"/>
        <w:gridCol w:w="782"/>
        <w:gridCol w:w="958"/>
        <w:gridCol w:w="1947"/>
      </w:tblGrid>
      <w:tr w:rsidR="003B3EAF" w:rsidRPr="00FC0929" w:rsidTr="00AA617F">
        <w:trPr>
          <w:trHeight w:val="273"/>
          <w:tblHeader/>
          <w:jc w:val="center"/>
        </w:trPr>
        <w:tc>
          <w:tcPr>
            <w:tcW w:w="7944" w:type="dxa"/>
            <w:gridSpan w:val="6"/>
            <w:tcBorders>
              <w:top w:val="nil"/>
              <w:left w:val="nil"/>
              <w:bottom w:val="nil"/>
              <w:right w:val="nil"/>
            </w:tcBorders>
            <w:shd w:val="clear" w:color="000000" w:fill="EAF1DD"/>
            <w:noWrap/>
            <w:vAlign w:val="center"/>
            <w:hideMark/>
          </w:tcPr>
          <w:p w:rsidR="003B3EAF" w:rsidRPr="003B3EAF" w:rsidRDefault="00F71297" w:rsidP="00FC0929">
            <w:pPr>
              <w:spacing w:after="0"/>
              <w:jc w:val="center"/>
              <w:rPr>
                <w:rFonts w:eastAsia="Times New Roman"/>
                <w:color w:val="000000"/>
                <w:sz w:val="18"/>
                <w:szCs w:val="18"/>
                <w:lang w:val="es-MX" w:eastAsia="es-MX"/>
              </w:rPr>
            </w:pPr>
            <w:r>
              <w:rPr>
                <w:rFonts w:eastAsia="Times New Roman"/>
                <w:color w:val="000000"/>
                <w:sz w:val="18"/>
                <w:szCs w:val="18"/>
                <w:lang w:val="es-MX" w:eastAsia="es-MX"/>
              </w:rPr>
              <w:t>Tabla 8</w:t>
            </w:r>
            <w:r w:rsidR="003B3EAF" w:rsidRPr="003B3EAF">
              <w:rPr>
                <w:rFonts w:eastAsia="Times New Roman"/>
                <w:color w:val="000000"/>
                <w:sz w:val="18"/>
                <w:szCs w:val="18"/>
                <w:lang w:val="es-MX" w:eastAsia="es-MX"/>
              </w:rPr>
              <w:t xml:space="preserve">.  Temas a los que van dirigidos los ASM </w:t>
            </w:r>
            <w:r w:rsidR="00FC0929">
              <w:rPr>
                <w:rFonts w:eastAsia="Times New Roman"/>
                <w:color w:val="000000"/>
                <w:sz w:val="18"/>
                <w:szCs w:val="18"/>
                <w:lang w:val="es-MX" w:eastAsia="es-MX"/>
              </w:rPr>
              <w:t>registrados</w:t>
            </w:r>
            <w:r w:rsidR="00940F6E" w:rsidRPr="00940F6E">
              <w:rPr>
                <w:rFonts w:eastAsia="Times New Roman"/>
                <w:color w:val="000000"/>
                <w:sz w:val="18"/>
                <w:szCs w:val="18"/>
                <w:lang w:val="es-MX" w:eastAsia="es-MX"/>
              </w:rPr>
              <w:t xml:space="preserve"> </w:t>
            </w:r>
            <w:r w:rsidR="003B3EAF" w:rsidRPr="003B3EAF">
              <w:rPr>
                <w:rFonts w:eastAsia="Times New Roman"/>
                <w:color w:val="000000"/>
                <w:sz w:val="18"/>
                <w:szCs w:val="18"/>
                <w:lang w:val="es-MX" w:eastAsia="es-MX"/>
              </w:rPr>
              <w:t xml:space="preserve">al </w:t>
            </w:r>
            <w:r w:rsidR="00940F6E">
              <w:rPr>
                <w:rFonts w:eastAsia="Times New Roman"/>
                <w:color w:val="000000"/>
                <w:sz w:val="18"/>
                <w:szCs w:val="18"/>
                <w:lang w:val="es-MX" w:eastAsia="es-MX"/>
              </w:rPr>
              <w:t>segundo</w:t>
            </w:r>
            <w:r w:rsidR="00940F6E" w:rsidRPr="003B3EAF">
              <w:rPr>
                <w:rFonts w:eastAsia="Times New Roman"/>
                <w:color w:val="000000"/>
                <w:sz w:val="18"/>
                <w:szCs w:val="18"/>
                <w:lang w:val="es-MX" w:eastAsia="es-MX"/>
              </w:rPr>
              <w:t xml:space="preserve"> </w:t>
            </w:r>
            <w:r w:rsidR="003B3EAF" w:rsidRPr="003B3EAF">
              <w:rPr>
                <w:rFonts w:eastAsia="Times New Roman"/>
                <w:color w:val="000000"/>
                <w:sz w:val="18"/>
                <w:szCs w:val="18"/>
                <w:lang w:val="es-MX" w:eastAsia="es-MX"/>
              </w:rPr>
              <w:t>trimestre de 2016</w:t>
            </w:r>
          </w:p>
        </w:tc>
      </w:tr>
      <w:tr w:rsidR="003B3EAF" w:rsidRPr="003B3EAF" w:rsidTr="00AA617F">
        <w:trPr>
          <w:trHeight w:val="286"/>
          <w:tblHeader/>
          <w:jc w:val="center"/>
        </w:trPr>
        <w:tc>
          <w:tcPr>
            <w:tcW w:w="2415"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Tema</w:t>
            </w:r>
          </w:p>
        </w:tc>
        <w:tc>
          <w:tcPr>
            <w:tcW w:w="762"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Alta</w:t>
            </w:r>
          </w:p>
        </w:tc>
        <w:tc>
          <w:tcPr>
            <w:tcW w:w="1080"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Media</w:t>
            </w:r>
          </w:p>
        </w:tc>
        <w:tc>
          <w:tcPr>
            <w:tcW w:w="782"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Baja</w:t>
            </w:r>
          </w:p>
        </w:tc>
        <w:tc>
          <w:tcPr>
            <w:tcW w:w="958"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Total</w:t>
            </w:r>
          </w:p>
        </w:tc>
        <w:tc>
          <w:tcPr>
            <w:tcW w:w="1944"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 del Total</w:t>
            </w:r>
          </w:p>
        </w:tc>
      </w:tr>
      <w:tr w:rsidR="003B3EAF" w:rsidRPr="003B3EAF" w:rsidTr="00AA617F">
        <w:trPr>
          <w:trHeight w:val="286"/>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Diseño</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31</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25</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14</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70</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31.9</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Operación</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36</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42</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19.2</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lastRenderedPageBreak/>
              <w:t>Planeación</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19</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24</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11</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Resultado</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19</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8.7</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Indicadores</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10</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16</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7.3</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Coberturas</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9</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12</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5.5</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Evaluación</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5</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6</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2.7</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Ejecución</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4</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1.8</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Otros</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3</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1.4</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color w:val="000000"/>
                <w:sz w:val="14"/>
                <w:szCs w:val="14"/>
                <w:lang w:val="es-MX" w:eastAsia="es-MX"/>
              </w:rPr>
            </w:pPr>
            <w:r w:rsidRPr="007300B7">
              <w:rPr>
                <w:rFonts w:eastAsia="Times New Roman"/>
                <w:color w:val="000000"/>
                <w:sz w:val="14"/>
                <w:szCs w:val="14"/>
                <w:lang w:val="es-MX" w:eastAsia="es-MX"/>
              </w:rPr>
              <w:t>Más de un Tema</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8</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15</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0</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23</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color w:val="000000"/>
                <w:sz w:val="14"/>
                <w:szCs w:val="14"/>
                <w:lang w:val="es-MX" w:eastAsia="es-MX"/>
              </w:rPr>
            </w:pPr>
            <w:r w:rsidRPr="007300B7">
              <w:rPr>
                <w:rFonts w:eastAsia="Times New Roman"/>
                <w:color w:val="000000"/>
                <w:sz w:val="14"/>
                <w:szCs w:val="14"/>
                <w:lang w:val="es-MX" w:eastAsia="es-MX"/>
              </w:rPr>
              <w:t>10.5</w:t>
            </w:r>
          </w:p>
        </w:tc>
      </w:tr>
      <w:tr w:rsidR="003B3EAF" w:rsidRPr="003B3EAF" w:rsidTr="00AA617F">
        <w:trPr>
          <w:trHeight w:val="273"/>
          <w:jc w:val="center"/>
        </w:trPr>
        <w:tc>
          <w:tcPr>
            <w:tcW w:w="2415" w:type="dxa"/>
            <w:tcBorders>
              <w:top w:val="nil"/>
              <w:left w:val="nil"/>
              <w:bottom w:val="nil"/>
              <w:right w:val="nil"/>
            </w:tcBorders>
            <w:shd w:val="clear" w:color="000000" w:fill="FFFFFF"/>
            <w:noWrap/>
            <w:vAlign w:val="center"/>
            <w:hideMark/>
          </w:tcPr>
          <w:p w:rsidR="003B3EAF" w:rsidRPr="007300B7" w:rsidRDefault="003B3EAF" w:rsidP="003B3EAF">
            <w:pPr>
              <w:spacing w:after="0"/>
              <w:rPr>
                <w:rFonts w:eastAsia="Times New Roman"/>
                <w:b/>
                <w:bCs/>
                <w:color w:val="000000"/>
                <w:sz w:val="14"/>
                <w:szCs w:val="14"/>
                <w:lang w:val="es-MX" w:eastAsia="es-MX"/>
              </w:rPr>
            </w:pPr>
            <w:r w:rsidRPr="007300B7">
              <w:rPr>
                <w:rFonts w:eastAsia="Times New Roman"/>
                <w:b/>
                <w:bCs/>
                <w:color w:val="000000"/>
                <w:sz w:val="14"/>
                <w:szCs w:val="14"/>
                <w:lang w:val="es-MX" w:eastAsia="es-MX"/>
              </w:rPr>
              <w:t>Total</w:t>
            </w:r>
          </w:p>
        </w:tc>
        <w:tc>
          <w:tcPr>
            <w:tcW w:w="76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60</w:t>
            </w:r>
          </w:p>
        </w:tc>
        <w:tc>
          <w:tcPr>
            <w:tcW w:w="1080"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135</w:t>
            </w:r>
          </w:p>
        </w:tc>
        <w:tc>
          <w:tcPr>
            <w:tcW w:w="782"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24</w:t>
            </w:r>
          </w:p>
        </w:tc>
        <w:tc>
          <w:tcPr>
            <w:tcW w:w="958"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219</w:t>
            </w:r>
          </w:p>
        </w:tc>
        <w:tc>
          <w:tcPr>
            <w:tcW w:w="1944" w:type="dxa"/>
            <w:tcBorders>
              <w:top w:val="nil"/>
              <w:left w:val="nil"/>
              <w:bottom w:val="nil"/>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100</w:t>
            </w:r>
            <w:r w:rsidR="00D170C7" w:rsidRPr="007300B7">
              <w:rPr>
                <w:rFonts w:eastAsia="Times New Roman"/>
                <w:b/>
                <w:bCs/>
                <w:color w:val="000000"/>
                <w:sz w:val="14"/>
                <w:szCs w:val="14"/>
                <w:lang w:val="es-MX" w:eastAsia="es-MX"/>
              </w:rPr>
              <w:t>.0</w:t>
            </w:r>
          </w:p>
        </w:tc>
      </w:tr>
      <w:tr w:rsidR="003B3EAF" w:rsidRPr="003B3EAF" w:rsidTr="00AA617F">
        <w:trPr>
          <w:trHeight w:val="286"/>
          <w:jc w:val="center"/>
        </w:trPr>
        <w:tc>
          <w:tcPr>
            <w:tcW w:w="2415"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rPr>
                <w:rFonts w:eastAsia="Times New Roman"/>
                <w:b/>
                <w:bCs/>
                <w:color w:val="000000"/>
                <w:sz w:val="14"/>
                <w:szCs w:val="14"/>
                <w:lang w:val="es-MX" w:eastAsia="es-MX"/>
              </w:rPr>
            </w:pPr>
            <w:r w:rsidRPr="007300B7">
              <w:rPr>
                <w:rFonts w:eastAsia="Times New Roman"/>
                <w:b/>
                <w:bCs/>
                <w:color w:val="000000"/>
                <w:sz w:val="14"/>
                <w:szCs w:val="14"/>
                <w:lang w:val="es-MX" w:eastAsia="es-MX"/>
              </w:rPr>
              <w:t>% del Total</w:t>
            </w:r>
          </w:p>
        </w:tc>
        <w:tc>
          <w:tcPr>
            <w:tcW w:w="762"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27.4</w:t>
            </w:r>
          </w:p>
        </w:tc>
        <w:tc>
          <w:tcPr>
            <w:tcW w:w="1080"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61.6</w:t>
            </w:r>
          </w:p>
        </w:tc>
        <w:tc>
          <w:tcPr>
            <w:tcW w:w="782"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11.0</w:t>
            </w:r>
          </w:p>
        </w:tc>
        <w:tc>
          <w:tcPr>
            <w:tcW w:w="958"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100</w:t>
            </w:r>
            <w:r w:rsidR="00D170C7" w:rsidRPr="007300B7">
              <w:rPr>
                <w:rFonts w:eastAsia="Times New Roman"/>
                <w:b/>
                <w:bCs/>
                <w:color w:val="000000"/>
                <w:sz w:val="14"/>
                <w:szCs w:val="14"/>
                <w:lang w:val="es-MX" w:eastAsia="es-MX"/>
              </w:rPr>
              <w:t>.0</w:t>
            </w:r>
          </w:p>
        </w:tc>
        <w:tc>
          <w:tcPr>
            <w:tcW w:w="1944" w:type="dxa"/>
            <w:tcBorders>
              <w:top w:val="nil"/>
              <w:left w:val="nil"/>
              <w:bottom w:val="single" w:sz="12" w:space="0" w:color="auto"/>
              <w:right w:val="nil"/>
            </w:tcBorders>
            <w:shd w:val="clear" w:color="000000" w:fill="FFFFFF"/>
            <w:noWrap/>
            <w:vAlign w:val="center"/>
            <w:hideMark/>
          </w:tcPr>
          <w:p w:rsidR="003B3EAF" w:rsidRPr="007300B7" w:rsidRDefault="003B3EAF" w:rsidP="003B3EAF">
            <w:pPr>
              <w:spacing w:after="0"/>
              <w:jc w:val="center"/>
              <w:rPr>
                <w:rFonts w:eastAsia="Times New Roman"/>
                <w:b/>
                <w:bCs/>
                <w:color w:val="000000"/>
                <w:sz w:val="14"/>
                <w:szCs w:val="14"/>
                <w:lang w:val="es-MX" w:eastAsia="es-MX"/>
              </w:rPr>
            </w:pPr>
            <w:r w:rsidRPr="007300B7">
              <w:rPr>
                <w:rFonts w:eastAsia="Times New Roman"/>
                <w:b/>
                <w:bCs/>
                <w:color w:val="000000"/>
                <w:sz w:val="14"/>
                <w:szCs w:val="14"/>
                <w:lang w:val="es-MX" w:eastAsia="es-MX"/>
              </w:rPr>
              <w:t> </w:t>
            </w:r>
          </w:p>
        </w:tc>
      </w:tr>
      <w:tr w:rsidR="003B3EAF" w:rsidRPr="003B3EAF" w:rsidTr="00AA617F">
        <w:trPr>
          <w:trHeight w:val="286"/>
          <w:jc w:val="center"/>
        </w:trPr>
        <w:tc>
          <w:tcPr>
            <w:tcW w:w="7944" w:type="dxa"/>
            <w:gridSpan w:val="6"/>
            <w:tcBorders>
              <w:top w:val="single" w:sz="12" w:space="0" w:color="auto"/>
              <w:left w:val="nil"/>
              <w:bottom w:val="nil"/>
              <w:right w:val="nil"/>
            </w:tcBorders>
            <w:shd w:val="clear" w:color="000000" w:fill="FFFFFF"/>
            <w:noWrap/>
            <w:vAlign w:val="center"/>
            <w:hideMark/>
          </w:tcPr>
          <w:p w:rsidR="003B3EAF" w:rsidRPr="003B3EAF" w:rsidRDefault="003B3EAF" w:rsidP="003B3EAF">
            <w:pPr>
              <w:spacing w:after="0"/>
              <w:rPr>
                <w:rFonts w:eastAsia="Times New Roman"/>
                <w:color w:val="000000"/>
                <w:sz w:val="12"/>
                <w:szCs w:val="12"/>
                <w:lang w:val="es-MX" w:eastAsia="es-MX"/>
              </w:rPr>
            </w:pPr>
            <w:r w:rsidRPr="003B3EAF">
              <w:rPr>
                <w:rFonts w:eastAsia="Times New Roman"/>
                <w:color w:val="000000"/>
                <w:sz w:val="12"/>
                <w:szCs w:val="12"/>
                <w:lang w:val="es-MX" w:eastAsia="es-MX"/>
              </w:rPr>
              <w:t>Fuente: Unidad de Evaluación del Desempeño con información proporcionada por las dependencias y entidades de la APF.</w:t>
            </w:r>
          </w:p>
        </w:tc>
      </w:tr>
    </w:tbl>
    <w:p w:rsidR="006A03A5" w:rsidRPr="006A03A5" w:rsidRDefault="006A03A5" w:rsidP="006A03A5">
      <w:pPr>
        <w:jc w:val="both"/>
        <w:rPr>
          <w:sz w:val="12"/>
          <w:szCs w:val="22"/>
          <w:lang w:val="es-MX"/>
        </w:rPr>
      </w:pPr>
    </w:p>
    <w:p w:rsidR="006A03A5" w:rsidRPr="006A03A5" w:rsidRDefault="006A03A5" w:rsidP="00B72D60">
      <w:pPr>
        <w:pStyle w:val="Cdetextonegrita"/>
      </w:pPr>
      <w:r w:rsidRPr="006A03A5">
        <w:t>ASM derivados de las evaluaciones externas coordinadas por el CONEVAL</w:t>
      </w:r>
    </w:p>
    <w:p w:rsidR="003B3EAF" w:rsidRPr="003B3EAF" w:rsidRDefault="003B3EAF" w:rsidP="003B3EAF">
      <w:pPr>
        <w:pStyle w:val="Cdetexto"/>
        <w:rPr>
          <w:rFonts w:cs="Soberana Sans"/>
          <w:color w:val="000000"/>
          <w:lang w:eastAsia="es-MX"/>
        </w:rPr>
      </w:pPr>
      <w:r w:rsidRPr="003B3EAF">
        <w:rPr>
          <w:rFonts w:cs="Soberana Sans"/>
          <w:color w:val="000000"/>
          <w:lang w:eastAsia="es-MX"/>
        </w:rPr>
        <w:t xml:space="preserve">Al segundo trimestre de 2016, las dependencias y entidades suscribieron un total de 462 ASM derivados de </w:t>
      </w:r>
      <w:r w:rsidR="00312FEA">
        <w:rPr>
          <w:rFonts w:cs="Soberana Sans"/>
          <w:color w:val="000000"/>
          <w:lang w:eastAsia="es-MX"/>
        </w:rPr>
        <w:t xml:space="preserve">informes y </w:t>
      </w:r>
      <w:r w:rsidRPr="003B3EAF">
        <w:rPr>
          <w:rFonts w:cs="Soberana Sans"/>
          <w:color w:val="000000"/>
          <w:lang w:eastAsia="es-MX"/>
        </w:rPr>
        <w:t>evaluaciones externas concluidas y coordinadas por</w:t>
      </w:r>
      <w:r w:rsidR="00312FEA">
        <w:rPr>
          <w:rFonts w:cs="Soberana Sans"/>
          <w:color w:val="000000"/>
          <w:lang w:eastAsia="es-MX"/>
        </w:rPr>
        <w:t xml:space="preserve"> el</w:t>
      </w:r>
      <w:r w:rsidRPr="003B3EAF">
        <w:rPr>
          <w:rFonts w:cs="Soberana Sans"/>
          <w:color w:val="000000"/>
          <w:lang w:eastAsia="es-MX"/>
        </w:rPr>
        <w:t xml:space="preserve"> CONEVAL durante el ejercicio 2015 y anteriores. Éstos serán implementados con diversas acciones comprometidas y deberán de presentar avance en los meses de septiembre de 2016 y marzo de 2017, de conformidad con el Mecanismo vigente.</w:t>
      </w:r>
    </w:p>
    <w:p w:rsidR="006A03A5" w:rsidRDefault="003B3EAF" w:rsidP="003B3EAF">
      <w:pPr>
        <w:pStyle w:val="Cdetexto"/>
        <w:rPr>
          <w:rFonts w:cs="Soberana Sans"/>
          <w:color w:val="000000"/>
          <w:lang w:eastAsia="es-MX"/>
        </w:rPr>
      </w:pPr>
      <w:r w:rsidRPr="003B3EAF">
        <w:rPr>
          <w:rFonts w:cs="Soberana Sans"/>
          <w:color w:val="000000"/>
          <w:lang w:eastAsia="es-MX"/>
        </w:rPr>
        <w:t>Los</w:t>
      </w:r>
      <w:r w:rsidR="00312FEA">
        <w:rPr>
          <w:rFonts w:cs="Soberana Sans"/>
          <w:color w:val="000000"/>
          <w:lang w:eastAsia="es-MX"/>
        </w:rPr>
        <w:t xml:space="preserve"> </w:t>
      </w:r>
      <w:r w:rsidRPr="003B3EAF">
        <w:rPr>
          <w:rFonts w:cs="Soberana Sans"/>
          <w:color w:val="000000"/>
          <w:lang w:eastAsia="es-MX"/>
        </w:rPr>
        <w:t>462</w:t>
      </w:r>
      <w:r w:rsidR="00312FEA">
        <w:rPr>
          <w:rFonts w:cs="Soberana Sans"/>
          <w:color w:val="000000"/>
          <w:lang w:eastAsia="es-MX"/>
        </w:rPr>
        <w:t xml:space="preserve"> </w:t>
      </w:r>
      <w:r w:rsidRPr="003B3EAF">
        <w:rPr>
          <w:rFonts w:cs="Soberana Sans"/>
          <w:color w:val="000000"/>
          <w:lang w:eastAsia="es-MX"/>
        </w:rPr>
        <w:t>ASM corresponden a 106 programas y acciones federales de 36 dependencias y entidades, y se distribuyen de la siguiente manera: 362 (78.4%) son del tipo específico, 97 (21.0%) corresponden al tipo institucional, dos (0.4%) son de carácter interinstitucional y uno (0.2%) corresponde al tipo intergubernamental.</w:t>
      </w:r>
    </w:p>
    <w:p w:rsidR="007300B7" w:rsidRDefault="007300B7" w:rsidP="003B3EAF">
      <w:pPr>
        <w:pStyle w:val="Cdetexto"/>
        <w:rPr>
          <w:rFonts w:cs="Soberana Sans"/>
          <w:color w:val="000000"/>
          <w:lang w:eastAsia="es-MX"/>
        </w:rPr>
      </w:pPr>
    </w:p>
    <w:tbl>
      <w:tblPr>
        <w:tblW w:w="8789" w:type="dxa"/>
        <w:jc w:val="center"/>
        <w:tblCellMar>
          <w:left w:w="70" w:type="dxa"/>
          <w:right w:w="70" w:type="dxa"/>
        </w:tblCellMar>
        <w:tblLook w:val="04A0" w:firstRow="1" w:lastRow="0" w:firstColumn="1" w:lastColumn="0" w:noHBand="0" w:noVBand="1"/>
      </w:tblPr>
      <w:tblGrid>
        <w:gridCol w:w="567"/>
        <w:gridCol w:w="1701"/>
        <w:gridCol w:w="789"/>
        <w:gridCol w:w="1196"/>
        <w:gridCol w:w="1276"/>
        <w:gridCol w:w="1445"/>
        <w:gridCol w:w="546"/>
        <w:gridCol w:w="1276"/>
      </w:tblGrid>
      <w:tr w:rsidR="00DD30A2" w:rsidRPr="00DD30A2" w:rsidTr="00DD30A2">
        <w:trPr>
          <w:trHeight w:val="315"/>
          <w:tblHeader/>
          <w:jc w:val="center"/>
        </w:trPr>
        <w:tc>
          <w:tcPr>
            <w:tcW w:w="8789" w:type="dxa"/>
            <w:gridSpan w:val="8"/>
            <w:tcBorders>
              <w:top w:val="nil"/>
              <w:left w:val="nil"/>
              <w:bottom w:val="nil"/>
              <w:right w:val="nil"/>
            </w:tcBorders>
            <w:shd w:val="clear" w:color="000000" w:fill="EAF1DD"/>
            <w:vAlign w:val="center"/>
            <w:hideMark/>
          </w:tcPr>
          <w:p w:rsidR="00DD30A2" w:rsidRPr="00DD30A2" w:rsidRDefault="00DD30A2" w:rsidP="00FC0929">
            <w:pPr>
              <w:spacing w:after="0"/>
              <w:jc w:val="center"/>
              <w:rPr>
                <w:rFonts w:eastAsia="Times New Roman"/>
                <w:color w:val="000000"/>
                <w:sz w:val="18"/>
                <w:szCs w:val="18"/>
                <w:lang w:val="es-MX" w:eastAsia="es-MX"/>
              </w:rPr>
            </w:pPr>
            <w:r>
              <w:rPr>
                <w:rFonts w:eastAsia="Times New Roman"/>
                <w:color w:val="000000"/>
                <w:sz w:val="18"/>
                <w:szCs w:val="18"/>
                <w:lang w:val="es-MX" w:eastAsia="es-MX"/>
              </w:rPr>
              <w:t>T</w:t>
            </w:r>
            <w:r w:rsidR="00F71297">
              <w:rPr>
                <w:rFonts w:eastAsia="Times New Roman"/>
                <w:color w:val="000000"/>
                <w:sz w:val="18"/>
                <w:szCs w:val="18"/>
                <w:lang w:val="es-MX" w:eastAsia="es-MX"/>
              </w:rPr>
              <w:t>abla 9</w:t>
            </w:r>
            <w:r w:rsidRPr="00DD30A2">
              <w:rPr>
                <w:rFonts w:eastAsia="Times New Roman"/>
                <w:color w:val="000000"/>
                <w:sz w:val="18"/>
                <w:szCs w:val="18"/>
                <w:lang w:val="es-MX" w:eastAsia="es-MX"/>
              </w:rPr>
              <w:t xml:space="preserve">. Tipo de ASM por Ramo y por dependencia o entidad </w:t>
            </w:r>
            <w:r w:rsidR="00FC0929">
              <w:rPr>
                <w:rFonts w:eastAsia="Times New Roman"/>
                <w:color w:val="000000"/>
                <w:sz w:val="18"/>
                <w:szCs w:val="18"/>
                <w:lang w:val="es-MX" w:eastAsia="es-MX"/>
              </w:rPr>
              <w:t>registrados</w:t>
            </w:r>
            <w:r w:rsidR="00940F6E" w:rsidRPr="00940F6E">
              <w:rPr>
                <w:rFonts w:eastAsia="Times New Roman"/>
                <w:color w:val="000000"/>
                <w:sz w:val="18"/>
                <w:szCs w:val="18"/>
                <w:lang w:val="es-MX" w:eastAsia="es-MX"/>
              </w:rPr>
              <w:t xml:space="preserve"> </w:t>
            </w:r>
            <w:r w:rsidRPr="00DD30A2">
              <w:rPr>
                <w:rFonts w:eastAsia="Times New Roman"/>
                <w:color w:val="000000"/>
                <w:sz w:val="18"/>
                <w:szCs w:val="18"/>
                <w:lang w:val="es-MX" w:eastAsia="es-MX"/>
              </w:rPr>
              <w:t>en abril de 2016</w:t>
            </w:r>
          </w:p>
        </w:tc>
      </w:tr>
      <w:tr w:rsidR="00DD30A2" w:rsidRPr="00DD30A2" w:rsidTr="00DD30A2">
        <w:trPr>
          <w:trHeight w:val="330"/>
          <w:tblHeader/>
          <w:jc w:val="center"/>
        </w:trPr>
        <w:tc>
          <w:tcPr>
            <w:tcW w:w="567"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Ramo</w:t>
            </w:r>
          </w:p>
        </w:tc>
        <w:tc>
          <w:tcPr>
            <w:tcW w:w="1701"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Dependencia o Entidad</w:t>
            </w:r>
          </w:p>
        </w:tc>
        <w:tc>
          <w:tcPr>
            <w:tcW w:w="789"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Específico</w:t>
            </w:r>
          </w:p>
        </w:tc>
        <w:tc>
          <w:tcPr>
            <w:tcW w:w="1196"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Institucional</w:t>
            </w:r>
          </w:p>
        </w:tc>
        <w:tc>
          <w:tcPr>
            <w:tcW w:w="1276"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Interinstitucional</w:t>
            </w:r>
          </w:p>
        </w:tc>
        <w:tc>
          <w:tcPr>
            <w:tcW w:w="1445"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Intergubernamental</w:t>
            </w:r>
          </w:p>
        </w:tc>
        <w:tc>
          <w:tcPr>
            <w:tcW w:w="539"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Total</w:t>
            </w:r>
          </w:p>
        </w:tc>
        <w:tc>
          <w:tcPr>
            <w:tcW w:w="1276"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del Total</w:t>
            </w:r>
          </w:p>
        </w:tc>
      </w:tr>
      <w:tr w:rsidR="00DD30A2" w:rsidRPr="00DD30A2" w:rsidTr="00DD30A2">
        <w:trPr>
          <w:trHeight w:val="330"/>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08 Agricultura, Ganadería, Desarrollo Rural, Pesca y Alimentación</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26</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26</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5.6</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ASERCA</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CONAPESCA</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SAGARPA</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18</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18</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SENASICA</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SIAP</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09 Comunicaciones y Transportes</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0.4</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SCT</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10 Economía</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13</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5</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18</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3.9</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INADEM</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PROM</w:t>
            </w:r>
            <w:r w:rsidR="00E01BD0" w:rsidRPr="005E6266">
              <w:rPr>
                <w:rFonts w:eastAsia="Times New Roman"/>
                <w:color w:val="000000"/>
                <w:sz w:val="14"/>
                <w:szCs w:val="14"/>
                <w:lang w:val="es-MX" w:eastAsia="es-MX"/>
              </w:rPr>
              <w:t>É</w:t>
            </w:r>
            <w:r w:rsidRPr="005E6266">
              <w:rPr>
                <w:rFonts w:eastAsia="Times New Roman"/>
                <w:color w:val="000000"/>
                <w:sz w:val="14"/>
                <w:szCs w:val="14"/>
                <w:lang w:val="es-MX" w:eastAsia="es-MX"/>
              </w:rPr>
              <w:t>XICO</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SE</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7</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11 Educación Pública</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162</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14</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176</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38.1</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SEP</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145</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159</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lastRenderedPageBreak/>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CONADE</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CONAFE</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15</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15</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12 Salud</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21</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21</w:t>
            </w:r>
          </w:p>
        </w:tc>
        <w:tc>
          <w:tcPr>
            <w:tcW w:w="1276" w:type="dxa"/>
            <w:tcBorders>
              <w:top w:val="nil"/>
              <w:left w:val="nil"/>
              <w:bottom w:val="nil"/>
              <w:right w:val="nil"/>
            </w:tcBorders>
            <w:shd w:val="clear" w:color="000000" w:fill="F2F2F2"/>
            <w:noWrap/>
            <w:vAlign w:val="center"/>
            <w:hideMark/>
          </w:tcPr>
          <w:p w:rsidR="00DD30A2" w:rsidRPr="005E6266" w:rsidRDefault="00940F6E"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4.5</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COFEPRIS</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SALUD</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20</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14 Trabajo y Previsión Social</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0.2</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STPS</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15 Desarrollo Agrario, Territorial y Urbano</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276" w:type="dxa"/>
            <w:tcBorders>
              <w:top w:val="nil"/>
              <w:left w:val="nil"/>
              <w:bottom w:val="nil"/>
              <w:right w:val="nil"/>
            </w:tcBorders>
            <w:shd w:val="clear" w:color="000000" w:fill="F2F2F2"/>
            <w:noWrap/>
            <w:vAlign w:val="center"/>
            <w:hideMark/>
          </w:tcPr>
          <w:p w:rsidR="00DD30A2" w:rsidRPr="005E6266" w:rsidRDefault="00940F6E"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0.6</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CONAVI</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SEDATU</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16 Medio Ambiente y Recursos Naturales</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38</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10</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50</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10.8</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CONAFOR</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22</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26</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CONAGUA</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IMTA</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INECC</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SEMARNAT</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11</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16</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19 Aportaciones a Seguridad Social</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0.4</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IMSS</w:t>
            </w:r>
            <w:r w:rsidR="00704966" w:rsidRPr="005E6266">
              <w:rPr>
                <w:rFonts w:eastAsia="Times New Roman"/>
                <w:color w:val="000000"/>
                <w:sz w:val="14"/>
                <w:szCs w:val="14"/>
                <w:lang w:val="es-MX" w:eastAsia="es-MX"/>
              </w:rPr>
              <w:t>-PROSPERA</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20 Desarrollo Social</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49</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51</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100</w:t>
            </w:r>
          </w:p>
        </w:tc>
        <w:tc>
          <w:tcPr>
            <w:tcW w:w="1276" w:type="dxa"/>
            <w:tcBorders>
              <w:top w:val="nil"/>
              <w:left w:val="nil"/>
              <w:bottom w:val="nil"/>
              <w:right w:val="nil"/>
            </w:tcBorders>
            <w:shd w:val="clear" w:color="000000" w:fill="F2F2F2"/>
            <w:noWrap/>
            <w:vAlign w:val="center"/>
            <w:hideMark/>
          </w:tcPr>
          <w:p w:rsidR="00DD30A2" w:rsidRPr="005E6266" w:rsidRDefault="00940F6E"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21.6</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CNP</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DICONSA</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6</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FONART</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IMJUVE</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5</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INAPAM</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INDESOL</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6</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9</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LICONSA</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SEDESOL</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36</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28</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64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21 Turismo</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0.9</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SECTUR</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38 Consejo Nacional de Ciencia y Tecnología</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19</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20</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4.3</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CONACYT</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19</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47 Entidades no Sectorizadas</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20</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22</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4.8</w:t>
            </w:r>
          </w:p>
        </w:tc>
      </w:tr>
      <w:tr w:rsidR="00DD30A2" w:rsidRPr="00DD30A2" w:rsidTr="00DD30A2">
        <w:trPr>
          <w:trHeight w:val="330"/>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CDI</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18</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30"/>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INMUJERES</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50 Instituto Mexicano del Seguro Social</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0.4</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IMSS</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nil"/>
              <w:right w:val="nil"/>
            </w:tcBorders>
            <w:shd w:val="clear" w:color="000000" w:fill="F2F2F2"/>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51 Instituto de Seguridad y Servicios Sociales de los Trabajadores del Estado</w:t>
            </w:r>
          </w:p>
        </w:tc>
        <w:tc>
          <w:tcPr>
            <w:tcW w:w="78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8</w:t>
            </w:r>
          </w:p>
        </w:tc>
        <w:tc>
          <w:tcPr>
            <w:tcW w:w="119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7</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15</w:t>
            </w:r>
          </w:p>
        </w:tc>
        <w:tc>
          <w:tcPr>
            <w:tcW w:w="1276" w:type="dxa"/>
            <w:tcBorders>
              <w:top w:val="nil"/>
              <w:left w:val="nil"/>
              <w:bottom w:val="nil"/>
              <w:right w:val="nil"/>
            </w:tcBorders>
            <w:shd w:val="clear" w:color="000000" w:fill="F2F2F2"/>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3.2</w:t>
            </w:r>
          </w:p>
        </w:tc>
      </w:tr>
      <w:tr w:rsidR="00DD30A2" w:rsidRPr="00DD30A2" w:rsidTr="00DD30A2">
        <w:trPr>
          <w:trHeight w:val="315"/>
          <w:jc w:val="center"/>
        </w:trPr>
        <w:tc>
          <w:tcPr>
            <w:tcW w:w="567"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lastRenderedPageBreak/>
              <w:t> </w:t>
            </w:r>
          </w:p>
        </w:tc>
        <w:tc>
          <w:tcPr>
            <w:tcW w:w="1701"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ISSSTE</w:t>
            </w:r>
          </w:p>
        </w:tc>
        <w:tc>
          <w:tcPr>
            <w:tcW w:w="7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8</w:t>
            </w:r>
          </w:p>
        </w:tc>
        <w:tc>
          <w:tcPr>
            <w:tcW w:w="119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7</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44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53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15</w:t>
            </w:r>
          </w:p>
        </w:tc>
        <w:tc>
          <w:tcPr>
            <w:tcW w:w="12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w:t>
            </w:r>
          </w:p>
        </w:tc>
      </w:tr>
      <w:tr w:rsidR="00DD30A2" w:rsidRPr="00DD30A2" w:rsidTr="00DD30A2">
        <w:trPr>
          <w:trHeight w:val="315"/>
          <w:jc w:val="center"/>
        </w:trPr>
        <w:tc>
          <w:tcPr>
            <w:tcW w:w="2268" w:type="dxa"/>
            <w:gridSpan w:val="2"/>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rPr>
                <w:rFonts w:eastAsia="Times New Roman"/>
                <w:b/>
                <w:bCs/>
                <w:color w:val="000000"/>
                <w:sz w:val="14"/>
                <w:szCs w:val="14"/>
                <w:lang w:val="es-MX" w:eastAsia="es-MX"/>
              </w:rPr>
            </w:pPr>
            <w:r w:rsidRPr="005E6266">
              <w:rPr>
                <w:rFonts w:eastAsia="Times New Roman"/>
                <w:b/>
                <w:bCs/>
                <w:color w:val="000000"/>
                <w:sz w:val="14"/>
                <w:szCs w:val="14"/>
                <w:lang w:val="es-MX" w:eastAsia="es-MX"/>
              </w:rPr>
              <w:t>Total</w:t>
            </w:r>
          </w:p>
        </w:tc>
        <w:tc>
          <w:tcPr>
            <w:tcW w:w="789"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362</w:t>
            </w:r>
          </w:p>
        </w:tc>
        <w:tc>
          <w:tcPr>
            <w:tcW w:w="1196"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97</w:t>
            </w:r>
          </w:p>
        </w:tc>
        <w:tc>
          <w:tcPr>
            <w:tcW w:w="1276"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2</w:t>
            </w:r>
          </w:p>
        </w:tc>
        <w:tc>
          <w:tcPr>
            <w:tcW w:w="1445"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1</w:t>
            </w:r>
          </w:p>
        </w:tc>
        <w:tc>
          <w:tcPr>
            <w:tcW w:w="539"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462</w:t>
            </w:r>
          </w:p>
        </w:tc>
        <w:tc>
          <w:tcPr>
            <w:tcW w:w="1276" w:type="dxa"/>
            <w:tcBorders>
              <w:top w:val="nil"/>
              <w:left w:val="nil"/>
              <w:bottom w:val="single" w:sz="12" w:space="0" w:color="auto"/>
              <w:right w:val="nil"/>
            </w:tcBorders>
            <w:shd w:val="clear" w:color="000000" w:fill="FFFFFF"/>
            <w:noWrap/>
            <w:vAlign w:val="center"/>
            <w:hideMark/>
          </w:tcPr>
          <w:p w:rsidR="00DD30A2" w:rsidRPr="005E6266" w:rsidRDefault="00940F6E"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100</w:t>
            </w:r>
            <w:r w:rsidR="00D170C7" w:rsidRPr="005E6266">
              <w:rPr>
                <w:rFonts w:eastAsia="Times New Roman"/>
                <w:b/>
                <w:bCs/>
                <w:color w:val="000000"/>
                <w:sz w:val="14"/>
                <w:szCs w:val="14"/>
                <w:lang w:val="es-MX" w:eastAsia="es-MX"/>
              </w:rPr>
              <w:t>.0</w:t>
            </w:r>
          </w:p>
        </w:tc>
      </w:tr>
      <w:tr w:rsidR="00DD30A2" w:rsidRPr="00DD30A2" w:rsidTr="00DD30A2">
        <w:trPr>
          <w:trHeight w:val="330"/>
          <w:jc w:val="center"/>
        </w:trPr>
        <w:tc>
          <w:tcPr>
            <w:tcW w:w="567" w:type="dxa"/>
            <w:tcBorders>
              <w:top w:val="single" w:sz="12" w:space="0" w:color="auto"/>
              <w:left w:val="nil"/>
              <w:bottom w:val="nil"/>
              <w:right w:val="nil"/>
            </w:tcBorders>
            <w:shd w:val="clear" w:color="000000" w:fill="FFFFFF"/>
            <w:noWrap/>
            <w:vAlign w:val="center"/>
            <w:hideMark/>
          </w:tcPr>
          <w:p w:rsidR="00DD30A2" w:rsidRPr="005E6266" w:rsidRDefault="00DD30A2" w:rsidP="00DD30A2">
            <w:pPr>
              <w:spacing w:after="0"/>
              <w:rPr>
                <w:rFonts w:eastAsia="Times New Roman"/>
                <w:b/>
                <w:bCs/>
                <w:color w:val="000000"/>
                <w:sz w:val="14"/>
                <w:szCs w:val="14"/>
                <w:lang w:val="es-MX" w:eastAsia="es-MX"/>
              </w:rPr>
            </w:pPr>
            <w:r w:rsidRPr="005E6266">
              <w:rPr>
                <w:rFonts w:eastAsia="Times New Roman"/>
                <w:b/>
                <w:bCs/>
                <w:color w:val="000000"/>
                <w:sz w:val="14"/>
                <w:szCs w:val="14"/>
                <w:lang w:val="es-MX" w:eastAsia="es-MX"/>
              </w:rPr>
              <w:t> </w:t>
            </w:r>
          </w:p>
        </w:tc>
        <w:tc>
          <w:tcPr>
            <w:tcW w:w="1701" w:type="dxa"/>
            <w:tcBorders>
              <w:top w:val="single" w:sz="12" w:space="0" w:color="auto"/>
              <w:left w:val="nil"/>
              <w:bottom w:val="nil"/>
              <w:right w:val="nil"/>
            </w:tcBorders>
            <w:shd w:val="clear" w:color="000000" w:fill="FFFFFF"/>
            <w:noWrap/>
            <w:vAlign w:val="center"/>
            <w:hideMark/>
          </w:tcPr>
          <w:p w:rsidR="00DD30A2" w:rsidRPr="005E6266" w:rsidRDefault="00DD30A2" w:rsidP="00DD30A2">
            <w:pPr>
              <w:spacing w:after="0"/>
              <w:rPr>
                <w:rFonts w:eastAsia="Times New Roman"/>
                <w:b/>
                <w:bCs/>
                <w:color w:val="000000"/>
                <w:sz w:val="14"/>
                <w:szCs w:val="14"/>
                <w:lang w:val="es-MX" w:eastAsia="es-MX"/>
              </w:rPr>
            </w:pPr>
            <w:r w:rsidRPr="005E6266">
              <w:rPr>
                <w:rFonts w:eastAsia="Times New Roman"/>
                <w:b/>
                <w:bCs/>
                <w:color w:val="000000"/>
                <w:sz w:val="14"/>
                <w:szCs w:val="14"/>
                <w:lang w:val="es-MX" w:eastAsia="es-MX"/>
              </w:rPr>
              <w:t>% del Total</w:t>
            </w:r>
          </w:p>
        </w:tc>
        <w:tc>
          <w:tcPr>
            <w:tcW w:w="789" w:type="dxa"/>
            <w:tcBorders>
              <w:top w:val="single" w:sz="12" w:space="0" w:color="auto"/>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78.4</w:t>
            </w:r>
          </w:p>
        </w:tc>
        <w:tc>
          <w:tcPr>
            <w:tcW w:w="1196" w:type="dxa"/>
            <w:tcBorders>
              <w:top w:val="single" w:sz="12" w:space="0" w:color="auto"/>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21.0</w:t>
            </w:r>
          </w:p>
        </w:tc>
        <w:tc>
          <w:tcPr>
            <w:tcW w:w="1276" w:type="dxa"/>
            <w:tcBorders>
              <w:top w:val="single" w:sz="12" w:space="0" w:color="auto"/>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0.4</w:t>
            </w:r>
          </w:p>
        </w:tc>
        <w:tc>
          <w:tcPr>
            <w:tcW w:w="1445" w:type="dxa"/>
            <w:tcBorders>
              <w:top w:val="single" w:sz="12" w:space="0" w:color="auto"/>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0.2</w:t>
            </w:r>
          </w:p>
        </w:tc>
        <w:tc>
          <w:tcPr>
            <w:tcW w:w="539" w:type="dxa"/>
            <w:tcBorders>
              <w:top w:val="single" w:sz="12" w:space="0" w:color="auto"/>
              <w:left w:val="nil"/>
              <w:bottom w:val="nil"/>
              <w:right w:val="nil"/>
            </w:tcBorders>
            <w:shd w:val="clear" w:color="000000" w:fill="FFFFFF"/>
            <w:noWrap/>
            <w:vAlign w:val="center"/>
            <w:hideMark/>
          </w:tcPr>
          <w:p w:rsidR="00DD30A2" w:rsidRPr="005E6266" w:rsidRDefault="00940F6E" w:rsidP="00940F6E">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100</w:t>
            </w:r>
            <w:r w:rsidR="00D170C7" w:rsidRPr="005E6266">
              <w:rPr>
                <w:rFonts w:eastAsia="Times New Roman"/>
                <w:b/>
                <w:bCs/>
                <w:color w:val="000000"/>
                <w:sz w:val="14"/>
                <w:szCs w:val="14"/>
                <w:lang w:val="es-MX" w:eastAsia="es-MX"/>
              </w:rPr>
              <w:t>.0</w:t>
            </w:r>
          </w:p>
        </w:tc>
        <w:tc>
          <w:tcPr>
            <w:tcW w:w="1276" w:type="dxa"/>
            <w:tcBorders>
              <w:top w:val="single" w:sz="12" w:space="0" w:color="auto"/>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 </w:t>
            </w:r>
          </w:p>
        </w:tc>
      </w:tr>
      <w:tr w:rsidR="00DD30A2" w:rsidRPr="00DD30A2" w:rsidTr="00504083">
        <w:trPr>
          <w:trHeight w:val="330"/>
          <w:jc w:val="center"/>
        </w:trPr>
        <w:tc>
          <w:tcPr>
            <w:tcW w:w="8789" w:type="dxa"/>
            <w:gridSpan w:val="8"/>
            <w:tcBorders>
              <w:top w:val="single" w:sz="12" w:space="0" w:color="auto"/>
              <w:left w:val="nil"/>
              <w:bottom w:val="nil"/>
              <w:right w:val="nil"/>
            </w:tcBorders>
            <w:shd w:val="clear" w:color="000000" w:fill="FFFFFF"/>
            <w:noWrap/>
            <w:vAlign w:val="center"/>
            <w:hideMark/>
          </w:tcPr>
          <w:p w:rsidR="00DD30A2" w:rsidRDefault="00DD30A2" w:rsidP="00DD30A2">
            <w:pPr>
              <w:spacing w:after="0"/>
              <w:rPr>
                <w:rFonts w:eastAsia="Times New Roman"/>
                <w:color w:val="000000"/>
                <w:sz w:val="12"/>
                <w:szCs w:val="12"/>
                <w:lang w:val="es-MX" w:eastAsia="es-MX"/>
              </w:rPr>
            </w:pPr>
            <w:r w:rsidRPr="00DD30A2">
              <w:rPr>
                <w:rFonts w:eastAsia="Times New Roman"/>
                <w:color w:val="000000"/>
                <w:sz w:val="12"/>
                <w:szCs w:val="12"/>
                <w:lang w:val="es-MX" w:eastAsia="es-MX"/>
              </w:rPr>
              <w:t>Fuente: Unidad de Evaluación del Desempeño con Información proporcionada por el CONEVAL.</w:t>
            </w:r>
          </w:p>
          <w:p w:rsidR="00D170C7" w:rsidRPr="00DD30A2" w:rsidRDefault="00D170C7" w:rsidP="00DD30A2">
            <w:pPr>
              <w:spacing w:after="0"/>
              <w:rPr>
                <w:rFonts w:eastAsia="Times New Roman"/>
                <w:color w:val="000000"/>
                <w:sz w:val="12"/>
                <w:szCs w:val="12"/>
                <w:lang w:val="es-MX" w:eastAsia="es-MX"/>
              </w:rPr>
            </w:pPr>
            <w:r w:rsidRPr="00F7007C">
              <w:rPr>
                <w:rFonts w:eastAsia="Times New Roman"/>
                <w:color w:val="000000"/>
                <w:sz w:val="12"/>
                <w:szCs w:val="12"/>
                <w:lang w:val="es-MX" w:eastAsia="es-MX"/>
              </w:rPr>
              <w:t>Nota: La suma del porcentaje total puede no coincidir por efectos de redondeo.</w:t>
            </w:r>
          </w:p>
        </w:tc>
      </w:tr>
    </w:tbl>
    <w:p w:rsidR="00DD30A2" w:rsidRDefault="00DD30A2" w:rsidP="00DD30A2">
      <w:pPr>
        <w:jc w:val="both"/>
        <w:rPr>
          <w:color w:val="FF0000"/>
          <w:lang w:val="es-MX"/>
        </w:rPr>
      </w:pPr>
    </w:p>
    <w:p w:rsidR="006A03A5" w:rsidRDefault="00DD30A2" w:rsidP="00DD30A2">
      <w:pPr>
        <w:pStyle w:val="Cdetexto"/>
        <w:rPr>
          <w:rFonts w:cs="Soberana Sans"/>
          <w:color w:val="000000"/>
          <w:lang w:eastAsia="es-MX"/>
        </w:rPr>
      </w:pPr>
      <w:r w:rsidRPr="00DD30A2">
        <w:rPr>
          <w:rFonts w:cs="Soberana Sans"/>
          <w:color w:val="000000"/>
          <w:lang w:eastAsia="es-MX"/>
        </w:rPr>
        <w:t>Es importante destacar que la mayoría (78.4%) de los ASM se concentran en aspectos clasificados como específicos.</w:t>
      </w:r>
    </w:p>
    <w:p w:rsidR="00DD30A2" w:rsidRDefault="00DD30A2" w:rsidP="00DD30A2">
      <w:pPr>
        <w:pStyle w:val="Cdetexto"/>
        <w:rPr>
          <w:rFonts w:cs="Soberana Sans"/>
          <w:color w:val="000000"/>
          <w:lang w:eastAsia="es-MX"/>
        </w:rPr>
      </w:pPr>
    </w:p>
    <w:p w:rsidR="00DD30A2" w:rsidRDefault="00DD30A2" w:rsidP="00DD30A2">
      <w:pPr>
        <w:pStyle w:val="Cdetexto"/>
        <w:jc w:val="center"/>
        <w:rPr>
          <w:rFonts w:cs="Soberana Sans"/>
          <w:color w:val="000000"/>
          <w:lang w:eastAsia="es-MX"/>
        </w:rPr>
      </w:pPr>
      <w:r>
        <w:rPr>
          <w:noProof/>
          <w:lang w:val="es-MX" w:eastAsia="es-MX"/>
        </w:rPr>
        <w:drawing>
          <wp:inline distT="0" distB="0" distL="0" distR="0" wp14:anchorId="5E8F044C" wp14:editId="2FA4CE13">
            <wp:extent cx="4772025" cy="3124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D30A2" w:rsidRDefault="00DD30A2" w:rsidP="00DD30A2">
      <w:pPr>
        <w:jc w:val="both"/>
        <w:rPr>
          <w:rFonts w:eastAsia="Times New Roman" w:cs="Arial"/>
          <w:szCs w:val="20"/>
          <w:lang w:val="es-ES"/>
        </w:rPr>
      </w:pPr>
      <w:r w:rsidRPr="00DD30A2">
        <w:rPr>
          <w:rFonts w:eastAsia="Times New Roman" w:cs="Arial"/>
          <w:szCs w:val="20"/>
          <w:lang w:val="es-ES"/>
        </w:rPr>
        <w:t xml:space="preserve">De acuerdo al tipo de evaluación que dio origen a los ASM suscritos por las dependencias y entidades reportados en este trimestre, se identifican principalmente los siguientes tipos: Diseño con 204 </w:t>
      </w:r>
      <w:r w:rsidR="005C6935">
        <w:rPr>
          <w:rFonts w:eastAsia="Times New Roman" w:cs="Arial"/>
          <w:szCs w:val="20"/>
          <w:lang w:val="es-ES"/>
        </w:rPr>
        <w:t xml:space="preserve">ASM </w:t>
      </w:r>
      <w:r w:rsidRPr="00DD30A2">
        <w:rPr>
          <w:rFonts w:eastAsia="Times New Roman" w:cs="Arial"/>
          <w:szCs w:val="20"/>
          <w:lang w:val="es-ES"/>
        </w:rPr>
        <w:t xml:space="preserve">(44.2%), Específica de Desempeño con 122 </w:t>
      </w:r>
      <w:r w:rsidR="005C6935">
        <w:rPr>
          <w:rFonts w:eastAsia="Times New Roman" w:cs="Arial"/>
          <w:szCs w:val="20"/>
          <w:lang w:val="es-ES"/>
        </w:rPr>
        <w:t xml:space="preserve">ASM </w:t>
      </w:r>
      <w:r w:rsidRPr="00DD30A2">
        <w:rPr>
          <w:rFonts w:eastAsia="Times New Roman" w:cs="Arial"/>
          <w:szCs w:val="20"/>
          <w:lang w:val="es-ES"/>
        </w:rPr>
        <w:t>(26.4%) y Procesos con 40 (8.7%) ASM suscritos. Es importante destacar que 63 (13.6%) se suscribieron a partir de Otros Informes Externos, esencialmente de Fichas de Monitoreo y Evaluación.</w:t>
      </w:r>
    </w:p>
    <w:p w:rsidR="00DD30A2" w:rsidRPr="00DD30A2" w:rsidRDefault="00DD30A2" w:rsidP="00DD30A2">
      <w:pPr>
        <w:jc w:val="both"/>
        <w:rPr>
          <w:rFonts w:eastAsia="Times New Roman" w:cs="Arial"/>
          <w:szCs w:val="20"/>
          <w:lang w:val="es-ES"/>
        </w:rPr>
      </w:pPr>
    </w:p>
    <w:tbl>
      <w:tblPr>
        <w:tblW w:w="8560" w:type="dxa"/>
        <w:jc w:val="center"/>
        <w:tblCellMar>
          <w:left w:w="70" w:type="dxa"/>
          <w:right w:w="70" w:type="dxa"/>
        </w:tblCellMar>
        <w:tblLook w:val="04A0" w:firstRow="1" w:lastRow="0" w:firstColumn="1" w:lastColumn="0" w:noHBand="0" w:noVBand="1"/>
      </w:tblPr>
      <w:tblGrid>
        <w:gridCol w:w="3097"/>
        <w:gridCol w:w="857"/>
        <w:gridCol w:w="1085"/>
        <w:gridCol w:w="1244"/>
        <w:gridCol w:w="1445"/>
        <w:gridCol w:w="492"/>
        <w:gridCol w:w="786"/>
      </w:tblGrid>
      <w:tr w:rsidR="00DD30A2" w:rsidRPr="00DD30A2" w:rsidTr="00F71297">
        <w:trPr>
          <w:trHeight w:val="412"/>
          <w:tblHeader/>
          <w:jc w:val="center"/>
        </w:trPr>
        <w:tc>
          <w:tcPr>
            <w:tcW w:w="8560" w:type="dxa"/>
            <w:gridSpan w:val="7"/>
            <w:tcBorders>
              <w:top w:val="nil"/>
              <w:left w:val="nil"/>
              <w:bottom w:val="nil"/>
              <w:right w:val="nil"/>
            </w:tcBorders>
            <w:shd w:val="clear" w:color="000000" w:fill="EAF1DD"/>
            <w:noWrap/>
            <w:vAlign w:val="center"/>
            <w:hideMark/>
          </w:tcPr>
          <w:p w:rsidR="00DD30A2" w:rsidRPr="00DD30A2" w:rsidRDefault="00F71297" w:rsidP="00D170C7">
            <w:pPr>
              <w:spacing w:after="0"/>
              <w:jc w:val="center"/>
              <w:rPr>
                <w:rFonts w:eastAsia="Times New Roman"/>
                <w:color w:val="000000"/>
                <w:sz w:val="18"/>
                <w:szCs w:val="18"/>
                <w:lang w:val="es-MX" w:eastAsia="es-MX"/>
              </w:rPr>
            </w:pPr>
            <w:r>
              <w:rPr>
                <w:rFonts w:eastAsia="Times New Roman"/>
                <w:color w:val="000000"/>
                <w:sz w:val="18"/>
                <w:szCs w:val="18"/>
                <w:lang w:val="es-MX" w:eastAsia="es-MX"/>
              </w:rPr>
              <w:t>Tabla 10</w:t>
            </w:r>
            <w:r w:rsidR="00DD30A2" w:rsidRPr="00DD30A2">
              <w:rPr>
                <w:rFonts w:eastAsia="Times New Roman"/>
                <w:color w:val="000000"/>
                <w:sz w:val="18"/>
                <w:szCs w:val="18"/>
                <w:lang w:val="es-MX" w:eastAsia="es-MX"/>
              </w:rPr>
              <w:t xml:space="preserve">. Cantidad de ASM por tipo de evaluación al </w:t>
            </w:r>
            <w:r w:rsidR="00D170C7">
              <w:rPr>
                <w:rFonts w:eastAsia="Times New Roman"/>
                <w:color w:val="000000"/>
                <w:sz w:val="18"/>
                <w:szCs w:val="18"/>
                <w:lang w:val="es-MX" w:eastAsia="es-MX"/>
              </w:rPr>
              <w:t>segundo</w:t>
            </w:r>
            <w:r w:rsidR="00D170C7" w:rsidRPr="00DD30A2">
              <w:rPr>
                <w:rFonts w:eastAsia="Times New Roman"/>
                <w:color w:val="000000"/>
                <w:sz w:val="18"/>
                <w:szCs w:val="18"/>
                <w:lang w:val="es-MX" w:eastAsia="es-MX"/>
              </w:rPr>
              <w:t xml:space="preserve"> </w:t>
            </w:r>
            <w:r w:rsidR="00DD30A2" w:rsidRPr="00DD30A2">
              <w:rPr>
                <w:rFonts w:eastAsia="Times New Roman"/>
                <w:color w:val="000000"/>
                <w:sz w:val="18"/>
                <w:szCs w:val="18"/>
                <w:lang w:val="es-MX" w:eastAsia="es-MX"/>
              </w:rPr>
              <w:t>trimestre de 2016</w:t>
            </w:r>
          </w:p>
        </w:tc>
      </w:tr>
      <w:tr w:rsidR="00DD30A2" w:rsidRPr="00DD30A2" w:rsidTr="00F71297">
        <w:trPr>
          <w:trHeight w:val="432"/>
          <w:tblHeader/>
          <w:jc w:val="center"/>
        </w:trPr>
        <w:tc>
          <w:tcPr>
            <w:tcW w:w="3097"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Tipo de evaluación (Fuente de información)</w:t>
            </w:r>
          </w:p>
        </w:tc>
        <w:tc>
          <w:tcPr>
            <w:tcW w:w="758"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Específicos</w:t>
            </w:r>
          </w:p>
        </w:tc>
        <w:tc>
          <w:tcPr>
            <w:tcW w:w="989"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Institucionales</w:t>
            </w:r>
          </w:p>
        </w:tc>
        <w:tc>
          <w:tcPr>
            <w:tcW w:w="1151"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Interinstitucional</w:t>
            </w:r>
          </w:p>
        </w:tc>
        <w:tc>
          <w:tcPr>
            <w:tcW w:w="1355"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Intergubernamental</w:t>
            </w:r>
          </w:p>
        </w:tc>
        <w:tc>
          <w:tcPr>
            <w:tcW w:w="421"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Total</w:t>
            </w:r>
          </w:p>
        </w:tc>
        <w:tc>
          <w:tcPr>
            <w:tcW w:w="786"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 del Total</w:t>
            </w:r>
          </w:p>
        </w:tc>
      </w:tr>
      <w:tr w:rsidR="00DD30A2" w:rsidRPr="00DD30A2" w:rsidTr="00F71297">
        <w:trPr>
          <w:trHeight w:val="412"/>
          <w:jc w:val="center"/>
        </w:trPr>
        <w:tc>
          <w:tcPr>
            <w:tcW w:w="3097" w:type="dxa"/>
            <w:tcBorders>
              <w:top w:val="nil"/>
              <w:left w:val="nil"/>
              <w:bottom w:val="nil"/>
              <w:right w:val="nil"/>
            </w:tcBorders>
            <w:shd w:val="clear" w:color="000000" w:fill="FFFFFF"/>
            <w:noWrap/>
            <w:vAlign w:val="center"/>
            <w:hideMark/>
          </w:tcPr>
          <w:p w:rsidR="00DD30A2" w:rsidRPr="005E6266" w:rsidRDefault="00DD30A2" w:rsidP="00DD30A2">
            <w:pPr>
              <w:spacing w:after="0"/>
              <w:jc w:val="both"/>
              <w:rPr>
                <w:rFonts w:eastAsia="Times New Roman"/>
                <w:color w:val="000000"/>
                <w:sz w:val="14"/>
                <w:szCs w:val="14"/>
                <w:lang w:val="es-MX" w:eastAsia="es-MX"/>
              </w:rPr>
            </w:pPr>
            <w:r w:rsidRPr="005E6266">
              <w:rPr>
                <w:rFonts w:eastAsia="Times New Roman"/>
                <w:color w:val="000000"/>
                <w:sz w:val="14"/>
                <w:szCs w:val="14"/>
                <w:lang w:val="es-MX" w:eastAsia="es-MX"/>
              </w:rPr>
              <w:t>Evaluación de Diseño</w:t>
            </w:r>
          </w:p>
        </w:tc>
        <w:tc>
          <w:tcPr>
            <w:tcW w:w="758"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169</w:t>
            </w:r>
          </w:p>
        </w:tc>
        <w:tc>
          <w:tcPr>
            <w:tcW w:w="9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35</w:t>
            </w:r>
          </w:p>
        </w:tc>
        <w:tc>
          <w:tcPr>
            <w:tcW w:w="115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35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42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204</w:t>
            </w:r>
          </w:p>
        </w:tc>
        <w:tc>
          <w:tcPr>
            <w:tcW w:w="78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44.2</w:t>
            </w:r>
          </w:p>
        </w:tc>
      </w:tr>
      <w:tr w:rsidR="00DD30A2" w:rsidRPr="00DD30A2" w:rsidTr="00F71297">
        <w:trPr>
          <w:trHeight w:val="412"/>
          <w:jc w:val="center"/>
        </w:trPr>
        <w:tc>
          <w:tcPr>
            <w:tcW w:w="3097" w:type="dxa"/>
            <w:tcBorders>
              <w:top w:val="nil"/>
              <w:left w:val="nil"/>
              <w:bottom w:val="nil"/>
              <w:right w:val="nil"/>
            </w:tcBorders>
            <w:shd w:val="clear" w:color="000000" w:fill="FFFFFF"/>
            <w:noWrap/>
            <w:vAlign w:val="center"/>
            <w:hideMark/>
          </w:tcPr>
          <w:p w:rsidR="00DD30A2" w:rsidRPr="005E6266" w:rsidRDefault="00DD30A2" w:rsidP="00DD30A2">
            <w:pPr>
              <w:spacing w:after="0"/>
              <w:jc w:val="both"/>
              <w:rPr>
                <w:rFonts w:eastAsia="Times New Roman"/>
                <w:color w:val="000000"/>
                <w:sz w:val="14"/>
                <w:szCs w:val="14"/>
                <w:lang w:val="es-MX" w:eastAsia="es-MX"/>
              </w:rPr>
            </w:pPr>
            <w:r w:rsidRPr="005E6266">
              <w:rPr>
                <w:rFonts w:eastAsia="Times New Roman"/>
                <w:color w:val="000000"/>
                <w:sz w:val="14"/>
                <w:szCs w:val="14"/>
                <w:lang w:val="es-MX" w:eastAsia="es-MX"/>
              </w:rPr>
              <w:t>Evaluación Específica de Desempeño</w:t>
            </w:r>
          </w:p>
        </w:tc>
        <w:tc>
          <w:tcPr>
            <w:tcW w:w="758"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90</w:t>
            </w:r>
          </w:p>
        </w:tc>
        <w:tc>
          <w:tcPr>
            <w:tcW w:w="9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30</w:t>
            </w:r>
          </w:p>
        </w:tc>
        <w:tc>
          <w:tcPr>
            <w:tcW w:w="115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35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42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122</w:t>
            </w:r>
          </w:p>
        </w:tc>
        <w:tc>
          <w:tcPr>
            <w:tcW w:w="78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26.4</w:t>
            </w:r>
          </w:p>
        </w:tc>
      </w:tr>
      <w:tr w:rsidR="00DD30A2" w:rsidRPr="00DD30A2" w:rsidTr="00F71297">
        <w:trPr>
          <w:trHeight w:val="412"/>
          <w:jc w:val="center"/>
        </w:trPr>
        <w:tc>
          <w:tcPr>
            <w:tcW w:w="3097" w:type="dxa"/>
            <w:tcBorders>
              <w:top w:val="nil"/>
              <w:left w:val="nil"/>
              <w:bottom w:val="nil"/>
              <w:right w:val="nil"/>
            </w:tcBorders>
            <w:shd w:val="clear" w:color="000000" w:fill="FFFFFF"/>
            <w:noWrap/>
            <w:vAlign w:val="center"/>
            <w:hideMark/>
          </w:tcPr>
          <w:p w:rsidR="00DD30A2" w:rsidRPr="005E6266" w:rsidRDefault="00DD30A2" w:rsidP="00DD30A2">
            <w:pPr>
              <w:spacing w:after="0"/>
              <w:jc w:val="both"/>
              <w:rPr>
                <w:rFonts w:eastAsia="Times New Roman"/>
                <w:color w:val="000000"/>
                <w:sz w:val="14"/>
                <w:szCs w:val="14"/>
                <w:lang w:val="es-MX" w:eastAsia="es-MX"/>
              </w:rPr>
            </w:pPr>
            <w:r w:rsidRPr="005E6266">
              <w:rPr>
                <w:rFonts w:eastAsia="Times New Roman"/>
                <w:color w:val="000000"/>
                <w:sz w:val="14"/>
                <w:szCs w:val="14"/>
                <w:lang w:val="es-MX" w:eastAsia="es-MX"/>
              </w:rPr>
              <w:t>Evaluación de Procesos</w:t>
            </w:r>
          </w:p>
        </w:tc>
        <w:tc>
          <w:tcPr>
            <w:tcW w:w="758"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25</w:t>
            </w:r>
          </w:p>
        </w:tc>
        <w:tc>
          <w:tcPr>
            <w:tcW w:w="9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15</w:t>
            </w:r>
          </w:p>
        </w:tc>
        <w:tc>
          <w:tcPr>
            <w:tcW w:w="115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35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42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40</w:t>
            </w:r>
          </w:p>
        </w:tc>
        <w:tc>
          <w:tcPr>
            <w:tcW w:w="78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8.7</w:t>
            </w:r>
          </w:p>
        </w:tc>
      </w:tr>
      <w:tr w:rsidR="00DD30A2" w:rsidRPr="00DD30A2" w:rsidTr="00F71297">
        <w:trPr>
          <w:trHeight w:val="412"/>
          <w:jc w:val="center"/>
        </w:trPr>
        <w:tc>
          <w:tcPr>
            <w:tcW w:w="3097" w:type="dxa"/>
            <w:tcBorders>
              <w:top w:val="nil"/>
              <w:left w:val="nil"/>
              <w:bottom w:val="nil"/>
              <w:right w:val="nil"/>
            </w:tcBorders>
            <w:shd w:val="clear" w:color="000000" w:fill="FFFFFF"/>
            <w:noWrap/>
            <w:vAlign w:val="center"/>
            <w:hideMark/>
          </w:tcPr>
          <w:p w:rsidR="00DD30A2" w:rsidRPr="005E6266" w:rsidRDefault="00DD30A2" w:rsidP="00DD30A2">
            <w:pPr>
              <w:spacing w:after="0"/>
              <w:jc w:val="both"/>
              <w:rPr>
                <w:rFonts w:eastAsia="Times New Roman"/>
                <w:color w:val="000000"/>
                <w:sz w:val="14"/>
                <w:szCs w:val="14"/>
                <w:lang w:val="es-MX" w:eastAsia="es-MX"/>
              </w:rPr>
            </w:pPr>
            <w:r w:rsidRPr="005E6266">
              <w:rPr>
                <w:rFonts w:eastAsia="Times New Roman"/>
                <w:color w:val="000000"/>
                <w:sz w:val="14"/>
                <w:szCs w:val="14"/>
                <w:lang w:val="es-MX" w:eastAsia="es-MX"/>
              </w:rPr>
              <w:t>Evaluación de Consistencia y Resultados</w:t>
            </w:r>
          </w:p>
        </w:tc>
        <w:tc>
          <w:tcPr>
            <w:tcW w:w="758"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12</w:t>
            </w:r>
          </w:p>
        </w:tc>
        <w:tc>
          <w:tcPr>
            <w:tcW w:w="9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w:t>
            </w:r>
          </w:p>
        </w:tc>
        <w:tc>
          <w:tcPr>
            <w:tcW w:w="115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35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42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16</w:t>
            </w:r>
          </w:p>
        </w:tc>
        <w:tc>
          <w:tcPr>
            <w:tcW w:w="78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3.5</w:t>
            </w:r>
          </w:p>
        </w:tc>
      </w:tr>
      <w:tr w:rsidR="00DD30A2" w:rsidRPr="00DD30A2" w:rsidTr="00F71297">
        <w:trPr>
          <w:trHeight w:val="412"/>
          <w:jc w:val="center"/>
        </w:trPr>
        <w:tc>
          <w:tcPr>
            <w:tcW w:w="3097" w:type="dxa"/>
            <w:tcBorders>
              <w:top w:val="nil"/>
              <w:left w:val="nil"/>
              <w:bottom w:val="nil"/>
              <w:right w:val="nil"/>
            </w:tcBorders>
            <w:shd w:val="clear" w:color="000000" w:fill="FFFFFF"/>
            <w:noWrap/>
            <w:vAlign w:val="center"/>
            <w:hideMark/>
          </w:tcPr>
          <w:p w:rsidR="00DD30A2" w:rsidRPr="005E6266" w:rsidRDefault="00DD30A2" w:rsidP="00DD30A2">
            <w:pPr>
              <w:spacing w:after="0"/>
              <w:jc w:val="both"/>
              <w:rPr>
                <w:rFonts w:eastAsia="Times New Roman"/>
                <w:color w:val="000000"/>
                <w:sz w:val="14"/>
                <w:szCs w:val="14"/>
                <w:lang w:val="es-MX" w:eastAsia="es-MX"/>
              </w:rPr>
            </w:pPr>
            <w:r w:rsidRPr="005E6266">
              <w:rPr>
                <w:rFonts w:eastAsia="Times New Roman"/>
                <w:color w:val="000000"/>
                <w:sz w:val="14"/>
                <w:szCs w:val="14"/>
                <w:lang w:val="es-MX" w:eastAsia="es-MX"/>
              </w:rPr>
              <w:lastRenderedPageBreak/>
              <w:t>Evaluación Complementaria</w:t>
            </w:r>
          </w:p>
        </w:tc>
        <w:tc>
          <w:tcPr>
            <w:tcW w:w="758"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14</w:t>
            </w:r>
          </w:p>
        </w:tc>
        <w:tc>
          <w:tcPr>
            <w:tcW w:w="9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15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35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42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15</w:t>
            </w:r>
          </w:p>
        </w:tc>
        <w:tc>
          <w:tcPr>
            <w:tcW w:w="78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3.2</w:t>
            </w:r>
          </w:p>
        </w:tc>
      </w:tr>
      <w:tr w:rsidR="00DD30A2" w:rsidRPr="00DD30A2" w:rsidTr="00F71297">
        <w:trPr>
          <w:trHeight w:val="412"/>
          <w:jc w:val="center"/>
        </w:trPr>
        <w:tc>
          <w:tcPr>
            <w:tcW w:w="3097" w:type="dxa"/>
            <w:tcBorders>
              <w:top w:val="nil"/>
              <w:left w:val="nil"/>
              <w:bottom w:val="nil"/>
              <w:right w:val="nil"/>
            </w:tcBorders>
            <w:shd w:val="clear" w:color="000000" w:fill="FFFFFF"/>
            <w:noWrap/>
            <w:vAlign w:val="center"/>
            <w:hideMark/>
          </w:tcPr>
          <w:p w:rsidR="00DD30A2" w:rsidRPr="005E6266" w:rsidRDefault="00DD30A2" w:rsidP="00DD30A2">
            <w:pPr>
              <w:spacing w:after="0"/>
              <w:jc w:val="both"/>
              <w:rPr>
                <w:rFonts w:eastAsia="Times New Roman"/>
                <w:color w:val="000000"/>
                <w:sz w:val="14"/>
                <w:szCs w:val="14"/>
                <w:lang w:val="es-MX" w:eastAsia="es-MX"/>
              </w:rPr>
            </w:pPr>
            <w:r w:rsidRPr="005E6266">
              <w:rPr>
                <w:rFonts w:eastAsia="Times New Roman"/>
                <w:color w:val="000000"/>
                <w:sz w:val="14"/>
                <w:szCs w:val="14"/>
                <w:lang w:val="es-MX" w:eastAsia="es-MX"/>
              </w:rPr>
              <w:t>Evaluación Costo - Efectividad</w:t>
            </w:r>
          </w:p>
        </w:tc>
        <w:tc>
          <w:tcPr>
            <w:tcW w:w="758"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9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15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35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42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78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0.2</w:t>
            </w:r>
          </w:p>
        </w:tc>
      </w:tr>
      <w:tr w:rsidR="00DD30A2" w:rsidRPr="00DD30A2" w:rsidTr="00F71297">
        <w:trPr>
          <w:trHeight w:val="412"/>
          <w:jc w:val="center"/>
        </w:trPr>
        <w:tc>
          <w:tcPr>
            <w:tcW w:w="3097" w:type="dxa"/>
            <w:tcBorders>
              <w:top w:val="nil"/>
              <w:left w:val="nil"/>
              <w:bottom w:val="nil"/>
              <w:right w:val="nil"/>
            </w:tcBorders>
            <w:shd w:val="clear" w:color="000000" w:fill="FFFFFF"/>
            <w:noWrap/>
            <w:vAlign w:val="center"/>
            <w:hideMark/>
          </w:tcPr>
          <w:p w:rsidR="00DD30A2" w:rsidRPr="005E6266" w:rsidRDefault="00DD30A2" w:rsidP="00DD30A2">
            <w:pPr>
              <w:spacing w:after="0"/>
              <w:jc w:val="both"/>
              <w:rPr>
                <w:rFonts w:eastAsia="Times New Roman"/>
                <w:color w:val="000000"/>
                <w:sz w:val="14"/>
                <w:szCs w:val="14"/>
                <w:lang w:val="es-MX" w:eastAsia="es-MX"/>
              </w:rPr>
            </w:pPr>
            <w:r w:rsidRPr="005E6266">
              <w:rPr>
                <w:rFonts w:eastAsia="Times New Roman"/>
                <w:color w:val="000000"/>
                <w:sz w:val="14"/>
                <w:szCs w:val="14"/>
                <w:lang w:val="es-MX" w:eastAsia="es-MX"/>
              </w:rPr>
              <w:t>Evaluación de Impacto</w:t>
            </w:r>
          </w:p>
        </w:tc>
        <w:tc>
          <w:tcPr>
            <w:tcW w:w="758"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9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15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35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42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78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0.2</w:t>
            </w:r>
          </w:p>
        </w:tc>
      </w:tr>
      <w:tr w:rsidR="00DD30A2" w:rsidRPr="00DD30A2" w:rsidTr="00F71297">
        <w:trPr>
          <w:trHeight w:val="412"/>
          <w:jc w:val="center"/>
        </w:trPr>
        <w:tc>
          <w:tcPr>
            <w:tcW w:w="3097" w:type="dxa"/>
            <w:tcBorders>
              <w:top w:val="nil"/>
              <w:left w:val="nil"/>
              <w:bottom w:val="nil"/>
              <w:right w:val="nil"/>
            </w:tcBorders>
            <w:shd w:val="clear" w:color="000000" w:fill="FFFFFF"/>
            <w:noWrap/>
            <w:vAlign w:val="center"/>
            <w:hideMark/>
          </w:tcPr>
          <w:p w:rsidR="00DD30A2" w:rsidRPr="005E6266" w:rsidRDefault="00DD30A2" w:rsidP="00DD30A2">
            <w:pPr>
              <w:spacing w:after="0"/>
              <w:jc w:val="both"/>
              <w:rPr>
                <w:rFonts w:eastAsia="Times New Roman"/>
                <w:color w:val="000000"/>
                <w:sz w:val="14"/>
                <w:szCs w:val="14"/>
                <w:lang w:val="es-MX" w:eastAsia="es-MX"/>
              </w:rPr>
            </w:pPr>
            <w:r w:rsidRPr="005E6266">
              <w:rPr>
                <w:rFonts w:eastAsia="Times New Roman"/>
                <w:color w:val="000000"/>
                <w:sz w:val="14"/>
                <w:szCs w:val="14"/>
                <w:lang w:val="es-MX" w:eastAsia="es-MX"/>
              </w:rPr>
              <w:t>Otros Informes Externos (Ficha de Monitoreo)</w:t>
            </w:r>
          </w:p>
        </w:tc>
        <w:tc>
          <w:tcPr>
            <w:tcW w:w="758"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51</w:t>
            </w:r>
          </w:p>
        </w:tc>
        <w:tc>
          <w:tcPr>
            <w:tcW w:w="98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12</w:t>
            </w:r>
          </w:p>
        </w:tc>
        <w:tc>
          <w:tcPr>
            <w:tcW w:w="115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355"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42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63</w:t>
            </w:r>
          </w:p>
        </w:tc>
        <w:tc>
          <w:tcPr>
            <w:tcW w:w="78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13.6</w:t>
            </w:r>
          </w:p>
        </w:tc>
      </w:tr>
      <w:tr w:rsidR="00DD30A2" w:rsidRPr="00DD30A2" w:rsidTr="00F71297">
        <w:trPr>
          <w:trHeight w:val="432"/>
          <w:jc w:val="center"/>
        </w:trPr>
        <w:tc>
          <w:tcPr>
            <w:tcW w:w="3097"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both"/>
              <w:rPr>
                <w:rFonts w:eastAsia="Times New Roman"/>
                <w:b/>
                <w:bCs/>
                <w:color w:val="000000"/>
                <w:sz w:val="14"/>
                <w:szCs w:val="14"/>
                <w:lang w:val="es-MX" w:eastAsia="es-MX"/>
              </w:rPr>
            </w:pPr>
            <w:r w:rsidRPr="005E6266">
              <w:rPr>
                <w:rFonts w:eastAsia="Times New Roman"/>
                <w:b/>
                <w:bCs/>
                <w:color w:val="000000"/>
                <w:sz w:val="14"/>
                <w:szCs w:val="14"/>
                <w:lang w:val="es-MX" w:eastAsia="es-MX"/>
              </w:rPr>
              <w:t>Total</w:t>
            </w:r>
          </w:p>
        </w:tc>
        <w:tc>
          <w:tcPr>
            <w:tcW w:w="758"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363</w:t>
            </w:r>
          </w:p>
        </w:tc>
        <w:tc>
          <w:tcPr>
            <w:tcW w:w="989"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96</w:t>
            </w:r>
          </w:p>
        </w:tc>
        <w:tc>
          <w:tcPr>
            <w:tcW w:w="1151"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2</w:t>
            </w:r>
          </w:p>
        </w:tc>
        <w:tc>
          <w:tcPr>
            <w:tcW w:w="1355"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1</w:t>
            </w:r>
          </w:p>
        </w:tc>
        <w:tc>
          <w:tcPr>
            <w:tcW w:w="421"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462</w:t>
            </w:r>
          </w:p>
        </w:tc>
        <w:tc>
          <w:tcPr>
            <w:tcW w:w="786" w:type="dxa"/>
            <w:tcBorders>
              <w:top w:val="nil"/>
              <w:left w:val="nil"/>
              <w:bottom w:val="single" w:sz="8"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100</w:t>
            </w:r>
            <w:r w:rsidR="00D170C7" w:rsidRPr="005E6266">
              <w:rPr>
                <w:rFonts w:eastAsia="Times New Roman"/>
                <w:b/>
                <w:bCs/>
                <w:color w:val="000000"/>
                <w:sz w:val="14"/>
                <w:szCs w:val="14"/>
                <w:lang w:val="es-MX" w:eastAsia="es-MX"/>
              </w:rPr>
              <w:t>.0</w:t>
            </w:r>
          </w:p>
        </w:tc>
      </w:tr>
      <w:tr w:rsidR="00DD30A2" w:rsidRPr="00DD30A2" w:rsidTr="00F71297">
        <w:trPr>
          <w:trHeight w:val="412"/>
          <w:jc w:val="center"/>
        </w:trPr>
        <w:tc>
          <w:tcPr>
            <w:tcW w:w="8560" w:type="dxa"/>
            <w:gridSpan w:val="7"/>
            <w:tcBorders>
              <w:top w:val="single" w:sz="8" w:space="0" w:color="auto"/>
              <w:left w:val="nil"/>
              <w:bottom w:val="nil"/>
              <w:right w:val="nil"/>
            </w:tcBorders>
            <w:shd w:val="clear" w:color="000000" w:fill="FFFFFF"/>
            <w:noWrap/>
            <w:vAlign w:val="center"/>
            <w:hideMark/>
          </w:tcPr>
          <w:p w:rsidR="00DD30A2" w:rsidRPr="00DD30A2" w:rsidRDefault="00DD30A2" w:rsidP="00DD30A2">
            <w:pPr>
              <w:spacing w:after="0"/>
              <w:rPr>
                <w:rFonts w:eastAsia="Times New Roman"/>
                <w:color w:val="000000"/>
                <w:sz w:val="14"/>
                <w:szCs w:val="14"/>
                <w:lang w:val="es-MX" w:eastAsia="es-MX"/>
              </w:rPr>
            </w:pPr>
            <w:r w:rsidRPr="00DD30A2">
              <w:rPr>
                <w:rFonts w:eastAsia="Times New Roman"/>
                <w:color w:val="000000"/>
                <w:sz w:val="14"/>
                <w:szCs w:val="14"/>
                <w:lang w:val="es-MX" w:eastAsia="es-MX"/>
              </w:rPr>
              <w:t>Fuente: Unidad de Evaluación del Desempeño con Información proporcionada por el CONEVAL.</w:t>
            </w:r>
          </w:p>
        </w:tc>
      </w:tr>
    </w:tbl>
    <w:p w:rsidR="005E6266" w:rsidRDefault="005E6266" w:rsidP="00DD30A2">
      <w:pPr>
        <w:pStyle w:val="Cdetexto"/>
      </w:pPr>
    </w:p>
    <w:p w:rsidR="00DD30A2" w:rsidRDefault="00DD30A2" w:rsidP="00DD30A2">
      <w:pPr>
        <w:pStyle w:val="Cdetexto"/>
      </w:pPr>
      <w:r w:rsidRPr="00052F49">
        <w:t xml:space="preserve">Los tres principales temas sobre los cuales se suscribieron </w:t>
      </w:r>
      <w:r w:rsidR="002C0FD1">
        <w:t xml:space="preserve">los </w:t>
      </w:r>
      <w:r w:rsidRPr="00052F49">
        <w:t>ASM fueron: Diseño</w:t>
      </w:r>
      <w:r w:rsidR="002C0FD1">
        <w:t xml:space="preserve"> </w:t>
      </w:r>
      <w:r w:rsidRPr="00052F49">
        <w:t xml:space="preserve">con 114 </w:t>
      </w:r>
      <w:r w:rsidR="002C0FD1">
        <w:t xml:space="preserve">ASM </w:t>
      </w:r>
      <w:r w:rsidRPr="00052F49">
        <w:t>(</w:t>
      </w:r>
      <w:r>
        <w:t>24.7</w:t>
      </w:r>
      <w:r w:rsidRPr="00052F49">
        <w:t>%); Indicadores</w:t>
      </w:r>
      <w:r w:rsidR="002C0FD1">
        <w:t xml:space="preserve"> </w:t>
      </w:r>
      <w:r w:rsidRPr="00052F49">
        <w:t xml:space="preserve">con 76 </w:t>
      </w:r>
      <w:r w:rsidR="002C0FD1">
        <w:t xml:space="preserve">ASM </w:t>
      </w:r>
      <w:r w:rsidRPr="00052F49">
        <w:t>(</w:t>
      </w:r>
      <w:r>
        <w:t>16.5</w:t>
      </w:r>
      <w:r w:rsidRPr="00052F49">
        <w:t>%); y Operación con 61</w:t>
      </w:r>
      <w:r>
        <w:t xml:space="preserve"> </w:t>
      </w:r>
      <w:r w:rsidR="002C0FD1" w:rsidRPr="00052F49">
        <w:t>ASM</w:t>
      </w:r>
      <w:r w:rsidR="002C0FD1">
        <w:t xml:space="preserve"> </w:t>
      </w:r>
      <w:r>
        <w:t>(13.2</w:t>
      </w:r>
      <w:r w:rsidRPr="00052F49">
        <w:t>%)</w:t>
      </w:r>
      <w:r w:rsidR="002C0FD1">
        <w:t>.</w:t>
      </w:r>
      <w:r w:rsidRPr="00052F49">
        <w:t xml:space="preserve"> Cabe mencionar que algunos ASM abordan distintas temáticas, en este caso son </w:t>
      </w:r>
      <w:r>
        <w:t>47 (10.1</w:t>
      </w:r>
      <w:r w:rsidRPr="00052F49">
        <w:t xml:space="preserve">%) </w:t>
      </w:r>
      <w:r w:rsidR="002C0FD1" w:rsidRPr="003B3EAF">
        <w:rPr>
          <w:lang w:val="es-MX"/>
        </w:rPr>
        <w:t xml:space="preserve">que </w:t>
      </w:r>
      <w:r w:rsidR="002C0FD1">
        <w:rPr>
          <w:lang w:val="es-MX"/>
        </w:rPr>
        <w:t>fueron registrados en más</w:t>
      </w:r>
      <w:r w:rsidR="002C0FD1" w:rsidRPr="003B3EAF">
        <w:rPr>
          <w:lang w:val="es-MX"/>
        </w:rPr>
        <w:t xml:space="preserve"> de un tema</w:t>
      </w:r>
      <w:r w:rsidRPr="00052F49">
        <w:t xml:space="preserve">. De igual forma, respecto del nivel de prioridad, de los 462 ASM suscritos, 131 (28.3%) son de prioridad Alta; 223 (48.3%) son de </w:t>
      </w:r>
      <w:r w:rsidR="002C0FD1">
        <w:t xml:space="preserve">prioridad </w:t>
      </w:r>
      <w:r w:rsidRPr="00052F49">
        <w:t>Media; y 108 (23.4%) son de prioridad Baja.</w:t>
      </w:r>
    </w:p>
    <w:p w:rsidR="00DD30A2" w:rsidRDefault="00DD30A2" w:rsidP="00DD30A2">
      <w:pPr>
        <w:pStyle w:val="Cdetexto"/>
        <w:rPr>
          <w:rFonts w:cs="Soberana Sans"/>
          <w:color w:val="000000"/>
          <w:lang w:eastAsia="es-MX"/>
        </w:rPr>
      </w:pPr>
    </w:p>
    <w:tbl>
      <w:tblPr>
        <w:tblW w:w="8920" w:type="dxa"/>
        <w:jc w:val="center"/>
        <w:tblCellMar>
          <w:left w:w="70" w:type="dxa"/>
          <w:right w:w="70" w:type="dxa"/>
        </w:tblCellMar>
        <w:tblLook w:val="04A0" w:firstRow="1" w:lastRow="0" w:firstColumn="1" w:lastColumn="0" w:noHBand="0" w:noVBand="1"/>
      </w:tblPr>
      <w:tblGrid>
        <w:gridCol w:w="2713"/>
        <w:gridCol w:w="857"/>
        <w:gridCol w:w="1214"/>
        <w:gridCol w:w="879"/>
        <w:gridCol w:w="1076"/>
        <w:gridCol w:w="2181"/>
      </w:tblGrid>
      <w:tr w:rsidR="00DD30A2" w:rsidRPr="00DD30A2" w:rsidTr="00DD30A2">
        <w:trPr>
          <w:trHeight w:val="315"/>
          <w:tblHeader/>
          <w:jc w:val="center"/>
        </w:trPr>
        <w:tc>
          <w:tcPr>
            <w:tcW w:w="8920" w:type="dxa"/>
            <w:gridSpan w:val="6"/>
            <w:tcBorders>
              <w:top w:val="nil"/>
              <w:left w:val="nil"/>
              <w:bottom w:val="nil"/>
              <w:right w:val="nil"/>
            </w:tcBorders>
            <w:shd w:val="clear" w:color="000000" w:fill="EAF1DD"/>
            <w:noWrap/>
            <w:vAlign w:val="center"/>
            <w:hideMark/>
          </w:tcPr>
          <w:p w:rsidR="00DD30A2" w:rsidRPr="00DD30A2" w:rsidRDefault="00F71297" w:rsidP="00821DAF">
            <w:pPr>
              <w:spacing w:after="0"/>
              <w:rPr>
                <w:rFonts w:eastAsia="Times New Roman"/>
                <w:color w:val="000000"/>
                <w:sz w:val="18"/>
                <w:szCs w:val="18"/>
                <w:lang w:val="es-MX" w:eastAsia="es-MX"/>
              </w:rPr>
            </w:pPr>
            <w:r>
              <w:rPr>
                <w:rFonts w:eastAsia="Times New Roman"/>
                <w:color w:val="000000"/>
                <w:sz w:val="18"/>
                <w:szCs w:val="18"/>
                <w:lang w:val="es-MX" w:eastAsia="es-MX"/>
              </w:rPr>
              <w:t>Tabla 11</w:t>
            </w:r>
            <w:r w:rsidR="00DD30A2" w:rsidRPr="00DD30A2">
              <w:rPr>
                <w:rFonts w:eastAsia="Times New Roman"/>
                <w:color w:val="000000"/>
                <w:sz w:val="18"/>
                <w:szCs w:val="18"/>
                <w:lang w:val="es-MX" w:eastAsia="es-MX"/>
              </w:rPr>
              <w:t xml:space="preserve">.  Temas a los que van dirigidos los ASM </w:t>
            </w:r>
            <w:r w:rsidR="00821DAF">
              <w:rPr>
                <w:rFonts w:eastAsia="Times New Roman"/>
                <w:color w:val="000000"/>
                <w:sz w:val="18"/>
                <w:szCs w:val="18"/>
                <w:lang w:val="es-MX" w:eastAsia="es-MX"/>
              </w:rPr>
              <w:t>registrados</w:t>
            </w:r>
            <w:r w:rsidR="00821DAF" w:rsidRPr="00DD30A2">
              <w:rPr>
                <w:rFonts w:eastAsia="Times New Roman"/>
                <w:color w:val="000000"/>
                <w:sz w:val="18"/>
                <w:szCs w:val="18"/>
                <w:lang w:val="es-MX" w:eastAsia="es-MX"/>
              </w:rPr>
              <w:t xml:space="preserve"> </w:t>
            </w:r>
            <w:r w:rsidR="00DD30A2" w:rsidRPr="00DD30A2">
              <w:rPr>
                <w:rFonts w:eastAsia="Times New Roman"/>
                <w:color w:val="000000"/>
                <w:sz w:val="18"/>
                <w:szCs w:val="18"/>
                <w:lang w:val="es-MX" w:eastAsia="es-MX"/>
              </w:rPr>
              <w:t xml:space="preserve">al </w:t>
            </w:r>
            <w:r w:rsidR="00D170C7">
              <w:rPr>
                <w:rFonts w:eastAsia="Times New Roman"/>
                <w:color w:val="000000"/>
                <w:sz w:val="18"/>
                <w:szCs w:val="18"/>
                <w:lang w:val="es-MX" w:eastAsia="es-MX"/>
              </w:rPr>
              <w:t>segundo</w:t>
            </w:r>
            <w:r w:rsidR="00D170C7" w:rsidRPr="00DD30A2">
              <w:rPr>
                <w:rFonts w:eastAsia="Times New Roman"/>
                <w:color w:val="000000"/>
                <w:sz w:val="18"/>
                <w:szCs w:val="18"/>
                <w:lang w:val="es-MX" w:eastAsia="es-MX"/>
              </w:rPr>
              <w:t xml:space="preserve"> </w:t>
            </w:r>
            <w:r w:rsidR="00DD30A2" w:rsidRPr="00DD30A2">
              <w:rPr>
                <w:rFonts w:eastAsia="Times New Roman"/>
                <w:color w:val="000000"/>
                <w:sz w:val="18"/>
                <w:szCs w:val="18"/>
                <w:lang w:val="es-MX" w:eastAsia="es-MX"/>
              </w:rPr>
              <w:t>trimestre de 2016</w:t>
            </w:r>
          </w:p>
        </w:tc>
      </w:tr>
      <w:tr w:rsidR="00DD30A2" w:rsidRPr="00DD30A2" w:rsidTr="00DD30A2">
        <w:trPr>
          <w:trHeight w:val="330"/>
          <w:tblHeader/>
          <w:jc w:val="center"/>
        </w:trPr>
        <w:tc>
          <w:tcPr>
            <w:tcW w:w="2713" w:type="dxa"/>
            <w:tcBorders>
              <w:top w:val="nil"/>
              <w:left w:val="nil"/>
              <w:bottom w:val="single" w:sz="12" w:space="0" w:color="auto"/>
              <w:right w:val="nil"/>
            </w:tcBorders>
            <w:shd w:val="clear" w:color="000000" w:fill="FFFFFF"/>
            <w:noWrap/>
            <w:vAlign w:val="center"/>
            <w:hideMark/>
          </w:tcPr>
          <w:p w:rsidR="00DD30A2" w:rsidRPr="00DD30A2" w:rsidRDefault="00DD30A2" w:rsidP="00DD30A2">
            <w:pPr>
              <w:spacing w:after="0"/>
              <w:jc w:val="center"/>
              <w:rPr>
                <w:rFonts w:eastAsia="Times New Roman"/>
                <w:color w:val="000000"/>
                <w:sz w:val="14"/>
                <w:szCs w:val="14"/>
                <w:lang w:val="es-MX" w:eastAsia="es-MX"/>
              </w:rPr>
            </w:pPr>
            <w:r w:rsidRPr="00DD30A2">
              <w:rPr>
                <w:rFonts w:eastAsia="Times New Roman"/>
                <w:color w:val="000000"/>
                <w:sz w:val="14"/>
                <w:szCs w:val="14"/>
                <w:lang w:val="es-MX" w:eastAsia="es-MX"/>
              </w:rPr>
              <w:t>Tema</w:t>
            </w:r>
          </w:p>
        </w:tc>
        <w:tc>
          <w:tcPr>
            <w:tcW w:w="857" w:type="dxa"/>
            <w:tcBorders>
              <w:top w:val="nil"/>
              <w:left w:val="nil"/>
              <w:bottom w:val="single" w:sz="12" w:space="0" w:color="auto"/>
              <w:right w:val="nil"/>
            </w:tcBorders>
            <w:shd w:val="clear" w:color="000000" w:fill="FFFFFF"/>
            <w:noWrap/>
            <w:vAlign w:val="center"/>
            <w:hideMark/>
          </w:tcPr>
          <w:p w:rsidR="00DD30A2" w:rsidRPr="00DD30A2" w:rsidRDefault="00DD30A2" w:rsidP="00DD30A2">
            <w:pPr>
              <w:spacing w:after="0"/>
              <w:jc w:val="center"/>
              <w:rPr>
                <w:rFonts w:eastAsia="Times New Roman"/>
                <w:color w:val="000000"/>
                <w:sz w:val="14"/>
                <w:szCs w:val="14"/>
                <w:lang w:val="es-MX" w:eastAsia="es-MX"/>
              </w:rPr>
            </w:pPr>
            <w:r w:rsidRPr="00DD30A2">
              <w:rPr>
                <w:rFonts w:eastAsia="Times New Roman"/>
                <w:color w:val="000000"/>
                <w:sz w:val="14"/>
                <w:szCs w:val="14"/>
                <w:lang w:val="es-MX" w:eastAsia="es-MX"/>
              </w:rPr>
              <w:t>Alta</w:t>
            </w:r>
          </w:p>
        </w:tc>
        <w:tc>
          <w:tcPr>
            <w:tcW w:w="1214" w:type="dxa"/>
            <w:tcBorders>
              <w:top w:val="nil"/>
              <w:left w:val="nil"/>
              <w:bottom w:val="single" w:sz="12" w:space="0" w:color="auto"/>
              <w:right w:val="nil"/>
            </w:tcBorders>
            <w:shd w:val="clear" w:color="000000" w:fill="FFFFFF"/>
            <w:noWrap/>
            <w:vAlign w:val="center"/>
            <w:hideMark/>
          </w:tcPr>
          <w:p w:rsidR="00DD30A2" w:rsidRPr="00DD30A2" w:rsidRDefault="00DD30A2" w:rsidP="00DD30A2">
            <w:pPr>
              <w:spacing w:after="0"/>
              <w:jc w:val="center"/>
              <w:rPr>
                <w:rFonts w:eastAsia="Times New Roman"/>
                <w:color w:val="000000"/>
                <w:sz w:val="14"/>
                <w:szCs w:val="14"/>
                <w:lang w:val="es-MX" w:eastAsia="es-MX"/>
              </w:rPr>
            </w:pPr>
            <w:r w:rsidRPr="00DD30A2">
              <w:rPr>
                <w:rFonts w:eastAsia="Times New Roman"/>
                <w:color w:val="000000"/>
                <w:sz w:val="14"/>
                <w:szCs w:val="14"/>
                <w:lang w:val="es-MX" w:eastAsia="es-MX"/>
              </w:rPr>
              <w:t>Media</w:t>
            </w:r>
          </w:p>
        </w:tc>
        <w:tc>
          <w:tcPr>
            <w:tcW w:w="879" w:type="dxa"/>
            <w:tcBorders>
              <w:top w:val="nil"/>
              <w:left w:val="nil"/>
              <w:bottom w:val="single" w:sz="12" w:space="0" w:color="auto"/>
              <w:right w:val="nil"/>
            </w:tcBorders>
            <w:shd w:val="clear" w:color="000000" w:fill="FFFFFF"/>
            <w:noWrap/>
            <w:vAlign w:val="center"/>
            <w:hideMark/>
          </w:tcPr>
          <w:p w:rsidR="00DD30A2" w:rsidRPr="00DD30A2" w:rsidRDefault="00DD30A2" w:rsidP="00DD30A2">
            <w:pPr>
              <w:spacing w:after="0"/>
              <w:jc w:val="center"/>
              <w:rPr>
                <w:rFonts w:eastAsia="Times New Roman"/>
                <w:color w:val="000000"/>
                <w:sz w:val="14"/>
                <w:szCs w:val="14"/>
                <w:lang w:val="es-MX" w:eastAsia="es-MX"/>
              </w:rPr>
            </w:pPr>
            <w:r w:rsidRPr="00DD30A2">
              <w:rPr>
                <w:rFonts w:eastAsia="Times New Roman"/>
                <w:color w:val="000000"/>
                <w:sz w:val="14"/>
                <w:szCs w:val="14"/>
                <w:lang w:val="es-MX" w:eastAsia="es-MX"/>
              </w:rPr>
              <w:t>Baja</w:t>
            </w:r>
          </w:p>
        </w:tc>
        <w:tc>
          <w:tcPr>
            <w:tcW w:w="1076" w:type="dxa"/>
            <w:tcBorders>
              <w:top w:val="nil"/>
              <w:left w:val="nil"/>
              <w:bottom w:val="single" w:sz="12" w:space="0" w:color="auto"/>
              <w:right w:val="nil"/>
            </w:tcBorders>
            <w:shd w:val="clear" w:color="000000" w:fill="FFFFFF"/>
            <w:noWrap/>
            <w:vAlign w:val="center"/>
            <w:hideMark/>
          </w:tcPr>
          <w:p w:rsidR="00DD30A2" w:rsidRPr="00DD30A2" w:rsidRDefault="00DD30A2" w:rsidP="00DD30A2">
            <w:pPr>
              <w:spacing w:after="0"/>
              <w:jc w:val="center"/>
              <w:rPr>
                <w:rFonts w:eastAsia="Times New Roman"/>
                <w:color w:val="000000"/>
                <w:sz w:val="14"/>
                <w:szCs w:val="14"/>
                <w:lang w:val="es-MX" w:eastAsia="es-MX"/>
              </w:rPr>
            </w:pPr>
            <w:r w:rsidRPr="00DD30A2">
              <w:rPr>
                <w:rFonts w:eastAsia="Times New Roman"/>
                <w:color w:val="000000"/>
                <w:sz w:val="14"/>
                <w:szCs w:val="14"/>
                <w:lang w:val="es-MX" w:eastAsia="es-MX"/>
              </w:rPr>
              <w:t>Total</w:t>
            </w:r>
          </w:p>
        </w:tc>
        <w:tc>
          <w:tcPr>
            <w:tcW w:w="2181" w:type="dxa"/>
            <w:tcBorders>
              <w:top w:val="nil"/>
              <w:left w:val="nil"/>
              <w:bottom w:val="single" w:sz="12" w:space="0" w:color="auto"/>
              <w:right w:val="nil"/>
            </w:tcBorders>
            <w:shd w:val="clear" w:color="000000" w:fill="FFFFFF"/>
            <w:noWrap/>
            <w:vAlign w:val="center"/>
            <w:hideMark/>
          </w:tcPr>
          <w:p w:rsidR="00DD30A2" w:rsidRPr="00DD30A2" w:rsidRDefault="00DD30A2" w:rsidP="00DD30A2">
            <w:pPr>
              <w:spacing w:after="0"/>
              <w:jc w:val="center"/>
              <w:rPr>
                <w:rFonts w:eastAsia="Times New Roman"/>
                <w:color w:val="000000"/>
                <w:sz w:val="14"/>
                <w:szCs w:val="14"/>
                <w:lang w:val="es-MX" w:eastAsia="es-MX"/>
              </w:rPr>
            </w:pPr>
            <w:r w:rsidRPr="00DD30A2">
              <w:rPr>
                <w:rFonts w:eastAsia="Times New Roman"/>
                <w:color w:val="000000"/>
                <w:sz w:val="14"/>
                <w:szCs w:val="14"/>
                <w:lang w:val="es-MX" w:eastAsia="es-MX"/>
              </w:rPr>
              <w:t>% del Total</w:t>
            </w:r>
          </w:p>
        </w:tc>
      </w:tr>
      <w:tr w:rsidR="00DD30A2" w:rsidRPr="005E6266" w:rsidTr="00DD30A2">
        <w:trPr>
          <w:trHeight w:val="330"/>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Diseño</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26</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46</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42</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114</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24.7</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Indicadores</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27</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39</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10</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76</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16.5</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Operación</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16</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31</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14</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61</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13.2</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Coberturas</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6</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24</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14</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44</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9.5</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Planeación</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12</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14</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6</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32</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6.9</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Resultado</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9</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8</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21</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4.6</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Evaluación</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14</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19</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4.1</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Productos</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13</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19</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4.1</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Ejecución</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0</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6</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8</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1.7</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Otros</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5</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9</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7</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21</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4.6</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color w:val="000000"/>
                <w:sz w:val="14"/>
                <w:szCs w:val="14"/>
                <w:lang w:val="es-MX" w:eastAsia="es-MX"/>
              </w:rPr>
            </w:pPr>
            <w:r w:rsidRPr="005E6266">
              <w:rPr>
                <w:rFonts w:eastAsia="Times New Roman"/>
                <w:color w:val="000000"/>
                <w:sz w:val="14"/>
                <w:szCs w:val="14"/>
                <w:lang w:val="es-MX" w:eastAsia="es-MX"/>
              </w:rPr>
              <w:t>Más de un Tema</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27</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18</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2</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47</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color w:val="000000"/>
                <w:sz w:val="14"/>
                <w:szCs w:val="14"/>
                <w:lang w:val="es-MX" w:eastAsia="es-MX"/>
              </w:rPr>
            </w:pPr>
            <w:r w:rsidRPr="005E6266">
              <w:rPr>
                <w:rFonts w:eastAsia="Times New Roman"/>
                <w:color w:val="000000"/>
                <w:sz w:val="14"/>
                <w:szCs w:val="14"/>
                <w:lang w:val="es-MX" w:eastAsia="es-MX"/>
              </w:rPr>
              <w:t>10.1</w:t>
            </w:r>
          </w:p>
        </w:tc>
      </w:tr>
      <w:tr w:rsidR="00DD30A2" w:rsidRPr="005E6266" w:rsidTr="00DD30A2">
        <w:trPr>
          <w:trHeight w:val="315"/>
          <w:jc w:val="center"/>
        </w:trPr>
        <w:tc>
          <w:tcPr>
            <w:tcW w:w="2713" w:type="dxa"/>
            <w:tcBorders>
              <w:top w:val="nil"/>
              <w:left w:val="nil"/>
              <w:bottom w:val="nil"/>
              <w:right w:val="nil"/>
            </w:tcBorders>
            <w:shd w:val="clear" w:color="000000" w:fill="FFFFFF"/>
            <w:noWrap/>
            <w:vAlign w:val="center"/>
            <w:hideMark/>
          </w:tcPr>
          <w:p w:rsidR="00DD30A2" w:rsidRPr="005E6266" w:rsidRDefault="00DD30A2" w:rsidP="00DD30A2">
            <w:pPr>
              <w:spacing w:after="0"/>
              <w:rPr>
                <w:rFonts w:eastAsia="Times New Roman"/>
                <w:b/>
                <w:bCs/>
                <w:color w:val="000000"/>
                <w:sz w:val="14"/>
                <w:szCs w:val="14"/>
                <w:lang w:val="es-MX" w:eastAsia="es-MX"/>
              </w:rPr>
            </w:pPr>
            <w:r w:rsidRPr="005E6266">
              <w:rPr>
                <w:rFonts w:eastAsia="Times New Roman"/>
                <w:b/>
                <w:bCs/>
                <w:color w:val="000000"/>
                <w:sz w:val="14"/>
                <w:szCs w:val="14"/>
                <w:lang w:val="es-MX" w:eastAsia="es-MX"/>
              </w:rPr>
              <w:t>Total</w:t>
            </w:r>
          </w:p>
        </w:tc>
        <w:tc>
          <w:tcPr>
            <w:tcW w:w="857"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131</w:t>
            </w:r>
          </w:p>
        </w:tc>
        <w:tc>
          <w:tcPr>
            <w:tcW w:w="1214"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223</w:t>
            </w:r>
          </w:p>
        </w:tc>
        <w:tc>
          <w:tcPr>
            <w:tcW w:w="879"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108</w:t>
            </w:r>
          </w:p>
        </w:tc>
        <w:tc>
          <w:tcPr>
            <w:tcW w:w="1076"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462</w:t>
            </w:r>
          </w:p>
        </w:tc>
        <w:tc>
          <w:tcPr>
            <w:tcW w:w="2181" w:type="dxa"/>
            <w:tcBorders>
              <w:top w:val="nil"/>
              <w:left w:val="nil"/>
              <w:bottom w:val="nil"/>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100</w:t>
            </w:r>
            <w:r w:rsidR="00D170C7" w:rsidRPr="005E6266">
              <w:rPr>
                <w:rFonts w:eastAsia="Times New Roman"/>
                <w:b/>
                <w:bCs/>
                <w:color w:val="000000"/>
                <w:sz w:val="14"/>
                <w:szCs w:val="14"/>
                <w:lang w:val="es-MX" w:eastAsia="es-MX"/>
              </w:rPr>
              <w:t>.0</w:t>
            </w:r>
          </w:p>
        </w:tc>
      </w:tr>
      <w:tr w:rsidR="00DD30A2" w:rsidRPr="005E6266" w:rsidTr="00DD30A2">
        <w:trPr>
          <w:trHeight w:val="330"/>
          <w:jc w:val="center"/>
        </w:trPr>
        <w:tc>
          <w:tcPr>
            <w:tcW w:w="2713"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rPr>
                <w:rFonts w:eastAsia="Times New Roman"/>
                <w:b/>
                <w:bCs/>
                <w:color w:val="000000"/>
                <w:sz w:val="14"/>
                <w:szCs w:val="14"/>
                <w:lang w:val="es-MX" w:eastAsia="es-MX"/>
              </w:rPr>
            </w:pPr>
            <w:r w:rsidRPr="005E6266">
              <w:rPr>
                <w:rFonts w:eastAsia="Times New Roman"/>
                <w:b/>
                <w:bCs/>
                <w:color w:val="000000"/>
                <w:sz w:val="14"/>
                <w:szCs w:val="14"/>
                <w:lang w:val="es-MX" w:eastAsia="es-MX"/>
              </w:rPr>
              <w:t>% del Total</w:t>
            </w:r>
          </w:p>
        </w:tc>
        <w:tc>
          <w:tcPr>
            <w:tcW w:w="857"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28.4</w:t>
            </w:r>
          </w:p>
        </w:tc>
        <w:tc>
          <w:tcPr>
            <w:tcW w:w="1214"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48.3</w:t>
            </w:r>
          </w:p>
        </w:tc>
        <w:tc>
          <w:tcPr>
            <w:tcW w:w="879"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23.4</w:t>
            </w:r>
          </w:p>
        </w:tc>
        <w:tc>
          <w:tcPr>
            <w:tcW w:w="1076"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100</w:t>
            </w:r>
            <w:r w:rsidR="00D170C7" w:rsidRPr="005E6266">
              <w:rPr>
                <w:rFonts w:eastAsia="Times New Roman"/>
                <w:b/>
                <w:bCs/>
                <w:color w:val="000000"/>
                <w:sz w:val="14"/>
                <w:szCs w:val="14"/>
                <w:lang w:val="es-MX" w:eastAsia="es-MX"/>
              </w:rPr>
              <w:t>.0</w:t>
            </w:r>
          </w:p>
        </w:tc>
        <w:tc>
          <w:tcPr>
            <w:tcW w:w="2181" w:type="dxa"/>
            <w:tcBorders>
              <w:top w:val="nil"/>
              <w:left w:val="nil"/>
              <w:bottom w:val="single" w:sz="12" w:space="0" w:color="auto"/>
              <w:right w:val="nil"/>
            </w:tcBorders>
            <w:shd w:val="clear" w:color="000000" w:fill="FFFFFF"/>
            <w:noWrap/>
            <w:vAlign w:val="center"/>
            <w:hideMark/>
          </w:tcPr>
          <w:p w:rsidR="00DD30A2" w:rsidRPr="005E6266" w:rsidRDefault="00DD30A2" w:rsidP="00DD30A2">
            <w:pPr>
              <w:spacing w:after="0"/>
              <w:jc w:val="center"/>
              <w:rPr>
                <w:rFonts w:eastAsia="Times New Roman"/>
                <w:b/>
                <w:bCs/>
                <w:color w:val="000000"/>
                <w:sz w:val="14"/>
                <w:szCs w:val="14"/>
                <w:lang w:val="es-MX" w:eastAsia="es-MX"/>
              </w:rPr>
            </w:pPr>
            <w:r w:rsidRPr="005E6266">
              <w:rPr>
                <w:rFonts w:eastAsia="Times New Roman"/>
                <w:b/>
                <w:bCs/>
                <w:color w:val="000000"/>
                <w:sz w:val="14"/>
                <w:szCs w:val="14"/>
                <w:lang w:val="es-MX" w:eastAsia="es-MX"/>
              </w:rPr>
              <w:t> </w:t>
            </w:r>
          </w:p>
        </w:tc>
      </w:tr>
      <w:tr w:rsidR="00DD30A2" w:rsidRPr="00DD30A2" w:rsidTr="00DD30A2">
        <w:trPr>
          <w:trHeight w:val="330"/>
          <w:jc w:val="center"/>
        </w:trPr>
        <w:tc>
          <w:tcPr>
            <w:tcW w:w="8920" w:type="dxa"/>
            <w:gridSpan w:val="6"/>
            <w:tcBorders>
              <w:top w:val="single" w:sz="12" w:space="0" w:color="auto"/>
              <w:left w:val="nil"/>
              <w:bottom w:val="nil"/>
              <w:right w:val="nil"/>
            </w:tcBorders>
            <w:shd w:val="clear" w:color="000000" w:fill="FFFFFF"/>
            <w:noWrap/>
            <w:vAlign w:val="center"/>
            <w:hideMark/>
          </w:tcPr>
          <w:p w:rsidR="00DD30A2" w:rsidRPr="00DD30A2" w:rsidRDefault="00DD30A2" w:rsidP="00DD30A2">
            <w:pPr>
              <w:spacing w:after="0"/>
              <w:rPr>
                <w:rFonts w:eastAsia="Times New Roman"/>
                <w:color w:val="000000"/>
                <w:sz w:val="12"/>
                <w:szCs w:val="12"/>
                <w:lang w:val="es-MX" w:eastAsia="es-MX"/>
              </w:rPr>
            </w:pPr>
            <w:r w:rsidRPr="00DD30A2">
              <w:rPr>
                <w:rFonts w:eastAsia="Times New Roman"/>
                <w:color w:val="000000"/>
                <w:sz w:val="12"/>
                <w:szCs w:val="12"/>
                <w:lang w:val="es-MX" w:eastAsia="es-MX"/>
              </w:rPr>
              <w:t>Fuente: Unidad de Evaluación del Desempeño con Información proporcionada por el CONEVAL.</w:t>
            </w:r>
          </w:p>
        </w:tc>
      </w:tr>
    </w:tbl>
    <w:p w:rsidR="00395DF1" w:rsidRDefault="00DD30A2" w:rsidP="005E6266">
      <w:pPr>
        <w:jc w:val="both"/>
        <w:rPr>
          <w:sz w:val="23"/>
          <w:szCs w:val="23"/>
        </w:rPr>
      </w:pPr>
      <w:r w:rsidRPr="00DD30A2">
        <w:t xml:space="preserve">En cumplimiento al artículo 72 de la Ley General de Desarrollo Social y al </w:t>
      </w:r>
      <w:r w:rsidRPr="00DD30A2">
        <w:rPr>
          <w:sz w:val="23"/>
          <w:szCs w:val="23"/>
        </w:rPr>
        <w:t xml:space="preserve">numeral 15 del Mecanismo </w:t>
      </w:r>
      <w:r w:rsidR="0002526E">
        <w:rPr>
          <w:sz w:val="23"/>
          <w:szCs w:val="23"/>
        </w:rPr>
        <w:t>vigente</w:t>
      </w:r>
      <w:r w:rsidRPr="00DD30A2">
        <w:rPr>
          <w:sz w:val="23"/>
          <w:szCs w:val="23"/>
        </w:rPr>
        <w:t>, el CONEVAL presentó en el mes de junio de este año, el Informe de Seguimiento a los Aspectos Susceptibles de Mejora de los Programas y Acciones Federales de Desarrollo Social correspondiente al ciclo 2015-2016, que se encuentra disponible en la dirección electrónica</w:t>
      </w:r>
      <w:r w:rsidR="00703B10">
        <w:rPr>
          <w:sz w:val="23"/>
          <w:szCs w:val="23"/>
        </w:rPr>
        <w:t xml:space="preserve"> siguiente</w:t>
      </w:r>
      <w:r w:rsidRPr="00DD30A2">
        <w:rPr>
          <w:sz w:val="23"/>
          <w:szCs w:val="23"/>
        </w:rPr>
        <w:t>:</w:t>
      </w:r>
    </w:p>
    <w:p w:rsidR="00DD30A2" w:rsidRPr="00DD30A2" w:rsidRDefault="00DD30A2" w:rsidP="005E6266">
      <w:pPr>
        <w:jc w:val="both"/>
        <w:rPr>
          <w:rFonts w:cs="Soberana Sans"/>
          <w:color w:val="000000"/>
          <w:lang w:val="es-MX" w:eastAsia="es-MX"/>
        </w:rPr>
      </w:pPr>
      <w:r w:rsidRPr="00DD30A2">
        <w:rPr>
          <w:color w:val="0000FF" w:themeColor="hyperlink"/>
          <w:u w:val="single"/>
        </w:rPr>
        <w:lastRenderedPageBreak/>
        <w:t>http://www.coneval.org.mx/Evaluacion/Documents/Informes/Documentos%20de%20Trabajo%20ASM%202015-2016/INFORME_ASM_2015-2016.pdf</w:t>
      </w:r>
    </w:p>
    <w:sectPr w:rsidR="00DD30A2" w:rsidRPr="00DD30A2" w:rsidSect="008E5805">
      <w:headerReference w:type="even" r:id="rId12"/>
      <w:headerReference w:type="default" r:id="rId13"/>
      <w:footerReference w:type="even" r:id="rId14"/>
      <w:footerReference w:type="default" r:id="rId15"/>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ED" w:rsidRDefault="00AF6AED" w:rsidP="008A5271">
      <w:r>
        <w:separator/>
      </w:r>
    </w:p>
  </w:endnote>
  <w:endnote w:type="continuationSeparator" w:id="0">
    <w:p w:rsidR="00AF6AED" w:rsidRDefault="00AF6AED"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residenciaFuert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Presidencia Base">
    <w:altName w:val="Cambria"/>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16" w:rsidRPr="004A0C69" w:rsidRDefault="00C66416"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666188">
      <w:rPr>
        <w:rStyle w:val="Nmerodepgina"/>
        <w:noProof/>
        <w:sz w:val="20"/>
        <w:szCs w:val="20"/>
      </w:rPr>
      <w:t>20</w:t>
    </w:r>
    <w:r w:rsidRPr="004A0C69">
      <w:rPr>
        <w:rStyle w:val="Nmerodepgina"/>
        <w:sz w:val="20"/>
        <w:szCs w:val="20"/>
      </w:rPr>
      <w:fldChar w:fldCharType="end"/>
    </w:r>
  </w:p>
  <w:p w:rsidR="00C66416" w:rsidRDefault="00C664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16" w:rsidRPr="004A0C69" w:rsidRDefault="00C66416"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666188">
      <w:rPr>
        <w:rStyle w:val="Nmerodepgina"/>
        <w:noProof/>
        <w:sz w:val="20"/>
        <w:szCs w:val="20"/>
      </w:rPr>
      <w:t>1</w:t>
    </w:r>
    <w:r w:rsidRPr="004A0C69">
      <w:rPr>
        <w:rStyle w:val="Nmerodepgina"/>
        <w:sz w:val="20"/>
        <w:szCs w:val="20"/>
      </w:rPr>
      <w:fldChar w:fldCharType="end"/>
    </w:r>
  </w:p>
  <w:p w:rsidR="00C66416" w:rsidRDefault="00C66416"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ED" w:rsidRDefault="00AF6AED" w:rsidP="008A5271">
      <w:r>
        <w:separator/>
      </w:r>
    </w:p>
  </w:footnote>
  <w:footnote w:type="continuationSeparator" w:id="0">
    <w:p w:rsidR="00AF6AED" w:rsidRDefault="00AF6AED" w:rsidP="008A5271">
      <w:r>
        <w:continuationSeparator/>
      </w:r>
    </w:p>
  </w:footnote>
  <w:footnote w:id="1">
    <w:p w:rsidR="00C66416" w:rsidRPr="009047B6" w:rsidRDefault="00C66416" w:rsidP="001B5252">
      <w:pPr>
        <w:pStyle w:val="Textonotapie"/>
      </w:pPr>
      <w:r>
        <w:rPr>
          <w:rStyle w:val="Refdenotaalpie"/>
        </w:rPr>
        <w:footnoteRef/>
      </w:r>
      <w:r w:rsidRPr="00EE71AF">
        <w:rPr>
          <w:vertAlign w:val="superscript"/>
        </w:rPr>
        <w:t>_/</w:t>
      </w:r>
      <w:r>
        <w:t xml:space="preserve"> </w:t>
      </w:r>
      <w:r w:rsidRPr="00EE71AF">
        <w:rPr>
          <w:rStyle w:val="NotaalpieCar"/>
        </w:rPr>
        <w:t>Numeral Vigésimo Cuarto de los Lineamientos.</w:t>
      </w:r>
    </w:p>
  </w:footnote>
  <w:footnote w:id="2">
    <w:p w:rsidR="00C66416" w:rsidRPr="003722B9" w:rsidRDefault="00C66416" w:rsidP="001B5252">
      <w:pPr>
        <w:pStyle w:val="Notaalpie"/>
      </w:pPr>
      <w:r w:rsidRPr="003722B9">
        <w:rPr>
          <w:rStyle w:val="Refdenotaalpie"/>
        </w:rPr>
        <w:footnoteRef/>
      </w:r>
      <w:r w:rsidRPr="003722B9">
        <w:t xml:space="preserve"> </w:t>
      </w:r>
      <w:r w:rsidRPr="00427760">
        <w:rPr>
          <w:vertAlign w:val="superscript"/>
        </w:rPr>
        <w:t>_/</w:t>
      </w:r>
      <w:r>
        <w:rPr>
          <w:vertAlign w:val="superscript"/>
        </w:rPr>
        <w:t xml:space="preserve"> </w:t>
      </w:r>
      <w:r w:rsidRPr="003722B9">
        <w:t xml:space="preserve">Como resultado de la </w:t>
      </w:r>
      <w:r>
        <w:t>R</w:t>
      </w:r>
      <w:r w:rsidRPr="003722B9">
        <w:t xml:space="preserve">eingeniería del </w:t>
      </w:r>
      <w:r>
        <w:t>G</w:t>
      </w:r>
      <w:r w:rsidRPr="003722B9">
        <w:t xml:space="preserve">asto </w:t>
      </w:r>
      <w:r>
        <w:t>P</w:t>
      </w:r>
      <w:r w:rsidRPr="003722B9">
        <w:t xml:space="preserve">úblico efectuada </w:t>
      </w:r>
      <w:r>
        <w:rPr>
          <w:rStyle w:val="NotaalpieCar"/>
        </w:rPr>
        <w:t>en la conformación del proyecto de PEF 2016</w:t>
      </w:r>
      <w:r w:rsidRPr="003722B9">
        <w:t xml:space="preserve">, el </w:t>
      </w:r>
      <w:r>
        <w:t>Pp E011 Conservación de infraestructura ferroviaria</w:t>
      </w:r>
      <w:r w:rsidRPr="003722B9">
        <w:t>, a partir del ejercicio fiscal 2016</w:t>
      </w:r>
      <w:r>
        <w:t>,</w:t>
      </w:r>
      <w:r w:rsidRPr="003722B9">
        <w:t xml:space="preserve"> se fusionó con </w:t>
      </w:r>
      <w:r>
        <w:t>el</w:t>
      </w:r>
      <w:r w:rsidRPr="003722B9">
        <w:t xml:space="preserve"> Pp </w:t>
      </w:r>
      <w:r>
        <w:t>E022 Operación de infraestructura ferroviaria, en el Pp E022 Operación y Conservación de infraestructura ferroviaria</w:t>
      </w:r>
      <w:r w:rsidRPr="003722B9">
        <w:t>.</w:t>
      </w:r>
    </w:p>
  </w:footnote>
  <w:footnote w:id="3">
    <w:p w:rsidR="00C66416" w:rsidRPr="003722B9" w:rsidRDefault="00C66416" w:rsidP="001B5252">
      <w:pPr>
        <w:pStyle w:val="Notaalpie"/>
      </w:pPr>
      <w:r w:rsidRPr="003722B9">
        <w:rPr>
          <w:rStyle w:val="Refdenotaalpie"/>
        </w:rPr>
        <w:footnoteRef/>
      </w:r>
      <w:r w:rsidRPr="003722B9">
        <w:t xml:space="preserve"> </w:t>
      </w:r>
      <w:r w:rsidRPr="00427760">
        <w:rPr>
          <w:vertAlign w:val="superscript"/>
        </w:rPr>
        <w:t>_/</w:t>
      </w:r>
      <w:r>
        <w:rPr>
          <w:vertAlign w:val="superscript"/>
        </w:rPr>
        <w:t xml:space="preserve"> </w:t>
      </w:r>
      <w:r w:rsidRPr="00FC7AD8">
        <w:t xml:space="preserve">El costo de la evaluación considera </w:t>
      </w:r>
      <w:r>
        <w:t xml:space="preserve">también </w:t>
      </w:r>
      <w:r w:rsidRPr="00FC7AD8">
        <w:t xml:space="preserve">el desarrollo de </w:t>
      </w:r>
      <w:r>
        <w:t>una Evaluación Complementaria de Diseño</w:t>
      </w:r>
      <w:r w:rsidRPr="00FC7AD8">
        <w:t xml:space="preserve"> del Pp</w:t>
      </w:r>
      <w:r>
        <w:t xml:space="preserve"> E022 Operación y Conservación de infraestructura ferroviaria con su estructura programática para 2016.  </w:t>
      </w:r>
    </w:p>
  </w:footnote>
  <w:footnote w:id="4">
    <w:p w:rsidR="00C66416" w:rsidRPr="00963F87" w:rsidRDefault="00C66416" w:rsidP="001B5252">
      <w:pPr>
        <w:pStyle w:val="Notaalpie"/>
      </w:pPr>
      <w:r>
        <w:rPr>
          <w:rStyle w:val="Refdenotaalpie"/>
        </w:rPr>
        <w:footnoteRef/>
      </w:r>
      <w:r w:rsidRPr="00427760">
        <w:rPr>
          <w:vertAlign w:val="superscript"/>
        </w:rPr>
        <w:t>_/</w:t>
      </w:r>
      <w:r w:rsidRPr="00963F87">
        <w:rPr>
          <w:rStyle w:val="Refdenotaalpie"/>
        </w:rPr>
        <w:t xml:space="preserve"> </w:t>
      </w:r>
      <w:r w:rsidRPr="003722B9">
        <w:t xml:space="preserve">Como resultado de la </w:t>
      </w:r>
      <w:r>
        <w:t>R</w:t>
      </w:r>
      <w:r w:rsidRPr="003722B9">
        <w:t xml:space="preserve">eingeniería del </w:t>
      </w:r>
      <w:r>
        <w:t>G</w:t>
      </w:r>
      <w:r w:rsidRPr="003722B9">
        <w:t xml:space="preserve">asto </w:t>
      </w:r>
      <w:r>
        <w:t>P</w:t>
      </w:r>
      <w:r w:rsidRPr="003722B9">
        <w:t xml:space="preserve">úblico efectuada </w:t>
      </w:r>
      <w:r>
        <w:rPr>
          <w:rStyle w:val="NotaalpieCar"/>
        </w:rPr>
        <w:t>en la conformación del proyecto de PEF 2016</w:t>
      </w:r>
      <w:r w:rsidRPr="003722B9">
        <w:t xml:space="preserve">, el </w:t>
      </w:r>
      <w:r>
        <w:t>Pp E011 Conservación de infraestructura ferroviaria</w:t>
      </w:r>
      <w:r w:rsidRPr="003722B9">
        <w:t>, a partir del ejercicio fiscal 2016</w:t>
      </w:r>
      <w:r>
        <w:t>,</w:t>
      </w:r>
      <w:r w:rsidRPr="003722B9">
        <w:t xml:space="preserve"> se fusionó con </w:t>
      </w:r>
      <w:r>
        <w:t>el</w:t>
      </w:r>
      <w:r w:rsidRPr="003722B9">
        <w:t xml:space="preserve"> Pp </w:t>
      </w:r>
      <w:r>
        <w:t>E022 Operación de infraestructura ferroviaria, en el Pp E022 Operación y Conservación de infraestructura ferroviaria</w:t>
      </w:r>
      <w:r w:rsidRPr="003722B9">
        <w:t>.</w:t>
      </w:r>
    </w:p>
  </w:footnote>
  <w:footnote w:id="5">
    <w:p w:rsidR="00C66416" w:rsidRPr="003722B9" w:rsidRDefault="00C66416" w:rsidP="001B5252">
      <w:pPr>
        <w:pStyle w:val="Notaalpie"/>
      </w:pPr>
      <w:r w:rsidRPr="003722B9">
        <w:rPr>
          <w:rStyle w:val="Refdenotaalpie"/>
        </w:rPr>
        <w:footnoteRef/>
      </w:r>
      <w:r w:rsidRPr="003722B9">
        <w:t xml:space="preserve"> </w:t>
      </w:r>
      <w:r w:rsidRPr="00427760">
        <w:rPr>
          <w:vertAlign w:val="superscript"/>
        </w:rPr>
        <w:t>_/</w:t>
      </w:r>
      <w:r w:rsidRPr="002E00B3">
        <w:t xml:space="preserve"> </w:t>
      </w:r>
      <w:r w:rsidRPr="00FC7AD8">
        <w:t xml:space="preserve">El costo de la evaluación considera </w:t>
      </w:r>
      <w:r>
        <w:t xml:space="preserve">también </w:t>
      </w:r>
      <w:r w:rsidRPr="00FC7AD8">
        <w:t xml:space="preserve">el desarrollo de </w:t>
      </w:r>
      <w:r>
        <w:t>una Evaluación Específica de Costo-Efectividad</w:t>
      </w:r>
      <w:r w:rsidRPr="00FC7AD8">
        <w:t xml:space="preserve"> del Pp</w:t>
      </w:r>
      <w:r>
        <w:t xml:space="preserve"> E022 Operación y Conservación de infraestructura ferroviaria con su estructura programática para 2016.</w:t>
      </w:r>
    </w:p>
  </w:footnote>
  <w:footnote w:id="6">
    <w:p w:rsidR="00C66416" w:rsidRPr="001B5252" w:rsidRDefault="00C66416" w:rsidP="001B5252">
      <w:pPr>
        <w:pStyle w:val="Textonotapie"/>
        <w:jc w:val="both"/>
      </w:pPr>
      <w:r>
        <w:rPr>
          <w:rStyle w:val="Refdenotaalpie"/>
        </w:rPr>
        <w:footnoteRef/>
      </w:r>
      <w:r>
        <w:t xml:space="preserve"> </w:t>
      </w:r>
      <w:r>
        <w:rPr>
          <w:rStyle w:val="Refdenotaalpie"/>
        </w:rPr>
        <w:t>_/</w:t>
      </w:r>
      <w:r w:rsidRPr="00814D95">
        <w:rPr>
          <w:sz w:val="22"/>
        </w:rPr>
        <w:t xml:space="preserve"> </w:t>
      </w:r>
      <w:r w:rsidRPr="001B5252">
        <w:rPr>
          <w:sz w:val="16"/>
          <w:szCs w:val="16"/>
        </w:rPr>
        <w:t>Con base en el Decreto por el que se reforman y adicionan diversas disposiciones a la Ley General de Contabilidad Gubernamental y a la Ley Federal de Presupuesto y Responsabilidad Hacendaria publicado en el Diario Oficial de la Federación el 30 de diciembre de 2015, se establece en el artículo Sexto Transitorio del mismo, que los trámites que se hayan iniciado ante la SFP en materia del Sistema de Evaluación del Desempeño serán concluidos por la SHCP, por lo que a partir del primer Informe Trimestral de 2016 se considera a la SHCP y al CONEVAL como instancias coordinadoras del seguimiento a los ASM</w:t>
      </w:r>
      <w:r>
        <w:rPr>
          <w:sz w:val="16"/>
          <w:szCs w:val="16"/>
        </w:rPr>
        <w:t>.</w:t>
      </w:r>
    </w:p>
  </w:footnote>
  <w:footnote w:id="7">
    <w:p w:rsidR="00C66416" w:rsidRPr="00814D95" w:rsidRDefault="00C66416" w:rsidP="003B3EAF">
      <w:pPr>
        <w:pStyle w:val="Notaalpie"/>
        <w:rPr>
          <w:i/>
        </w:rPr>
      </w:pPr>
      <w:r w:rsidRPr="00814D95">
        <w:t>.</w:t>
      </w:r>
    </w:p>
    <w:p w:rsidR="00C66416" w:rsidRPr="00C04A5C" w:rsidRDefault="00C66416" w:rsidP="003B3EAF">
      <w:pPr>
        <w:pStyle w:val="Textonotapie"/>
        <w:jc w:val="both"/>
        <w:rPr>
          <w:sz w:val="12"/>
          <w:lang w:val="es-MX"/>
        </w:rPr>
      </w:pPr>
    </w:p>
  </w:footnote>
  <w:footnote w:id="8">
    <w:p w:rsidR="00C66416" w:rsidRPr="001B5252" w:rsidRDefault="00C66416" w:rsidP="001B5252">
      <w:pPr>
        <w:pStyle w:val="Textonotapie"/>
        <w:jc w:val="both"/>
      </w:pPr>
      <w:r>
        <w:rPr>
          <w:rStyle w:val="Refdenotaalpie"/>
        </w:rPr>
        <w:footnoteRef/>
      </w:r>
      <w:r>
        <w:t xml:space="preserve"> </w:t>
      </w:r>
      <w:r>
        <w:rPr>
          <w:rStyle w:val="Refdenotaalpie"/>
        </w:rPr>
        <w:t>_/</w:t>
      </w:r>
      <w:r>
        <w:rPr>
          <w:rFonts w:eastAsia="Times New Roman"/>
          <w:sz w:val="14"/>
          <w:szCs w:val="18"/>
          <w:lang w:val="es-MX" w:eastAsia="zh-CN"/>
        </w:rPr>
        <w:t xml:space="preserve"> </w:t>
      </w:r>
      <w:r w:rsidRPr="00814D95">
        <w:rPr>
          <w:sz w:val="16"/>
          <w:szCs w:val="16"/>
          <w:lang w:val="es-MX"/>
        </w:rPr>
        <w:t xml:space="preserve">Como resultado </w:t>
      </w:r>
      <w:r>
        <w:rPr>
          <w:sz w:val="16"/>
          <w:szCs w:val="16"/>
          <w:lang w:val="es-MX"/>
        </w:rPr>
        <w:t>d</w:t>
      </w:r>
      <w:r w:rsidRPr="00814D95">
        <w:rPr>
          <w:sz w:val="16"/>
          <w:szCs w:val="16"/>
          <w:lang w:val="es-MX"/>
        </w:rPr>
        <w:t>el Decreto</w:t>
      </w:r>
      <w:r>
        <w:rPr>
          <w:sz w:val="16"/>
          <w:szCs w:val="16"/>
          <w:lang w:val="es-MX"/>
        </w:rPr>
        <w:t xml:space="preserve"> de creación de </w:t>
      </w:r>
      <w:r w:rsidRPr="00814D95">
        <w:rPr>
          <w:sz w:val="16"/>
          <w:szCs w:val="16"/>
          <w:lang w:val="es-MX"/>
        </w:rPr>
        <w:t>la Secretaría de Cultura</w:t>
      </w:r>
      <w:r>
        <w:rPr>
          <w:sz w:val="16"/>
          <w:szCs w:val="16"/>
          <w:lang w:val="es-MX"/>
        </w:rPr>
        <w:t>,</w:t>
      </w:r>
      <w:r w:rsidRPr="00814D95">
        <w:rPr>
          <w:sz w:val="16"/>
          <w:szCs w:val="16"/>
          <w:lang w:val="es-MX"/>
        </w:rPr>
        <w:t xml:space="preserve"> publicado el 17 de diciembre de 2015 en el Diario Oficial de la Federación, </w:t>
      </w:r>
      <w:r>
        <w:rPr>
          <w:sz w:val="16"/>
          <w:szCs w:val="16"/>
          <w:lang w:val="es-MX"/>
        </w:rPr>
        <w:t xml:space="preserve">se modificó la estructura presupuestal </w:t>
      </w:r>
      <w:r w:rsidRPr="00814D95">
        <w:rPr>
          <w:sz w:val="16"/>
          <w:szCs w:val="16"/>
          <w:lang w:val="es-MX"/>
        </w:rPr>
        <w:t>del Ramo 11,</w:t>
      </w:r>
      <w:r>
        <w:rPr>
          <w:sz w:val="16"/>
          <w:szCs w:val="16"/>
          <w:lang w:val="es-MX"/>
        </w:rPr>
        <w:t xml:space="preserve"> por lo que </w:t>
      </w:r>
      <w:r w:rsidRPr="00814D95">
        <w:rPr>
          <w:sz w:val="16"/>
          <w:szCs w:val="16"/>
          <w:lang w:val="es-MX"/>
        </w:rPr>
        <w:t xml:space="preserve">los Pp con evaluaciones concluidas en </w:t>
      </w:r>
      <w:r>
        <w:rPr>
          <w:sz w:val="16"/>
          <w:szCs w:val="16"/>
          <w:lang w:val="es-MX"/>
        </w:rPr>
        <w:t xml:space="preserve">el ejercicio </w:t>
      </w:r>
      <w:r w:rsidRPr="00814D95">
        <w:rPr>
          <w:sz w:val="16"/>
          <w:szCs w:val="16"/>
          <w:lang w:val="es-MX"/>
        </w:rPr>
        <w:t>2015</w:t>
      </w:r>
      <w:r>
        <w:rPr>
          <w:sz w:val="16"/>
          <w:szCs w:val="16"/>
          <w:lang w:val="es-MX"/>
        </w:rPr>
        <w:t xml:space="preserve"> y </w:t>
      </w:r>
      <w:r w:rsidRPr="00814D95">
        <w:rPr>
          <w:sz w:val="16"/>
          <w:szCs w:val="16"/>
          <w:lang w:val="es-MX"/>
        </w:rPr>
        <w:t>que</w:t>
      </w:r>
      <w:r>
        <w:rPr>
          <w:sz w:val="16"/>
          <w:szCs w:val="16"/>
          <w:lang w:val="es-MX"/>
        </w:rPr>
        <w:t xml:space="preserve"> en el ejercicio 2016 fueron reubicados </w:t>
      </w:r>
      <w:r w:rsidRPr="00814D95">
        <w:rPr>
          <w:sz w:val="16"/>
          <w:szCs w:val="16"/>
          <w:lang w:val="es-MX"/>
        </w:rPr>
        <w:t>al Ramo 48 Cultura, re</w:t>
      </w:r>
      <w:r>
        <w:rPr>
          <w:sz w:val="16"/>
          <w:szCs w:val="16"/>
          <w:lang w:val="es-MX"/>
        </w:rPr>
        <w:t>gistraron</w:t>
      </w:r>
      <w:r w:rsidRPr="00814D95">
        <w:rPr>
          <w:sz w:val="16"/>
          <w:szCs w:val="16"/>
          <w:lang w:val="es-MX"/>
        </w:rPr>
        <w:t xml:space="preserve"> </w:t>
      </w:r>
      <w:r>
        <w:rPr>
          <w:sz w:val="16"/>
          <w:szCs w:val="16"/>
          <w:lang w:val="es-MX"/>
        </w:rPr>
        <w:t>los</w:t>
      </w:r>
      <w:r w:rsidRPr="00814D95">
        <w:rPr>
          <w:sz w:val="16"/>
          <w:szCs w:val="16"/>
          <w:lang w:val="es-MX"/>
        </w:rPr>
        <w:t xml:space="preserve"> ASM </w:t>
      </w:r>
      <w:r>
        <w:rPr>
          <w:sz w:val="16"/>
          <w:szCs w:val="16"/>
          <w:lang w:val="es-MX"/>
        </w:rPr>
        <w:t>suscritos</w:t>
      </w:r>
      <w:r w:rsidRPr="00814D95">
        <w:rPr>
          <w:sz w:val="16"/>
          <w:szCs w:val="16"/>
          <w:lang w:val="es-MX"/>
        </w:rPr>
        <w:t xml:space="preserve"> en el agregado </w:t>
      </w:r>
      <w:r>
        <w:rPr>
          <w:sz w:val="16"/>
          <w:szCs w:val="16"/>
          <w:lang w:val="es-MX"/>
        </w:rPr>
        <w:t xml:space="preserve">del Ramo 11, </w:t>
      </w:r>
      <w:r w:rsidRPr="00814D95">
        <w:rPr>
          <w:sz w:val="16"/>
          <w:szCs w:val="16"/>
          <w:lang w:val="es-MX"/>
        </w:rPr>
        <w:t>en tanto se define que reporten ya con el Ramo correspondiente.</w:t>
      </w:r>
    </w:p>
  </w:footnote>
  <w:footnote w:id="9">
    <w:p w:rsidR="00C66416" w:rsidRPr="000E7D9A" w:rsidRDefault="00C66416" w:rsidP="00607F71">
      <w:pPr>
        <w:pStyle w:val="Textonotapie"/>
        <w:jc w:val="both"/>
        <w:rPr>
          <w:rFonts w:eastAsia="Times New Roman"/>
          <w:sz w:val="14"/>
          <w:szCs w:val="18"/>
          <w:lang w:val="es-MX" w:eastAsia="zh-CN"/>
        </w:rPr>
      </w:pPr>
    </w:p>
  </w:footnote>
  <w:footnote w:id="10">
    <w:p w:rsidR="00C66416" w:rsidRPr="001B5252" w:rsidRDefault="00C66416" w:rsidP="001B5252">
      <w:pPr>
        <w:pStyle w:val="Textonotapie"/>
        <w:jc w:val="both"/>
      </w:pPr>
      <w:r>
        <w:rPr>
          <w:rStyle w:val="Refdenotaalpie"/>
        </w:rPr>
        <w:footnoteRef/>
      </w:r>
      <w:r>
        <w:t xml:space="preserve"> </w:t>
      </w:r>
      <w:r w:rsidRPr="00814D95">
        <w:rPr>
          <w:rStyle w:val="Refdenotaalpie"/>
          <w:sz w:val="22"/>
        </w:rPr>
        <w:t>_/</w:t>
      </w:r>
      <w:r>
        <w:rPr>
          <w:sz w:val="22"/>
        </w:rPr>
        <w:t xml:space="preserve"> </w:t>
      </w:r>
      <w:r w:rsidRPr="00814D95">
        <w:rPr>
          <w:rFonts w:eastAsia="Times New Roman"/>
          <w:sz w:val="16"/>
          <w:szCs w:val="18"/>
          <w:lang w:val="es-MX" w:eastAsia="zh-CN"/>
        </w:rPr>
        <w:t>Estos A</w:t>
      </w:r>
      <w:r>
        <w:rPr>
          <w:rFonts w:eastAsia="Times New Roman"/>
          <w:sz w:val="16"/>
          <w:szCs w:val="18"/>
          <w:lang w:val="es-MX" w:eastAsia="zh-CN"/>
        </w:rPr>
        <w:t>SM</w:t>
      </w:r>
      <w:r w:rsidRPr="00814D95">
        <w:rPr>
          <w:rFonts w:eastAsia="Times New Roman"/>
          <w:sz w:val="16"/>
          <w:szCs w:val="18"/>
          <w:lang w:val="es-MX" w:eastAsia="zh-CN"/>
        </w:rPr>
        <w:t xml:space="preserve"> son resultado de las Fichas de Monitoreo y Evaluación; asimismo, se incluyen ASM derivados de otros ejercicios de evaluación, tales como Evaluación de Satisfacción de Usuarios, Actualizaciones al Diagnóstico de los Pp, Estudios de cobertura, etc., que coordinó el CONEVAL.</w:t>
      </w:r>
    </w:p>
  </w:footnote>
  <w:footnote w:id="11">
    <w:p w:rsidR="00C66416" w:rsidRPr="00515560" w:rsidRDefault="00C66416" w:rsidP="003B3EAF">
      <w:pPr>
        <w:pStyle w:val="Textonotapie"/>
        <w:jc w:val="both"/>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16" w:rsidRDefault="00C66416" w:rsidP="00984F29">
    <w:pPr>
      <w:pStyle w:val="Encabezado"/>
      <w:tabs>
        <w:tab w:val="left" w:pos="9781"/>
      </w:tabs>
    </w:pPr>
    <w:r>
      <w:rPr>
        <w:noProof/>
        <w:lang w:val="es-MX" w:eastAsia="es-MX"/>
      </w:rPr>
      <w:drawing>
        <wp:inline distT="0" distB="0" distL="0" distR="0" wp14:anchorId="0AC80DFB" wp14:editId="37CD1978">
          <wp:extent cx="1276350" cy="390525"/>
          <wp:effectExtent l="1905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rsidR="00C66416" w:rsidRDefault="00C66416"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5256EEC7" wp14:editId="6C132E7E">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D2A3A3"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416" w:rsidRDefault="00C66416" w:rsidP="008E5805">
    <w:pPr>
      <w:pStyle w:val="Encabezado"/>
      <w:spacing w:after="0"/>
    </w:pPr>
    <w:r>
      <w:rPr>
        <w:noProof/>
        <w:lang w:val="es-MX" w:eastAsia="es-MX"/>
      </w:rPr>
      <mc:AlternateContent>
        <mc:Choice Requires="wps">
          <w:drawing>
            <wp:anchor distT="0" distB="0" distL="114300" distR="114300" simplePos="0" relativeHeight="251657216" behindDoc="0" locked="0" layoutInCell="1" allowOverlap="1" wp14:anchorId="36EB8EAF" wp14:editId="05CDB39B">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C66416" w:rsidRPr="004A0C69" w:rsidRDefault="00C66416"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B8EAF"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leyd3d4AAAALAQAADwAAAGRycy9kb3ducmV2LnhtbEyPTU7DMBBG&#10;90jcwZpK7Fq7UKIoxKkQUgVCbAg9gBu7cZR4bMV2Ejg9zgp28/P0zZvyuJiBTGr0nUUO+x0DorCx&#10;ssOWw/nrtM2B+CBQisGi4vCtPByr25tSFNLO+KmmOrQkhaAvBAcdgiso9Y1WRviddQrT7mpHI0Jq&#10;x5bKUcwp3Az0nrGMGtFhuqCFUy9aNX0dDYdTfH0z0w+N7r1uZtSuj+ePnvO7zfL8BCSoJfzBsOon&#10;daiS08VGlJ4MHB7zLEsoh+1hD2QF2IGlyWWt8gegVUn//1D9AgAA//8DAFBLAQItABQABgAIAAAA&#10;IQC2gziS/gAAAOEBAAATAAAAAAAAAAAAAAAAAAAAAABbQ29udGVudF9UeXBlc10ueG1sUEsBAi0A&#10;FAAGAAgAAAAhADj9If/WAAAAlAEAAAsAAAAAAAAAAAAAAAAALwEAAF9yZWxzLy5yZWxzUEsBAi0A&#10;FAAGAAgAAAAhAPoIrJGQAgAA9wQAAA4AAAAAAAAAAAAAAAAALgIAAGRycy9lMm9Eb2MueG1sUEsB&#10;Ai0AFAAGAAgAAAAhAJXsnd3eAAAACwEAAA8AAAAAAAAAAAAAAAAA6gQAAGRycy9kb3ducmV2Lnht&#10;bFBLBQYAAAAABAAEAPMAAAD1BQAAAAA=&#10;" filled="f" stroked="f">
              <v:path arrowok="t"/>
              <v:textbox>
                <w:txbxContent>
                  <w:p w:rsidR="00C66416" w:rsidRPr="004A0C69" w:rsidRDefault="00C66416"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rsidR="00C66416" w:rsidRDefault="00C66416" w:rsidP="008E5805">
    <w:pPr>
      <w:pStyle w:val="Encabezado"/>
      <w:spacing w:after="0"/>
    </w:pPr>
    <w:r w:rsidRPr="003B3EAF">
      <w:t xml:space="preserve">Segundo </w:t>
    </w:r>
    <w:r w:rsidRPr="00FB2904">
      <w:t>Trimestre</w:t>
    </w:r>
    <w:r w:rsidRPr="004A0C69">
      <w:t xml:space="preserve"> de 201</w:t>
    </w:r>
    <w:r>
      <w:t>6</w:t>
    </w:r>
  </w:p>
  <w:p w:rsidR="00C66416" w:rsidRDefault="00C66416" w:rsidP="008E5805">
    <w:pPr>
      <w:pStyle w:val="Encabezado"/>
      <w:spacing w:after="0"/>
    </w:pPr>
  </w:p>
  <w:p w:rsidR="00C66416" w:rsidRDefault="00C66416" w:rsidP="008E5805">
    <w:pPr>
      <w:pStyle w:val="Encabezado"/>
      <w:spacing w:after="0"/>
    </w:pPr>
    <w:r>
      <w:rPr>
        <w:noProof/>
        <w:lang w:val="es-MX" w:eastAsia="es-MX"/>
      </w:rPr>
      <mc:AlternateContent>
        <mc:Choice Requires="wps">
          <w:drawing>
            <wp:anchor distT="4294967295" distB="4294967295" distL="114300" distR="114300" simplePos="0" relativeHeight="251661312" behindDoc="1" locked="0" layoutInCell="1" allowOverlap="1" wp14:anchorId="3F700797" wp14:editId="47E0143B">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bodyPr/>
                  </wps:wsp>
                </a:graphicData>
              </a:graphic>
              <wp14:sizeRelH relativeFrom="margin">
                <wp14:pctWidth>0</wp14:pctWidth>
              </wp14:sizeRelH>
              <wp14:sizeRelV relativeFrom="margin">
                <wp14:pctHeight>0</wp14:pctHeight>
              </wp14:sizeRelV>
            </wp:anchor>
          </w:drawing>
        </mc:Choice>
        <mc:Fallback>
          <w:pict>
            <v:line w14:anchorId="0D46C84A" id="Conector recto 1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0C9433B6"/>
    <w:multiLevelType w:val="hybridMultilevel"/>
    <w:tmpl w:val="0108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670E7D"/>
    <w:multiLevelType w:val="multilevel"/>
    <w:tmpl w:val="FED6E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6FD6F73"/>
    <w:multiLevelType w:val="hybridMultilevel"/>
    <w:tmpl w:val="DD50F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9"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85D0B96"/>
    <w:multiLevelType w:val="hybridMultilevel"/>
    <w:tmpl w:val="791CB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AD6A4A"/>
    <w:multiLevelType w:val="hybridMultilevel"/>
    <w:tmpl w:val="ECC6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F832F5"/>
    <w:multiLevelType w:val="hybridMultilevel"/>
    <w:tmpl w:val="56B82FBC"/>
    <w:name w:val="Lista de titulos23233"/>
    <w:lvl w:ilvl="0" w:tplc="3FD67BD8">
      <w:start w:val="1"/>
      <w:numFmt w:val="decimal"/>
      <w:lvlText w:val="%1_/"/>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034279"/>
    <w:multiLevelType w:val="hybridMultilevel"/>
    <w:tmpl w:val="CF7E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6"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7"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8" w15:restartNumberingAfterBreak="0">
    <w:nsid w:val="6EBC04D6"/>
    <w:multiLevelType w:val="hybridMultilevel"/>
    <w:tmpl w:val="680E73AA"/>
    <w:lvl w:ilvl="0" w:tplc="AFF83424">
      <w:start w:val="1"/>
      <w:numFmt w:val="bullet"/>
      <w:pStyle w:val="Bala"/>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0"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1" w15:restartNumberingAfterBreak="0">
    <w:nsid w:val="7BDA2A4A"/>
    <w:multiLevelType w:val="hybridMultilevel"/>
    <w:tmpl w:val="385C9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AB2A73"/>
    <w:multiLevelType w:val="hybridMultilevel"/>
    <w:tmpl w:val="56CAF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18"/>
  </w:num>
  <w:num w:numId="2">
    <w:abstractNumId w:val="16"/>
  </w:num>
  <w:num w:numId="3">
    <w:abstractNumId w:val="9"/>
  </w:num>
  <w:num w:numId="4">
    <w:abstractNumId w:val="19"/>
  </w:num>
  <w:num w:numId="5">
    <w:abstractNumId w:val="15"/>
  </w:num>
  <w:num w:numId="6">
    <w:abstractNumId w:val="13"/>
  </w:num>
  <w:num w:numId="7">
    <w:abstractNumId w:val="1"/>
  </w:num>
  <w:num w:numId="8">
    <w:abstractNumId w:val="17"/>
  </w:num>
  <w:num w:numId="9">
    <w:abstractNumId w:val="23"/>
  </w:num>
  <w:num w:numId="10">
    <w:abstractNumId w:val="20"/>
  </w:num>
  <w:num w:numId="11">
    <w:abstractNumId w:val="8"/>
  </w:num>
  <w:num w:numId="12">
    <w:abstractNumId w:val="3"/>
  </w:num>
  <w:num w:numId="13">
    <w:abstractNumId w:val="7"/>
  </w:num>
  <w:num w:numId="14">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15">
    <w:abstractNumId w:val="4"/>
  </w:num>
  <w:num w:numId="16">
    <w:abstractNumId w:val="10"/>
  </w:num>
  <w:num w:numId="17">
    <w:abstractNumId w:val="14"/>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6"/>
  </w:num>
  <w:num w:numId="22">
    <w:abstractNumId w:val="22"/>
  </w:num>
  <w:num w:numId="23">
    <w:abstractNumId w:val="11"/>
  </w:num>
  <w:num w:numId="24">
    <w:abstractNumId w:val="2"/>
  </w:num>
  <w:num w:numId="2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E7"/>
    <w:rsid w:val="00003182"/>
    <w:rsid w:val="00003190"/>
    <w:rsid w:val="000036E8"/>
    <w:rsid w:val="00011EF4"/>
    <w:rsid w:val="0001521C"/>
    <w:rsid w:val="000159C8"/>
    <w:rsid w:val="00017F28"/>
    <w:rsid w:val="00023138"/>
    <w:rsid w:val="0002526E"/>
    <w:rsid w:val="00027F12"/>
    <w:rsid w:val="000307D9"/>
    <w:rsid w:val="000318EE"/>
    <w:rsid w:val="000373CE"/>
    <w:rsid w:val="00043120"/>
    <w:rsid w:val="000466D0"/>
    <w:rsid w:val="00070FA4"/>
    <w:rsid w:val="000735B0"/>
    <w:rsid w:val="00074A8B"/>
    <w:rsid w:val="000818F4"/>
    <w:rsid w:val="00082478"/>
    <w:rsid w:val="00090372"/>
    <w:rsid w:val="00097FB9"/>
    <w:rsid w:val="000A0B5E"/>
    <w:rsid w:val="000A22C6"/>
    <w:rsid w:val="000A2E2A"/>
    <w:rsid w:val="000A457E"/>
    <w:rsid w:val="000B526A"/>
    <w:rsid w:val="000B66D1"/>
    <w:rsid w:val="000C1E62"/>
    <w:rsid w:val="000D1E23"/>
    <w:rsid w:val="000D43CE"/>
    <w:rsid w:val="000D47B1"/>
    <w:rsid w:val="00107564"/>
    <w:rsid w:val="0011100D"/>
    <w:rsid w:val="0011245B"/>
    <w:rsid w:val="00126D67"/>
    <w:rsid w:val="00145C3B"/>
    <w:rsid w:val="00156A6D"/>
    <w:rsid w:val="00161745"/>
    <w:rsid w:val="001706E8"/>
    <w:rsid w:val="00174AAE"/>
    <w:rsid w:val="00186BFE"/>
    <w:rsid w:val="001878A0"/>
    <w:rsid w:val="00190204"/>
    <w:rsid w:val="001B1859"/>
    <w:rsid w:val="001B345D"/>
    <w:rsid w:val="001B3A9C"/>
    <w:rsid w:val="001B5252"/>
    <w:rsid w:val="001C5AF5"/>
    <w:rsid w:val="001C60C2"/>
    <w:rsid w:val="001D7356"/>
    <w:rsid w:val="001E11FF"/>
    <w:rsid w:val="001E1744"/>
    <w:rsid w:val="001E2A81"/>
    <w:rsid w:val="001E694C"/>
    <w:rsid w:val="00204F14"/>
    <w:rsid w:val="0020654C"/>
    <w:rsid w:val="00220ADE"/>
    <w:rsid w:val="00224A8F"/>
    <w:rsid w:val="0022528B"/>
    <w:rsid w:val="00237CB2"/>
    <w:rsid w:val="0024268A"/>
    <w:rsid w:val="00266A04"/>
    <w:rsid w:val="00267C9C"/>
    <w:rsid w:val="00275AE5"/>
    <w:rsid w:val="0028554A"/>
    <w:rsid w:val="00285E1E"/>
    <w:rsid w:val="0028718E"/>
    <w:rsid w:val="00293B22"/>
    <w:rsid w:val="00294333"/>
    <w:rsid w:val="002A3555"/>
    <w:rsid w:val="002A5F10"/>
    <w:rsid w:val="002C0FD1"/>
    <w:rsid w:val="002C6A61"/>
    <w:rsid w:val="002D08D4"/>
    <w:rsid w:val="002E6F03"/>
    <w:rsid w:val="002F6030"/>
    <w:rsid w:val="00305E0F"/>
    <w:rsid w:val="00312FEA"/>
    <w:rsid w:val="00314F63"/>
    <w:rsid w:val="003220CC"/>
    <w:rsid w:val="00323771"/>
    <w:rsid w:val="00335691"/>
    <w:rsid w:val="00335B08"/>
    <w:rsid w:val="00347634"/>
    <w:rsid w:val="00353D90"/>
    <w:rsid w:val="00357252"/>
    <w:rsid w:val="00363D07"/>
    <w:rsid w:val="003658C6"/>
    <w:rsid w:val="00370FB5"/>
    <w:rsid w:val="003722B9"/>
    <w:rsid w:val="0037606D"/>
    <w:rsid w:val="00376EAF"/>
    <w:rsid w:val="003829A4"/>
    <w:rsid w:val="003844F5"/>
    <w:rsid w:val="00394B66"/>
    <w:rsid w:val="00395DF1"/>
    <w:rsid w:val="003A4D14"/>
    <w:rsid w:val="003A7244"/>
    <w:rsid w:val="003B3EAF"/>
    <w:rsid w:val="003B6012"/>
    <w:rsid w:val="003C1811"/>
    <w:rsid w:val="003D057A"/>
    <w:rsid w:val="003D6BCE"/>
    <w:rsid w:val="003E4F0E"/>
    <w:rsid w:val="003F044D"/>
    <w:rsid w:val="003F2490"/>
    <w:rsid w:val="00401190"/>
    <w:rsid w:val="004020D4"/>
    <w:rsid w:val="0040342F"/>
    <w:rsid w:val="00417554"/>
    <w:rsid w:val="004217B7"/>
    <w:rsid w:val="004236A3"/>
    <w:rsid w:val="00424E2F"/>
    <w:rsid w:val="00427760"/>
    <w:rsid w:val="00431EE9"/>
    <w:rsid w:val="00433667"/>
    <w:rsid w:val="00433F96"/>
    <w:rsid w:val="004350B8"/>
    <w:rsid w:val="00450F7C"/>
    <w:rsid w:val="00452383"/>
    <w:rsid w:val="00452B99"/>
    <w:rsid w:val="00455207"/>
    <w:rsid w:val="0045730D"/>
    <w:rsid w:val="004609F7"/>
    <w:rsid w:val="00465A92"/>
    <w:rsid w:val="004A0C69"/>
    <w:rsid w:val="004A2C25"/>
    <w:rsid w:val="004A36A2"/>
    <w:rsid w:val="004A3E79"/>
    <w:rsid w:val="004A7995"/>
    <w:rsid w:val="004B056D"/>
    <w:rsid w:val="004B5937"/>
    <w:rsid w:val="004C02E8"/>
    <w:rsid w:val="004C0521"/>
    <w:rsid w:val="004C1080"/>
    <w:rsid w:val="004C3647"/>
    <w:rsid w:val="004C560B"/>
    <w:rsid w:val="004D0AB8"/>
    <w:rsid w:val="004E6B3B"/>
    <w:rsid w:val="004F2D08"/>
    <w:rsid w:val="005005BC"/>
    <w:rsid w:val="00503632"/>
    <w:rsid w:val="00504083"/>
    <w:rsid w:val="00504FFB"/>
    <w:rsid w:val="005052FB"/>
    <w:rsid w:val="00511187"/>
    <w:rsid w:val="00514CB4"/>
    <w:rsid w:val="00520AE8"/>
    <w:rsid w:val="00520B29"/>
    <w:rsid w:val="005253B1"/>
    <w:rsid w:val="00543153"/>
    <w:rsid w:val="00551E1D"/>
    <w:rsid w:val="00552124"/>
    <w:rsid w:val="00556B03"/>
    <w:rsid w:val="005711A3"/>
    <w:rsid w:val="00577122"/>
    <w:rsid w:val="00577CF4"/>
    <w:rsid w:val="005831DD"/>
    <w:rsid w:val="00590907"/>
    <w:rsid w:val="005B73CF"/>
    <w:rsid w:val="005C24DB"/>
    <w:rsid w:val="005C6935"/>
    <w:rsid w:val="005D6459"/>
    <w:rsid w:val="005D759D"/>
    <w:rsid w:val="005E483C"/>
    <w:rsid w:val="005E4A3E"/>
    <w:rsid w:val="005E6266"/>
    <w:rsid w:val="005F00AF"/>
    <w:rsid w:val="00607F71"/>
    <w:rsid w:val="006165F5"/>
    <w:rsid w:val="00627A2F"/>
    <w:rsid w:val="00660439"/>
    <w:rsid w:val="0066350A"/>
    <w:rsid w:val="00664AEB"/>
    <w:rsid w:val="00666188"/>
    <w:rsid w:val="006679B9"/>
    <w:rsid w:val="00670360"/>
    <w:rsid w:val="00676603"/>
    <w:rsid w:val="00682AF4"/>
    <w:rsid w:val="00683980"/>
    <w:rsid w:val="00683EAD"/>
    <w:rsid w:val="006940AE"/>
    <w:rsid w:val="006A03A5"/>
    <w:rsid w:val="006A207A"/>
    <w:rsid w:val="006A2EB1"/>
    <w:rsid w:val="006A4FB9"/>
    <w:rsid w:val="006A524A"/>
    <w:rsid w:val="006B2A9E"/>
    <w:rsid w:val="006B4E5F"/>
    <w:rsid w:val="006B532E"/>
    <w:rsid w:val="006C2D35"/>
    <w:rsid w:val="006D0C4B"/>
    <w:rsid w:val="006E583F"/>
    <w:rsid w:val="006E5BA2"/>
    <w:rsid w:val="006E79E8"/>
    <w:rsid w:val="006F4565"/>
    <w:rsid w:val="007027E8"/>
    <w:rsid w:val="00703B10"/>
    <w:rsid w:val="00704966"/>
    <w:rsid w:val="007073E4"/>
    <w:rsid w:val="0070748E"/>
    <w:rsid w:val="007205F3"/>
    <w:rsid w:val="0072140E"/>
    <w:rsid w:val="0072570A"/>
    <w:rsid w:val="007259BA"/>
    <w:rsid w:val="00726990"/>
    <w:rsid w:val="007300B7"/>
    <w:rsid w:val="00730C98"/>
    <w:rsid w:val="00732C06"/>
    <w:rsid w:val="007338C6"/>
    <w:rsid w:val="00735B6E"/>
    <w:rsid w:val="00747F63"/>
    <w:rsid w:val="0076079C"/>
    <w:rsid w:val="00761346"/>
    <w:rsid w:val="00764BFE"/>
    <w:rsid w:val="00766A55"/>
    <w:rsid w:val="00771705"/>
    <w:rsid w:val="0078366B"/>
    <w:rsid w:val="0078557B"/>
    <w:rsid w:val="007928FC"/>
    <w:rsid w:val="007931EF"/>
    <w:rsid w:val="007A3BF7"/>
    <w:rsid w:val="007A6E77"/>
    <w:rsid w:val="007B433A"/>
    <w:rsid w:val="007B6212"/>
    <w:rsid w:val="007C5B72"/>
    <w:rsid w:val="007F11AD"/>
    <w:rsid w:val="007F45CE"/>
    <w:rsid w:val="007F7C25"/>
    <w:rsid w:val="00816EA8"/>
    <w:rsid w:val="00821ADF"/>
    <w:rsid w:val="00821DAF"/>
    <w:rsid w:val="0085320B"/>
    <w:rsid w:val="008606E4"/>
    <w:rsid w:val="008655E9"/>
    <w:rsid w:val="00866377"/>
    <w:rsid w:val="008674B1"/>
    <w:rsid w:val="00870459"/>
    <w:rsid w:val="008774EC"/>
    <w:rsid w:val="008822DF"/>
    <w:rsid w:val="008834D9"/>
    <w:rsid w:val="00892EBD"/>
    <w:rsid w:val="008936A5"/>
    <w:rsid w:val="00893AF8"/>
    <w:rsid w:val="00893BAB"/>
    <w:rsid w:val="008A5271"/>
    <w:rsid w:val="008C148D"/>
    <w:rsid w:val="008D4575"/>
    <w:rsid w:val="008D5FBB"/>
    <w:rsid w:val="008E02FA"/>
    <w:rsid w:val="008E5805"/>
    <w:rsid w:val="008F0666"/>
    <w:rsid w:val="009027BC"/>
    <w:rsid w:val="009047B6"/>
    <w:rsid w:val="0090503B"/>
    <w:rsid w:val="00910260"/>
    <w:rsid w:val="009176AD"/>
    <w:rsid w:val="0092116C"/>
    <w:rsid w:val="009215C1"/>
    <w:rsid w:val="009226FD"/>
    <w:rsid w:val="0093389F"/>
    <w:rsid w:val="00933B00"/>
    <w:rsid w:val="00940F6E"/>
    <w:rsid w:val="00945AEB"/>
    <w:rsid w:val="00965D6E"/>
    <w:rsid w:val="009677F0"/>
    <w:rsid w:val="009755B0"/>
    <w:rsid w:val="009811C5"/>
    <w:rsid w:val="00984F29"/>
    <w:rsid w:val="00996A95"/>
    <w:rsid w:val="009A1620"/>
    <w:rsid w:val="009A3A7C"/>
    <w:rsid w:val="009A41B4"/>
    <w:rsid w:val="009A5FF5"/>
    <w:rsid w:val="009A7C2E"/>
    <w:rsid w:val="009B31A9"/>
    <w:rsid w:val="009B3D9C"/>
    <w:rsid w:val="009B70BD"/>
    <w:rsid w:val="009C2991"/>
    <w:rsid w:val="009D2844"/>
    <w:rsid w:val="009D5C9A"/>
    <w:rsid w:val="009D7040"/>
    <w:rsid w:val="009F41E8"/>
    <w:rsid w:val="009F620B"/>
    <w:rsid w:val="009F7FE7"/>
    <w:rsid w:val="00A10F06"/>
    <w:rsid w:val="00A12B04"/>
    <w:rsid w:val="00A27307"/>
    <w:rsid w:val="00A311D6"/>
    <w:rsid w:val="00A33F62"/>
    <w:rsid w:val="00A36FA3"/>
    <w:rsid w:val="00A37DEC"/>
    <w:rsid w:val="00A42609"/>
    <w:rsid w:val="00A45DC6"/>
    <w:rsid w:val="00A54542"/>
    <w:rsid w:val="00A57D20"/>
    <w:rsid w:val="00A63DBC"/>
    <w:rsid w:val="00A6679C"/>
    <w:rsid w:val="00A6754B"/>
    <w:rsid w:val="00A71302"/>
    <w:rsid w:val="00A91BEB"/>
    <w:rsid w:val="00A9469B"/>
    <w:rsid w:val="00A95BF3"/>
    <w:rsid w:val="00AA617F"/>
    <w:rsid w:val="00AA77EE"/>
    <w:rsid w:val="00AB1284"/>
    <w:rsid w:val="00AB4179"/>
    <w:rsid w:val="00AB7412"/>
    <w:rsid w:val="00AC5A65"/>
    <w:rsid w:val="00AD035B"/>
    <w:rsid w:val="00AD6712"/>
    <w:rsid w:val="00AE7A2C"/>
    <w:rsid w:val="00AF0F75"/>
    <w:rsid w:val="00AF156D"/>
    <w:rsid w:val="00AF6AED"/>
    <w:rsid w:val="00B055C7"/>
    <w:rsid w:val="00B05864"/>
    <w:rsid w:val="00B1766D"/>
    <w:rsid w:val="00B239C1"/>
    <w:rsid w:val="00B30AE6"/>
    <w:rsid w:val="00B33B28"/>
    <w:rsid w:val="00B345B5"/>
    <w:rsid w:val="00B3775D"/>
    <w:rsid w:val="00B555F3"/>
    <w:rsid w:val="00B666D5"/>
    <w:rsid w:val="00B71005"/>
    <w:rsid w:val="00B72D60"/>
    <w:rsid w:val="00B82045"/>
    <w:rsid w:val="00B8627D"/>
    <w:rsid w:val="00BA7C4F"/>
    <w:rsid w:val="00BD4A6A"/>
    <w:rsid w:val="00BD4D05"/>
    <w:rsid w:val="00BE3351"/>
    <w:rsid w:val="00BE66C2"/>
    <w:rsid w:val="00BE6AF1"/>
    <w:rsid w:val="00BF0272"/>
    <w:rsid w:val="00C028A5"/>
    <w:rsid w:val="00C06E5E"/>
    <w:rsid w:val="00C145EF"/>
    <w:rsid w:val="00C17C88"/>
    <w:rsid w:val="00C441AA"/>
    <w:rsid w:val="00C46B80"/>
    <w:rsid w:val="00C5507F"/>
    <w:rsid w:val="00C636BA"/>
    <w:rsid w:val="00C66416"/>
    <w:rsid w:val="00C839E8"/>
    <w:rsid w:val="00C92F7A"/>
    <w:rsid w:val="00C968D7"/>
    <w:rsid w:val="00CA01A1"/>
    <w:rsid w:val="00CA2B38"/>
    <w:rsid w:val="00CA540E"/>
    <w:rsid w:val="00CD4D0C"/>
    <w:rsid w:val="00CD5BAE"/>
    <w:rsid w:val="00CD7507"/>
    <w:rsid w:val="00CE2373"/>
    <w:rsid w:val="00CE4711"/>
    <w:rsid w:val="00CE647B"/>
    <w:rsid w:val="00D0252E"/>
    <w:rsid w:val="00D05097"/>
    <w:rsid w:val="00D05EFC"/>
    <w:rsid w:val="00D170C7"/>
    <w:rsid w:val="00D22EC2"/>
    <w:rsid w:val="00D3113C"/>
    <w:rsid w:val="00D566C7"/>
    <w:rsid w:val="00D57F4F"/>
    <w:rsid w:val="00D60013"/>
    <w:rsid w:val="00D64A69"/>
    <w:rsid w:val="00D7308F"/>
    <w:rsid w:val="00D73974"/>
    <w:rsid w:val="00D77099"/>
    <w:rsid w:val="00D900BA"/>
    <w:rsid w:val="00D93E34"/>
    <w:rsid w:val="00D9708C"/>
    <w:rsid w:val="00DA246A"/>
    <w:rsid w:val="00DA3388"/>
    <w:rsid w:val="00DA3D2F"/>
    <w:rsid w:val="00DA4213"/>
    <w:rsid w:val="00DA4DC6"/>
    <w:rsid w:val="00DC02E6"/>
    <w:rsid w:val="00DD091F"/>
    <w:rsid w:val="00DD30A2"/>
    <w:rsid w:val="00DD427D"/>
    <w:rsid w:val="00DD777A"/>
    <w:rsid w:val="00DE4A19"/>
    <w:rsid w:val="00DF5D40"/>
    <w:rsid w:val="00E01BD0"/>
    <w:rsid w:val="00E1701A"/>
    <w:rsid w:val="00E23327"/>
    <w:rsid w:val="00E23513"/>
    <w:rsid w:val="00E23D53"/>
    <w:rsid w:val="00E23E6E"/>
    <w:rsid w:val="00E25EDB"/>
    <w:rsid w:val="00E27859"/>
    <w:rsid w:val="00E40A98"/>
    <w:rsid w:val="00E417DA"/>
    <w:rsid w:val="00E438BF"/>
    <w:rsid w:val="00E5092B"/>
    <w:rsid w:val="00E537A0"/>
    <w:rsid w:val="00E56B26"/>
    <w:rsid w:val="00E73EF2"/>
    <w:rsid w:val="00E760DD"/>
    <w:rsid w:val="00E8017E"/>
    <w:rsid w:val="00E857AF"/>
    <w:rsid w:val="00E93C70"/>
    <w:rsid w:val="00E9565B"/>
    <w:rsid w:val="00EA0106"/>
    <w:rsid w:val="00EA248B"/>
    <w:rsid w:val="00EB3032"/>
    <w:rsid w:val="00EC4208"/>
    <w:rsid w:val="00EC67D6"/>
    <w:rsid w:val="00EE5F69"/>
    <w:rsid w:val="00EE71AF"/>
    <w:rsid w:val="00F04097"/>
    <w:rsid w:val="00F04A51"/>
    <w:rsid w:val="00F0555E"/>
    <w:rsid w:val="00F10E04"/>
    <w:rsid w:val="00F10F8A"/>
    <w:rsid w:val="00F13410"/>
    <w:rsid w:val="00F3601D"/>
    <w:rsid w:val="00F50DB0"/>
    <w:rsid w:val="00F53064"/>
    <w:rsid w:val="00F56BDE"/>
    <w:rsid w:val="00F7007C"/>
    <w:rsid w:val="00F70BF9"/>
    <w:rsid w:val="00F71297"/>
    <w:rsid w:val="00F74A37"/>
    <w:rsid w:val="00F75238"/>
    <w:rsid w:val="00F7727C"/>
    <w:rsid w:val="00F84373"/>
    <w:rsid w:val="00F871AD"/>
    <w:rsid w:val="00FA2248"/>
    <w:rsid w:val="00FB2904"/>
    <w:rsid w:val="00FB37F6"/>
    <w:rsid w:val="00FC0929"/>
    <w:rsid w:val="00FC30AA"/>
    <w:rsid w:val="00FC7079"/>
    <w:rsid w:val="00FE5296"/>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FA81629-0AF2-4CEA-8C0D-E01E6440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0555E"/>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F1341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F1341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F1341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F1341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1"/>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1"/>
      </w:numPr>
      <w:ind w:left="1071" w:hanging="357"/>
    </w:pPr>
  </w:style>
  <w:style w:type="paragraph" w:customStyle="1" w:styleId="Vietaflecha">
    <w:name w:val="Viñeta flecha"/>
    <w:basedOn w:val="Normal"/>
    <w:qFormat/>
    <w:rsid w:val="00556B03"/>
    <w:pPr>
      <w:numPr>
        <w:numId w:val="12"/>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9F7FE7"/>
    <w:rPr>
      <w:color w:val="0000FF"/>
      <w:u w:val="single"/>
    </w:rPr>
  </w:style>
  <w:style w:type="character" w:styleId="Hipervnculovisitado">
    <w:name w:val="FollowedHyperlink"/>
    <w:basedOn w:val="Fuentedeprrafopredeter"/>
    <w:uiPriority w:val="99"/>
    <w:semiHidden/>
    <w:unhideWhenUsed/>
    <w:rsid w:val="009F7FE7"/>
    <w:rPr>
      <w:color w:val="800080"/>
      <w:u w:val="single"/>
    </w:rPr>
  </w:style>
  <w:style w:type="paragraph" w:customStyle="1" w:styleId="xl66">
    <w:name w:val="xl66"/>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9F7FE7"/>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9F7FE7"/>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9F7FE7"/>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9F7FE7"/>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9F7FE7"/>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9F7FE7"/>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9F7FE7"/>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9F7FE7"/>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9F7FE7"/>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9F7FE7"/>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character" w:customStyle="1" w:styleId="Ttulo6Car">
    <w:name w:val="Título 6 Car"/>
    <w:basedOn w:val="Fuentedeprrafopredeter"/>
    <w:link w:val="Ttulo6"/>
    <w:uiPriority w:val="9"/>
    <w:rsid w:val="00F1341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F1341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F13410"/>
    <w:rPr>
      <w:rFonts w:eastAsia="Times New Roman"/>
      <w:color w:val="404040"/>
      <w:lang w:val="es-ES" w:eastAsia="es-ES"/>
    </w:rPr>
  </w:style>
  <w:style w:type="character" w:customStyle="1" w:styleId="Ttulo9Car">
    <w:name w:val="Título 9 Car"/>
    <w:basedOn w:val="Fuentedeprrafopredeter"/>
    <w:link w:val="Ttulo9"/>
    <w:uiPriority w:val="9"/>
    <w:rsid w:val="00F13410"/>
    <w:rPr>
      <w:rFonts w:eastAsia="Times New Roman"/>
      <w:i/>
      <w:iCs/>
      <w:color w:val="404040"/>
      <w:lang w:val="es-ES" w:eastAsia="es-ES"/>
    </w:rPr>
  </w:style>
  <w:style w:type="paragraph" w:customStyle="1" w:styleId="Default">
    <w:name w:val="Default"/>
    <w:rsid w:val="00F13410"/>
    <w:pPr>
      <w:autoSpaceDE w:val="0"/>
      <w:autoSpaceDN w:val="0"/>
      <w:adjustRightInd w:val="0"/>
    </w:pPr>
    <w:rPr>
      <w:rFonts w:ascii="Times New Roman" w:eastAsia="Calibri" w:hAnsi="Times New Roman"/>
      <w:color w:val="000000"/>
      <w:sz w:val="24"/>
      <w:szCs w:val="24"/>
      <w:lang w:eastAsia="en-US"/>
    </w:rPr>
  </w:style>
  <w:style w:type="table" w:styleId="Tablaconcuadrcula">
    <w:name w:val="Table Grid"/>
    <w:basedOn w:val="Tablanormal"/>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Figura 1"/>
    <w:basedOn w:val="Normal"/>
    <w:link w:val="PrrafodelistaCar"/>
    <w:uiPriority w:val="34"/>
    <w:qFormat/>
    <w:rsid w:val="00F13410"/>
    <w:pPr>
      <w:spacing w:after="200" w:line="276" w:lineRule="auto"/>
      <w:ind w:left="720"/>
      <w:contextualSpacing/>
    </w:pPr>
    <w:rPr>
      <w:rFonts w:ascii="Calibri" w:eastAsia="Calibri" w:hAnsi="Calibri"/>
      <w:szCs w:val="22"/>
      <w:lang w:val="es-MX" w:eastAsia="en-US"/>
    </w:rPr>
  </w:style>
  <w:style w:type="table" w:customStyle="1" w:styleId="Tablaconcuadrcula3">
    <w:name w:val="Tabla con cuadrícula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410"/>
    <w:rPr>
      <w:rFonts w:ascii="Times New Roman" w:hAnsi="Times New Roman"/>
      <w:sz w:val="24"/>
    </w:rPr>
  </w:style>
  <w:style w:type="table" w:customStyle="1" w:styleId="Tablaconcuadrcula11">
    <w:name w:val="Tabla con cuadrícula1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F13410"/>
    <w:rPr>
      <w:rFonts w:ascii="Calibri" w:eastAsia="Calibri" w:hAnsi="Calibri"/>
      <w:sz w:val="22"/>
      <w:szCs w:val="22"/>
      <w:lang w:eastAsia="en-US"/>
    </w:rPr>
  </w:style>
  <w:style w:type="character" w:styleId="Refdecomentario">
    <w:name w:val="annotation reference"/>
    <w:basedOn w:val="Fuentedeprrafopredeter"/>
    <w:semiHidden/>
    <w:unhideWhenUsed/>
    <w:rsid w:val="00F13410"/>
    <w:rPr>
      <w:sz w:val="16"/>
      <w:szCs w:val="16"/>
    </w:rPr>
  </w:style>
  <w:style w:type="paragraph" w:styleId="Textocomentario">
    <w:name w:val="annotation text"/>
    <w:basedOn w:val="Normal"/>
    <w:link w:val="TextocomentarioCar"/>
    <w:unhideWhenUsed/>
    <w:rsid w:val="00F13410"/>
    <w:rPr>
      <w:sz w:val="20"/>
      <w:szCs w:val="20"/>
    </w:rPr>
  </w:style>
  <w:style w:type="character" w:customStyle="1" w:styleId="TextocomentarioCar">
    <w:name w:val="Texto comentario Car"/>
    <w:basedOn w:val="Fuentedeprrafopredeter"/>
    <w:link w:val="Textocomentario"/>
    <w:rsid w:val="00F13410"/>
    <w:rPr>
      <w:rFonts w:ascii="Soberana Sans" w:hAnsi="Soberana Sans"/>
      <w:lang w:val="es-ES_tradnl" w:eastAsia="es-ES"/>
    </w:rPr>
  </w:style>
  <w:style w:type="paragraph" w:styleId="Asuntodelcomentario">
    <w:name w:val="annotation subject"/>
    <w:basedOn w:val="Textocomentario"/>
    <w:next w:val="Textocomentario"/>
    <w:link w:val="AsuntodelcomentarioCar"/>
    <w:unhideWhenUsed/>
    <w:rsid w:val="00F13410"/>
    <w:rPr>
      <w:b/>
      <w:bCs/>
    </w:rPr>
  </w:style>
  <w:style w:type="character" w:customStyle="1" w:styleId="AsuntodelcomentarioCar">
    <w:name w:val="Asunto del comentario Car"/>
    <w:basedOn w:val="TextocomentarioCar"/>
    <w:link w:val="Asuntodelcomentario"/>
    <w:rsid w:val="00F13410"/>
    <w:rPr>
      <w:rFonts w:ascii="Soberana Sans" w:hAnsi="Soberana Sans"/>
      <w:b/>
      <w:bCs/>
      <w:lang w:val="es-ES_tradnl" w:eastAsia="es-ES"/>
    </w:rPr>
  </w:style>
  <w:style w:type="paragraph" w:styleId="Revisin">
    <w:name w:val="Revision"/>
    <w:hidden/>
    <w:uiPriority w:val="99"/>
    <w:rsid w:val="00F1341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F1341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F13410"/>
    <w:rPr>
      <w:rFonts w:ascii="Lucida Grande" w:hAnsi="Lucida Grande" w:cs="Lucida Grande"/>
      <w:sz w:val="24"/>
      <w:szCs w:val="24"/>
      <w:lang w:val="es-ES_tradnl" w:eastAsia="es-ES"/>
    </w:rPr>
  </w:style>
  <w:style w:type="character" w:customStyle="1" w:styleId="st">
    <w:name w:val="st"/>
    <w:basedOn w:val="Fuentedeprrafopredeter"/>
    <w:rsid w:val="00F13410"/>
  </w:style>
  <w:style w:type="character" w:styleId="nfasis">
    <w:name w:val="Emphasis"/>
    <w:basedOn w:val="Fuentedeprrafopredeter"/>
    <w:uiPriority w:val="20"/>
    <w:qFormat/>
    <w:rsid w:val="00F13410"/>
    <w:rPr>
      <w:b/>
      <w:bCs/>
      <w:i w:val="0"/>
      <w:iCs w:val="0"/>
    </w:rPr>
  </w:style>
  <w:style w:type="paragraph" w:styleId="Sinespaciado">
    <w:name w:val="No Spacing"/>
    <w:link w:val="SinespaciadoCar"/>
    <w:uiPriority w:val="1"/>
    <w:qFormat/>
    <w:rsid w:val="00F13410"/>
    <w:pPr>
      <w:overflowPunct w:val="0"/>
      <w:autoSpaceDE w:val="0"/>
      <w:autoSpaceDN w:val="0"/>
      <w:adjustRightInd w:val="0"/>
      <w:textAlignment w:val="baseline"/>
    </w:pPr>
    <w:rPr>
      <w:rFonts w:ascii="Times New Roman" w:eastAsia="Times New Roman" w:hAnsi="Times New Roman"/>
      <w:lang w:eastAsia="es-ES"/>
    </w:rPr>
  </w:style>
  <w:style w:type="paragraph" w:styleId="Descripcin">
    <w:name w:val="caption"/>
    <w:basedOn w:val="Normal"/>
    <w:next w:val="Normal"/>
    <w:uiPriority w:val="35"/>
    <w:unhideWhenUsed/>
    <w:qFormat/>
    <w:rsid w:val="00F1341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F13410"/>
    <w:pPr>
      <w:spacing w:after="0"/>
    </w:pPr>
    <w:rPr>
      <w:rFonts w:ascii="Arial" w:eastAsia="Batang" w:hAnsi="Arial"/>
      <w:kern w:val="18"/>
      <w:sz w:val="18"/>
      <w:szCs w:val="20"/>
      <w:lang w:val="es-ES" w:eastAsia="en-US"/>
    </w:rPr>
  </w:style>
  <w:style w:type="numbering" w:customStyle="1" w:styleId="Estilo1">
    <w:name w:val="Estilo1"/>
    <w:rsid w:val="00F13410"/>
    <w:pPr>
      <w:numPr>
        <w:numId w:val="13"/>
      </w:numPr>
    </w:pPr>
  </w:style>
  <w:style w:type="paragraph" w:customStyle="1" w:styleId="Notaalpie">
    <w:name w:val="Nota al pie"/>
    <w:basedOn w:val="Textonotapie"/>
    <w:link w:val="NotaalpieCar"/>
    <w:qFormat/>
    <w:rsid w:val="002C6A61"/>
    <w:pPr>
      <w:ind w:left="284" w:hanging="284"/>
      <w:jc w:val="both"/>
    </w:pPr>
    <w:rPr>
      <w:sz w:val="16"/>
      <w:szCs w:val="16"/>
      <w:lang w:val="es-MX"/>
    </w:rPr>
  </w:style>
  <w:style w:type="character" w:customStyle="1" w:styleId="NotaalpieCar">
    <w:name w:val="Nota al pie Car"/>
    <w:link w:val="Notaalpie"/>
    <w:rsid w:val="002C6A61"/>
    <w:rPr>
      <w:rFonts w:ascii="Soberana Sans" w:hAnsi="Soberana Sans"/>
      <w:sz w:val="16"/>
      <w:szCs w:val="16"/>
      <w:lang w:eastAsia="es-ES"/>
    </w:rPr>
  </w:style>
  <w:style w:type="numbering" w:customStyle="1" w:styleId="Sinlista1">
    <w:name w:val="Sin lista1"/>
    <w:next w:val="Sinlista"/>
    <w:uiPriority w:val="99"/>
    <w:semiHidden/>
    <w:unhideWhenUsed/>
    <w:rsid w:val="00F13410"/>
  </w:style>
  <w:style w:type="paragraph" w:styleId="Textoindependiente">
    <w:name w:val="Body Text"/>
    <w:basedOn w:val="Normal"/>
    <w:link w:val="TextoindependienteCar"/>
    <w:rsid w:val="00F1341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F1341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F1341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F13410"/>
    <w:rPr>
      <w:rFonts w:ascii="Calibri" w:eastAsia="Times New Roman" w:hAnsi="Calibri"/>
      <w:i/>
      <w:sz w:val="22"/>
      <w:szCs w:val="22"/>
      <w:lang w:val="en-US" w:eastAsia="zh-CN"/>
    </w:rPr>
  </w:style>
  <w:style w:type="character" w:styleId="Refdenotaalfinal">
    <w:name w:val="endnote reference"/>
    <w:rsid w:val="00F13410"/>
    <w:rPr>
      <w:vertAlign w:val="superscript"/>
    </w:rPr>
  </w:style>
  <w:style w:type="paragraph" w:styleId="Textonotaalfinal">
    <w:name w:val="endnote text"/>
    <w:basedOn w:val="Normal"/>
    <w:link w:val="TextonotaalfinalCar"/>
    <w:rsid w:val="00F1341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F13410"/>
    <w:rPr>
      <w:rFonts w:ascii="Calibri" w:eastAsia="Times New Roman" w:hAnsi="Calibri"/>
      <w:sz w:val="22"/>
      <w:szCs w:val="22"/>
      <w:lang w:val="en-US" w:eastAsia="zh-CN"/>
    </w:rPr>
  </w:style>
  <w:style w:type="paragraph" w:styleId="ndice1">
    <w:name w:val="index 1"/>
    <w:basedOn w:val="Normal"/>
    <w:rsid w:val="00F1341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F1341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F1341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F1341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F1341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F1341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F13410"/>
    <w:rPr>
      <w:caps/>
      <w:sz w:val="18"/>
    </w:rPr>
  </w:style>
  <w:style w:type="paragraph" w:styleId="Listaconvietas">
    <w:name w:val="List Bullet"/>
    <w:basedOn w:val="Normal"/>
    <w:rsid w:val="00F13410"/>
    <w:pPr>
      <w:numPr>
        <w:numId w:val="14"/>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F13410"/>
    <w:pPr>
      <w:spacing w:line="240" w:lineRule="auto"/>
      <w:jc w:val="left"/>
    </w:pPr>
    <w:rPr>
      <w:rFonts w:ascii="Courier New" w:hAnsi="Courier New"/>
    </w:rPr>
  </w:style>
  <w:style w:type="character" w:customStyle="1" w:styleId="TextomacroCar">
    <w:name w:val="Texto macro Car"/>
    <w:basedOn w:val="Fuentedeprrafopredeter"/>
    <w:link w:val="Textomacro"/>
    <w:rsid w:val="00F1341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F1341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F1341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F1341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F1341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F1341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F1341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F1341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F13410"/>
    <w:pPr>
      <w:spacing w:after="0" w:line="276" w:lineRule="auto"/>
      <w:ind w:left="880"/>
    </w:pPr>
    <w:rPr>
      <w:rFonts w:ascii="Calibri" w:eastAsia="Times New Roman" w:hAnsi="Calibri" w:cs="Calibri"/>
      <w:sz w:val="20"/>
      <w:szCs w:val="20"/>
      <w:lang w:val="en-US" w:eastAsia="zh-CN"/>
    </w:rPr>
  </w:style>
  <w:style w:type="paragraph" w:styleId="Subttulo">
    <w:name w:val="Subtitle"/>
    <w:basedOn w:val="Normal"/>
    <w:next w:val="Normal"/>
    <w:link w:val="SubttuloCar"/>
    <w:uiPriority w:val="11"/>
    <w:qFormat/>
    <w:rsid w:val="00F13410"/>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F13410"/>
    <w:rPr>
      <w:rFonts w:eastAsia="Times New Roman"/>
      <w:i/>
      <w:iCs/>
      <w:color w:val="4F81BD"/>
      <w:spacing w:val="15"/>
      <w:sz w:val="24"/>
      <w:szCs w:val="24"/>
      <w:lang w:val="en-US" w:eastAsia="zh-CN"/>
    </w:rPr>
  </w:style>
  <w:style w:type="paragraph" w:customStyle="1" w:styleId="Columnheadings">
    <w:name w:val="Column headings"/>
    <w:basedOn w:val="Normal"/>
    <w:rsid w:val="00F1341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F1341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F1341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F1341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F1341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F1341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F13410"/>
    <w:pPr>
      <w:numPr>
        <w:numId w:val="15"/>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F1341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F13410"/>
    <w:rPr>
      <w:b/>
      <w:bCs/>
    </w:rPr>
  </w:style>
  <w:style w:type="character" w:customStyle="1" w:styleId="NumberedListBoldChar">
    <w:name w:val="Numbered List Bold Char"/>
    <w:link w:val="NumberedListBold"/>
    <w:rsid w:val="00F13410"/>
    <w:rPr>
      <w:rFonts w:ascii="Calibri" w:eastAsia="Times New Roman" w:hAnsi="Calibri"/>
      <w:b/>
      <w:bCs/>
      <w:sz w:val="22"/>
      <w:szCs w:val="22"/>
      <w:lang w:val="en-US" w:eastAsia="zh-CN"/>
    </w:rPr>
  </w:style>
  <w:style w:type="paragraph" w:customStyle="1" w:styleId="LineSpace">
    <w:name w:val="Line Space"/>
    <w:basedOn w:val="Normal"/>
    <w:rsid w:val="00F1341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F13410"/>
    <w:rPr>
      <w:rFonts w:ascii="Times New Roman" w:eastAsia="Times New Roman" w:hAnsi="Times New Roman"/>
      <w:lang w:eastAsia="es-ES"/>
    </w:rPr>
  </w:style>
  <w:style w:type="character" w:styleId="Textoennegrita">
    <w:name w:val="Strong"/>
    <w:uiPriority w:val="22"/>
    <w:qFormat/>
    <w:rsid w:val="00F13410"/>
    <w:rPr>
      <w:b/>
      <w:bCs/>
    </w:rPr>
  </w:style>
  <w:style w:type="paragraph" w:styleId="Cita">
    <w:name w:val="Quote"/>
    <w:basedOn w:val="Normal"/>
    <w:next w:val="Normal"/>
    <w:link w:val="CitaCar"/>
    <w:uiPriority w:val="29"/>
    <w:qFormat/>
    <w:rsid w:val="00F1341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F13410"/>
    <w:rPr>
      <w:rFonts w:ascii="Calibri" w:eastAsia="Times New Roman" w:hAnsi="Calibri"/>
      <w:i/>
      <w:iCs/>
      <w:color w:val="000000"/>
      <w:sz w:val="22"/>
      <w:szCs w:val="22"/>
      <w:lang w:val="en-US" w:eastAsia="zh-CN"/>
    </w:rPr>
  </w:style>
  <w:style w:type="character" w:styleId="nfasissutil">
    <w:name w:val="Subtle Emphasis"/>
    <w:uiPriority w:val="19"/>
    <w:qFormat/>
    <w:rsid w:val="00F13410"/>
    <w:rPr>
      <w:i/>
      <w:iCs/>
      <w:color w:val="808080"/>
    </w:rPr>
  </w:style>
  <w:style w:type="character" w:styleId="nfasisintenso">
    <w:name w:val="Intense Emphasis"/>
    <w:uiPriority w:val="21"/>
    <w:qFormat/>
    <w:rsid w:val="00F13410"/>
    <w:rPr>
      <w:b/>
      <w:bCs/>
      <w:i/>
      <w:iCs/>
      <w:color w:val="4F81BD"/>
    </w:rPr>
  </w:style>
  <w:style w:type="character" w:styleId="Referenciasutil">
    <w:name w:val="Subtle Reference"/>
    <w:uiPriority w:val="31"/>
    <w:qFormat/>
    <w:rsid w:val="00F13410"/>
    <w:rPr>
      <w:smallCaps/>
      <w:color w:val="C0504D"/>
      <w:u w:val="single"/>
    </w:rPr>
  </w:style>
  <w:style w:type="character" w:styleId="Referenciaintensa">
    <w:name w:val="Intense Reference"/>
    <w:uiPriority w:val="32"/>
    <w:qFormat/>
    <w:rsid w:val="00F13410"/>
    <w:rPr>
      <w:b/>
      <w:bCs/>
      <w:smallCaps/>
      <w:color w:val="C0504D"/>
      <w:spacing w:val="5"/>
      <w:u w:val="single"/>
    </w:rPr>
  </w:style>
  <w:style w:type="character" w:styleId="Ttulodellibro">
    <w:name w:val="Book Title"/>
    <w:uiPriority w:val="33"/>
    <w:qFormat/>
    <w:rsid w:val="00F13410"/>
    <w:rPr>
      <w:b/>
      <w:bCs/>
      <w:smallCaps/>
      <w:spacing w:val="5"/>
    </w:rPr>
  </w:style>
  <w:style w:type="paragraph" w:styleId="TtulodeTDC">
    <w:name w:val="TOC Heading"/>
    <w:basedOn w:val="Ttulo1"/>
    <w:next w:val="Normal"/>
    <w:uiPriority w:val="39"/>
    <w:unhideWhenUsed/>
    <w:qFormat/>
    <w:rsid w:val="00F1341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F1341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F1341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F1341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F1341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F1341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F1341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F1341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F1341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F13410"/>
  </w:style>
  <w:style w:type="character" w:customStyle="1" w:styleId="st1">
    <w:name w:val="st1"/>
    <w:basedOn w:val="Fuentedeprrafopredeter"/>
    <w:rsid w:val="00F13410"/>
  </w:style>
  <w:style w:type="table" w:customStyle="1" w:styleId="Tablaconcuadrcula32">
    <w:name w:val="Tabla con cuadrícula3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A03A5"/>
  </w:style>
  <w:style w:type="table" w:customStyle="1" w:styleId="Tablaconcuadrcula33">
    <w:name w:val="Tabla con cuadrícula33"/>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6A03A5"/>
  </w:style>
  <w:style w:type="numbering" w:customStyle="1" w:styleId="Sinlista11">
    <w:name w:val="Sin lista11"/>
    <w:next w:val="Sinlista"/>
    <w:uiPriority w:val="99"/>
    <w:semiHidden/>
    <w:unhideWhenUsed/>
    <w:rsid w:val="006A03A5"/>
  </w:style>
  <w:style w:type="table" w:customStyle="1" w:styleId="Tablaconcuadrcula221">
    <w:name w:val="Tabla con cuadrícula22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3B3EAF"/>
    <w:pPr>
      <w:pBdr>
        <w:bottom w:val="single" w:sz="12" w:space="0" w:color="auto"/>
      </w:pBdr>
      <w:shd w:val="clear" w:color="000000" w:fill="FFFFFF"/>
      <w:spacing w:before="100" w:beforeAutospacing="1" w:after="100" w:afterAutospacing="1"/>
      <w:jc w:val="center"/>
      <w:textAlignment w:val="center"/>
    </w:pPr>
    <w:rPr>
      <w:rFonts w:eastAsia="Times New Roman"/>
      <w:sz w:val="14"/>
      <w:szCs w:val="14"/>
      <w:lang w:val="es-MX" w:eastAsia="es-MX"/>
    </w:rPr>
  </w:style>
  <w:style w:type="paragraph" w:customStyle="1" w:styleId="xl129">
    <w:name w:val="xl129"/>
    <w:basedOn w:val="Normal"/>
    <w:rsid w:val="003B3EAF"/>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3B3EAF"/>
    <w:pPr>
      <w:pBdr>
        <w:top w:val="single" w:sz="12" w:space="0" w:color="auto"/>
        <w:bottom w:val="single" w:sz="4" w:space="0" w:color="BFBFBF"/>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1">
    <w:name w:val="xl131"/>
    <w:basedOn w:val="Normal"/>
    <w:rsid w:val="003B3EAF"/>
    <w:pPr>
      <w:pBdr>
        <w:top w:val="single" w:sz="12" w:space="0" w:color="auto"/>
        <w:bottom w:val="single" w:sz="4" w:space="0" w:color="BFBFBF"/>
      </w:pBd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2">
    <w:name w:val="xl132"/>
    <w:basedOn w:val="Normal"/>
    <w:rsid w:val="003B3EAF"/>
    <w:pPr>
      <w:pBdr>
        <w:top w:val="single" w:sz="4" w:space="0" w:color="BFBFBF"/>
        <w:bottom w:val="single" w:sz="4" w:space="0" w:color="BFBFBF"/>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3">
    <w:name w:val="xl133"/>
    <w:basedOn w:val="Normal"/>
    <w:rsid w:val="003B3EAF"/>
    <w:pPr>
      <w:pBdr>
        <w:top w:val="single" w:sz="4" w:space="0" w:color="BFBFBF"/>
        <w:bottom w:val="single" w:sz="4" w:space="0" w:color="BFBFBF"/>
      </w:pBd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4">
    <w:name w:val="xl134"/>
    <w:basedOn w:val="Normal"/>
    <w:rsid w:val="003B3EAF"/>
    <w:pPr>
      <w:pBdr>
        <w:top w:val="single" w:sz="4" w:space="0" w:color="BFBFBF"/>
        <w:bottom w:val="single" w:sz="12" w:space="0" w:color="auto"/>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5">
    <w:name w:val="xl135"/>
    <w:basedOn w:val="Normal"/>
    <w:rsid w:val="003B3EAF"/>
    <w:pPr>
      <w:pBdr>
        <w:top w:val="single" w:sz="4" w:space="0" w:color="BFBFBF"/>
        <w:bottom w:val="single" w:sz="12" w:space="0" w:color="auto"/>
      </w:pBd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6">
    <w:name w:val="xl136"/>
    <w:basedOn w:val="Normal"/>
    <w:rsid w:val="003B3EAF"/>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7">
    <w:name w:val="xl137"/>
    <w:basedOn w:val="Normal"/>
    <w:rsid w:val="003B3EAF"/>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5818">
      <w:bodyDiv w:val="1"/>
      <w:marLeft w:val="0"/>
      <w:marRight w:val="0"/>
      <w:marTop w:val="0"/>
      <w:marBottom w:val="0"/>
      <w:divBdr>
        <w:top w:val="none" w:sz="0" w:space="0" w:color="auto"/>
        <w:left w:val="none" w:sz="0" w:space="0" w:color="auto"/>
        <w:bottom w:val="none" w:sz="0" w:space="0" w:color="auto"/>
        <w:right w:val="none" w:sz="0" w:space="0" w:color="auto"/>
      </w:divBdr>
    </w:div>
    <w:div w:id="109010061">
      <w:bodyDiv w:val="1"/>
      <w:marLeft w:val="0"/>
      <w:marRight w:val="0"/>
      <w:marTop w:val="0"/>
      <w:marBottom w:val="0"/>
      <w:divBdr>
        <w:top w:val="none" w:sz="0" w:space="0" w:color="auto"/>
        <w:left w:val="none" w:sz="0" w:space="0" w:color="auto"/>
        <w:bottom w:val="none" w:sz="0" w:space="0" w:color="auto"/>
        <w:right w:val="none" w:sz="0" w:space="0" w:color="auto"/>
      </w:divBdr>
    </w:div>
    <w:div w:id="560605227">
      <w:bodyDiv w:val="1"/>
      <w:marLeft w:val="0"/>
      <w:marRight w:val="0"/>
      <w:marTop w:val="0"/>
      <w:marBottom w:val="0"/>
      <w:divBdr>
        <w:top w:val="none" w:sz="0" w:space="0" w:color="auto"/>
        <w:left w:val="none" w:sz="0" w:space="0" w:color="auto"/>
        <w:bottom w:val="none" w:sz="0" w:space="0" w:color="auto"/>
        <w:right w:val="none" w:sz="0" w:space="0" w:color="auto"/>
      </w:divBdr>
    </w:div>
    <w:div w:id="653342861">
      <w:bodyDiv w:val="1"/>
      <w:marLeft w:val="0"/>
      <w:marRight w:val="0"/>
      <w:marTop w:val="0"/>
      <w:marBottom w:val="0"/>
      <w:divBdr>
        <w:top w:val="none" w:sz="0" w:space="0" w:color="auto"/>
        <w:left w:val="none" w:sz="0" w:space="0" w:color="auto"/>
        <w:bottom w:val="none" w:sz="0" w:space="0" w:color="auto"/>
        <w:right w:val="none" w:sz="0" w:space="0" w:color="auto"/>
      </w:divBdr>
    </w:div>
    <w:div w:id="703946506">
      <w:bodyDiv w:val="1"/>
      <w:marLeft w:val="0"/>
      <w:marRight w:val="0"/>
      <w:marTop w:val="0"/>
      <w:marBottom w:val="0"/>
      <w:divBdr>
        <w:top w:val="none" w:sz="0" w:space="0" w:color="auto"/>
        <w:left w:val="none" w:sz="0" w:space="0" w:color="auto"/>
        <w:bottom w:val="none" w:sz="0" w:space="0" w:color="auto"/>
        <w:right w:val="none" w:sz="0" w:space="0" w:color="auto"/>
      </w:divBdr>
    </w:div>
    <w:div w:id="757748805">
      <w:bodyDiv w:val="1"/>
      <w:marLeft w:val="0"/>
      <w:marRight w:val="0"/>
      <w:marTop w:val="0"/>
      <w:marBottom w:val="0"/>
      <w:divBdr>
        <w:top w:val="none" w:sz="0" w:space="0" w:color="auto"/>
        <w:left w:val="none" w:sz="0" w:space="0" w:color="auto"/>
        <w:bottom w:val="none" w:sz="0" w:space="0" w:color="auto"/>
        <w:right w:val="none" w:sz="0" w:space="0" w:color="auto"/>
      </w:divBdr>
    </w:div>
    <w:div w:id="1156385152">
      <w:bodyDiv w:val="1"/>
      <w:marLeft w:val="0"/>
      <w:marRight w:val="0"/>
      <w:marTop w:val="0"/>
      <w:marBottom w:val="0"/>
      <w:divBdr>
        <w:top w:val="none" w:sz="0" w:space="0" w:color="auto"/>
        <w:left w:val="none" w:sz="0" w:space="0" w:color="auto"/>
        <w:bottom w:val="none" w:sz="0" w:space="0" w:color="auto"/>
        <w:right w:val="none" w:sz="0" w:space="0" w:color="auto"/>
      </w:divBdr>
    </w:div>
    <w:div w:id="1256085987">
      <w:bodyDiv w:val="1"/>
      <w:marLeft w:val="0"/>
      <w:marRight w:val="0"/>
      <w:marTop w:val="0"/>
      <w:marBottom w:val="0"/>
      <w:divBdr>
        <w:top w:val="none" w:sz="0" w:space="0" w:color="auto"/>
        <w:left w:val="none" w:sz="0" w:space="0" w:color="auto"/>
        <w:bottom w:val="none" w:sz="0" w:space="0" w:color="auto"/>
        <w:right w:val="none" w:sz="0" w:space="0" w:color="auto"/>
      </w:divBdr>
    </w:div>
    <w:div w:id="1344816145">
      <w:bodyDiv w:val="1"/>
      <w:marLeft w:val="0"/>
      <w:marRight w:val="0"/>
      <w:marTop w:val="0"/>
      <w:marBottom w:val="0"/>
      <w:divBdr>
        <w:top w:val="none" w:sz="0" w:space="0" w:color="auto"/>
        <w:left w:val="none" w:sz="0" w:space="0" w:color="auto"/>
        <w:bottom w:val="none" w:sz="0" w:space="0" w:color="auto"/>
        <w:right w:val="none" w:sz="0" w:space="0" w:color="auto"/>
      </w:divBdr>
    </w:div>
    <w:div w:id="1400782364">
      <w:bodyDiv w:val="1"/>
      <w:marLeft w:val="0"/>
      <w:marRight w:val="0"/>
      <w:marTop w:val="0"/>
      <w:marBottom w:val="0"/>
      <w:divBdr>
        <w:top w:val="none" w:sz="0" w:space="0" w:color="auto"/>
        <w:left w:val="none" w:sz="0" w:space="0" w:color="auto"/>
        <w:bottom w:val="none" w:sz="0" w:space="0" w:color="auto"/>
        <w:right w:val="none" w:sz="0" w:space="0" w:color="auto"/>
      </w:divBdr>
    </w:div>
    <w:div w:id="1662079933">
      <w:bodyDiv w:val="1"/>
      <w:marLeft w:val="0"/>
      <w:marRight w:val="0"/>
      <w:marTop w:val="0"/>
      <w:marBottom w:val="0"/>
      <w:divBdr>
        <w:top w:val="none" w:sz="0" w:space="0" w:color="auto"/>
        <w:left w:val="none" w:sz="0" w:space="0" w:color="auto"/>
        <w:bottom w:val="none" w:sz="0" w:space="0" w:color="auto"/>
        <w:right w:val="none" w:sz="0" w:space="0" w:color="auto"/>
      </w:divBdr>
    </w:div>
    <w:div w:id="1983802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Informaci&#243;n%202014\INFORMES%20TRIMESTRALES\Nuevas%20Plantillas%20y%20ejemplos%20de%20Anexos\PlantillaSoberan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s-MX" sz="960" b="1" i="0" u="none" strike="noStrike" kern="1200" spc="0" baseline="0">
                <a:solidFill>
                  <a:sysClr val="windowText" lastClr="000000"/>
                </a:solidFill>
                <a:latin typeface="Soberana Sans" pitchFamily="50" charset="0"/>
                <a:ea typeface="+mn-ea"/>
                <a:cs typeface="+mn-cs"/>
              </a:defRPr>
            </a:pPr>
            <a:r>
              <a:rPr lang="es-MX" sz="960" b="1" i="0" u="none" strike="noStrike" kern="1200" baseline="0">
                <a:solidFill>
                  <a:sysClr val="windowText" lastClr="000000"/>
                </a:solidFill>
                <a:latin typeface="Soberana Sans" pitchFamily="50" charset="0"/>
                <a:ea typeface="+mn-ea"/>
                <a:cs typeface="+mn-cs"/>
              </a:rPr>
              <a:t>Gráfica 1. Distribución porcentual por tipo de ASM</a:t>
            </a:r>
          </a:p>
        </c:rich>
      </c:tx>
      <c:layout>
        <c:manualLayout>
          <c:xMode val="edge"/>
          <c:yMode val="edge"/>
          <c:x val="0.16678700361010831"/>
          <c:y val="2.7535566773749427E-2"/>
        </c:manualLayout>
      </c:layout>
      <c:overlay val="0"/>
      <c:spPr>
        <a:noFill/>
        <a:ln>
          <a:noFill/>
        </a:ln>
        <a:effectLst/>
      </c:spPr>
      <c:txPr>
        <a:bodyPr rot="0" spcFirstLastPara="1" vertOverflow="ellipsis" vert="horz" wrap="square" anchor="ctr" anchorCtr="1"/>
        <a:lstStyle/>
        <a:p>
          <a:pPr algn="ctr" rtl="0">
            <a:defRPr lang="es-MX" sz="960" b="1" i="0" u="none" strike="noStrike" kern="1200" spc="0" baseline="0">
              <a:solidFill>
                <a:sysClr val="windowText" lastClr="000000"/>
              </a:solidFill>
              <a:latin typeface="Soberana Sans" pitchFamily="50" charset="0"/>
              <a:ea typeface="+mn-ea"/>
              <a:cs typeface="+mn-cs"/>
            </a:defRPr>
          </a:pPr>
          <a:endParaRPr lang="es-MX"/>
        </a:p>
      </c:txPr>
    </c:title>
    <c:autoTitleDeleted val="0"/>
    <c:plotArea>
      <c:layout/>
      <c:pieChart>
        <c:varyColors val="1"/>
        <c:ser>
          <c:idx val="0"/>
          <c:order val="0"/>
          <c:dPt>
            <c:idx val="0"/>
            <c:bubble3D val="0"/>
            <c:explosion val="9"/>
            <c:spPr>
              <a:solidFill>
                <a:schemeClr val="bg1">
                  <a:lumMod val="85000"/>
                </a:schemeClr>
              </a:solidFill>
              <a:ln w="19050">
                <a:solidFill>
                  <a:schemeClr val="lt1"/>
                </a:solidFill>
              </a:ln>
              <a:effectLst/>
            </c:spPr>
          </c:dPt>
          <c:dPt>
            <c:idx val="1"/>
            <c:bubble3D val="0"/>
            <c:explosion val="11"/>
            <c:spPr>
              <a:solidFill>
                <a:schemeClr val="accent2">
                  <a:tint val="86000"/>
                </a:schemeClr>
              </a:solidFill>
              <a:ln w="19050">
                <a:solidFill>
                  <a:schemeClr val="lt1"/>
                </a:solidFill>
              </a:ln>
              <a:effectLst/>
            </c:spPr>
          </c:dPt>
          <c:dPt>
            <c:idx val="2"/>
            <c:bubble3D val="0"/>
            <c:explosion val="2"/>
            <c:spPr>
              <a:solidFill>
                <a:schemeClr val="accent3">
                  <a:lumMod val="75000"/>
                </a:schemeClr>
              </a:solidFill>
              <a:ln w="19050">
                <a:solidFill>
                  <a:schemeClr val="lt1"/>
                </a:solidFill>
              </a:ln>
              <a:effectLst/>
            </c:spPr>
          </c:dPt>
          <c:dPt>
            <c:idx val="3"/>
            <c:bubble3D val="0"/>
            <c:explosion val="2"/>
            <c:spPr>
              <a:solidFill>
                <a:schemeClr val="accent3">
                  <a:lumMod val="50000"/>
                </a:schemeClr>
              </a:solidFill>
              <a:ln w="19050">
                <a:solidFill>
                  <a:schemeClr val="lt1"/>
                </a:solidFill>
              </a:ln>
              <a:effectLst/>
            </c:spPr>
          </c:dPt>
          <c:dLbls>
            <c:dLbl>
              <c:idx val="0"/>
              <c:tx>
                <c:rich>
                  <a:bodyPr/>
                  <a:lstStyle/>
                  <a:p>
                    <a:fld id="{C854F6A3-11FA-4EA3-885E-C5E1DCE2F82A}" type="VALUE">
                      <a:rPr lang="en-US"/>
                      <a:pPr/>
                      <a:t>[VALOR]</a:t>
                    </a:fld>
                    <a:r>
                      <a:rPr lang="en-US" baseline="0"/>
                      <a:t> </a:t>
                    </a:r>
                  </a:p>
                  <a:p>
                    <a:r>
                      <a:rPr lang="en-US" baseline="0"/>
                      <a:t>76.5%</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E9811C62-6995-4A00-9740-9CB2CBA5FEAD}" type="VALUE">
                      <a:rPr lang="en-US"/>
                      <a:pPr/>
                      <a:t>[VALOR]</a:t>
                    </a:fld>
                    <a:r>
                      <a:rPr lang="en-US" baseline="0"/>
                      <a:t> </a:t>
                    </a:r>
                  </a:p>
                  <a:p>
                    <a:r>
                      <a:rPr lang="en-US" baseline="0"/>
                      <a:t>22.6%</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44D71B74-BC98-40AA-80CE-341E73EEB729}" type="VALUE">
                      <a:rPr lang="en-US"/>
                      <a:pPr/>
                      <a:t>[VALOR]</a:t>
                    </a:fld>
                    <a:r>
                      <a:rPr lang="en-US" baseline="0"/>
                      <a:t> </a:t>
                    </a:r>
                  </a:p>
                  <a:p>
                    <a:r>
                      <a:rPr lang="en-US" baseline="0"/>
                      <a:t>0.6%</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fld id="{B1DF33AA-D5B0-4B54-A14F-0995F3DC9737}" type="VALUE">
                      <a:rPr lang="en-US"/>
                      <a:pPr/>
                      <a:t>[VALOR]</a:t>
                    </a:fld>
                    <a:r>
                      <a:rPr lang="en-US" baseline="0"/>
                      <a:t>  </a:t>
                    </a:r>
                  </a:p>
                  <a:p>
                    <a:r>
                      <a:rPr lang="en-US" baseline="0"/>
                      <a:t>0.3%</a:t>
                    </a:r>
                  </a:p>
                </c:rich>
              </c:tx>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0">
                <a:spAutoFit/>
              </a:bodyPr>
              <a:lstStyle/>
              <a:p>
                <a:pPr algn="ctr">
                  <a:defRPr lang="es-MX" sz="800" b="0" i="0" u="none" strike="noStrike" kern="1200" baseline="0">
                    <a:solidFill>
                      <a:schemeClr val="tx1"/>
                    </a:solidFill>
                    <a:latin typeface="Soberana Sans" pitchFamily="50" charset="0"/>
                    <a:ea typeface="+mn-ea"/>
                    <a:cs typeface="+mn-cs"/>
                  </a:defRPr>
                </a:pPr>
                <a:endParaRPr lang="es-MX"/>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APF!$D$97:$D$100</c:f>
              <c:strCache>
                <c:ptCount val="4"/>
                <c:pt idx="0">
                  <c:v>Específico</c:v>
                </c:pt>
                <c:pt idx="1">
                  <c:v>Institucional</c:v>
                </c:pt>
                <c:pt idx="2">
                  <c:v>Interinstitucional</c:v>
                </c:pt>
                <c:pt idx="3">
                  <c:v>Intergubernamental</c:v>
                </c:pt>
              </c:strCache>
            </c:strRef>
          </c:cat>
          <c:val>
            <c:numRef>
              <c:f>APF!$E$97:$E$100</c:f>
              <c:numCache>
                <c:formatCode>General</c:formatCode>
                <c:ptCount val="4"/>
                <c:pt idx="0">
                  <c:v>521</c:v>
                </c:pt>
                <c:pt idx="1">
                  <c:v>154</c:v>
                </c:pt>
                <c:pt idx="2">
                  <c:v>4</c:v>
                </c:pt>
                <c:pt idx="3">
                  <c:v>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oberana Sans" panose="02000000000000000000" pitchFamily="50"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s-MX" sz="960" b="1" i="0" u="none" strike="noStrike" kern="1200" spc="0" baseline="0">
                <a:solidFill>
                  <a:sysClr val="windowText" lastClr="000000"/>
                </a:solidFill>
                <a:latin typeface="Soberana Sans" panose="02000000000000000000" pitchFamily="50" charset="0"/>
                <a:ea typeface="+mn-ea"/>
                <a:cs typeface="+mn-cs"/>
              </a:defRPr>
            </a:pPr>
            <a:r>
              <a:rPr lang="es-MX" sz="960" b="1" i="0" u="none" strike="noStrike" kern="1200" spc="0" baseline="0">
                <a:solidFill>
                  <a:sysClr val="windowText" lastClr="000000"/>
                </a:solidFill>
                <a:latin typeface="Soberana Sans" pitchFamily="50" charset="0"/>
                <a:ea typeface="+mn-ea"/>
                <a:cs typeface="+mn-cs"/>
              </a:rPr>
              <a:t>Gráfica 2. Cantidad de ASM por Instancia coordinadora</a:t>
            </a:r>
          </a:p>
        </c:rich>
      </c:tx>
      <c:overlay val="0"/>
      <c:spPr>
        <a:noFill/>
        <a:ln>
          <a:noFill/>
        </a:ln>
        <a:effectLst/>
      </c:spPr>
      <c:txPr>
        <a:bodyPr rot="0" spcFirstLastPara="1" vertOverflow="ellipsis" vert="horz" wrap="square" anchor="ctr" anchorCtr="1"/>
        <a:lstStyle/>
        <a:p>
          <a:pPr algn="ctr" rtl="0">
            <a:defRPr lang="es-MX" sz="960" b="1" i="0" u="none" strike="noStrike" kern="1200" spc="0" baseline="0">
              <a:solidFill>
                <a:sysClr val="windowText" lastClr="000000"/>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3.0576970135252204E-2"/>
          <c:y val="0.19849806124433303"/>
          <c:w val="0.93884605972949564"/>
          <c:h val="0.59017930116214601"/>
        </c:manualLayout>
      </c:layout>
      <c:barChart>
        <c:barDir val="col"/>
        <c:grouping val="clustered"/>
        <c:varyColors val="0"/>
        <c:ser>
          <c:idx val="0"/>
          <c:order val="0"/>
          <c:spPr>
            <a:solidFill>
              <a:srgbClr val="8AAC46"/>
            </a:solidFill>
            <a:ln>
              <a:noFill/>
            </a:ln>
            <a:effectLst/>
          </c:spPr>
          <c:invertIfNegative val="0"/>
          <c:dPt>
            <c:idx val="0"/>
            <c:invertIfNegative val="0"/>
            <c:bubble3D val="0"/>
            <c:spPr>
              <a:solidFill>
                <a:srgbClr val="B2CB7F"/>
              </a:solidFill>
              <a:ln>
                <a:noFill/>
              </a:ln>
              <a:effectLst/>
            </c:spPr>
          </c:dPt>
          <c:dPt>
            <c:idx val="1"/>
            <c:invertIfNegative val="0"/>
            <c:bubble3D val="0"/>
            <c:spPr>
              <a:solidFill>
                <a:schemeClr val="bg1">
                  <a:lumMod val="85000"/>
                </a:schemeClr>
              </a:solidFill>
              <a:ln>
                <a:noFill/>
              </a:ln>
              <a:effectLst/>
            </c:spPr>
          </c:dPt>
          <c:dLbls>
            <c:dLbl>
              <c:idx val="0"/>
              <c:tx>
                <c:rich>
                  <a:bodyPr/>
                  <a:lstStyle/>
                  <a:p>
                    <a:fld id="{187256DD-2CCA-4D0E-ACB6-2E4B247C29AD}" type="VALUE">
                      <a:rPr lang="en-US"/>
                      <a:pPr/>
                      <a:t>[VALOR]</a:t>
                    </a:fld>
                    <a:endParaRPr lang="en-US"/>
                  </a:p>
                  <a:p>
                    <a:r>
                      <a:rPr lang="en-US"/>
                      <a:t>(32.2%)</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FC16CB3D-9294-40AE-9A71-0BB2E4A1C46B}" type="VALUE">
                      <a:rPr lang="en-US"/>
                      <a:pPr/>
                      <a:t>[VALOR]</a:t>
                    </a:fld>
                    <a:endParaRPr lang="en-US"/>
                  </a:p>
                  <a:p>
                    <a:r>
                      <a:rPr lang="en-US"/>
                      <a:t>(67.8%)</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Soberana Sans" panose="02000000000000000000" pitchFamily="50" charset="0"/>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APF!$D$107:$D$108</c:f>
              <c:strCache>
                <c:ptCount val="2"/>
                <c:pt idx="0">
                  <c:v>SHCP</c:v>
                </c:pt>
                <c:pt idx="1">
                  <c:v>CONEVAL</c:v>
                </c:pt>
              </c:strCache>
            </c:strRef>
          </c:cat>
          <c:val>
            <c:numRef>
              <c:f>APF!$E$107:$E$108</c:f>
              <c:numCache>
                <c:formatCode>_-* #,##0_-;\-* #,##0_-;_-* "-"??_-;_-@_-</c:formatCode>
                <c:ptCount val="2"/>
                <c:pt idx="0">
                  <c:v>219</c:v>
                </c:pt>
                <c:pt idx="1">
                  <c:v>462</c:v>
                </c:pt>
              </c:numCache>
            </c:numRef>
          </c:val>
        </c:ser>
        <c:dLbls>
          <c:showLegendKey val="0"/>
          <c:showVal val="0"/>
          <c:showCatName val="0"/>
          <c:showSerName val="0"/>
          <c:showPercent val="0"/>
          <c:showBubbleSize val="0"/>
        </c:dLbls>
        <c:gapWidth val="104"/>
        <c:overlap val="3"/>
        <c:axId val="513177488"/>
        <c:axId val="513172448"/>
      </c:barChart>
      <c:catAx>
        <c:axId val="513177488"/>
        <c:scaling>
          <c:orientation val="minMax"/>
        </c:scaling>
        <c:delete val="0"/>
        <c:axPos val="b"/>
        <c:numFmt formatCode="General" sourceLinked="1"/>
        <c:majorTickMark val="none"/>
        <c:minorTickMark val="none"/>
        <c:tickLblPos val="nextTo"/>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Soberana Sans" panose="02000000000000000000" pitchFamily="50" charset="0"/>
                <a:ea typeface="+mn-ea"/>
                <a:cs typeface="+mn-cs"/>
              </a:defRPr>
            </a:pPr>
            <a:endParaRPr lang="es-MX"/>
          </a:p>
        </c:txPr>
        <c:crossAx val="513172448"/>
        <c:crosses val="autoZero"/>
        <c:auto val="1"/>
        <c:lblAlgn val="ctr"/>
        <c:lblOffset val="100"/>
        <c:noMultiLvlLbl val="0"/>
      </c:catAx>
      <c:valAx>
        <c:axId val="513172448"/>
        <c:scaling>
          <c:orientation val="minMax"/>
        </c:scaling>
        <c:delete val="1"/>
        <c:axPos val="l"/>
        <c:majorGridlines>
          <c:spPr>
            <a:ln w="9525" cap="flat" cmpd="sng" algn="ctr">
              <a:noFill/>
              <a:round/>
            </a:ln>
            <a:effectLst/>
          </c:spPr>
        </c:majorGridlines>
        <c:numFmt formatCode="_-* #,##0_-;\-* #,##0_-;_-* &quot;-&quot;??_-;_-@_-" sourceLinked="1"/>
        <c:majorTickMark val="none"/>
        <c:minorTickMark val="none"/>
        <c:tickLblPos val="nextTo"/>
        <c:crossAx val="5131774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Soberana Sans" panose="02000000000000000000" pitchFamily="50" charset="0"/>
        </a:defRPr>
      </a:pPr>
      <a:endParaRPr lang="es-MX"/>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lgn="ctr" rtl="0">
              <a:defRPr lang="es-MX" sz="960" b="1" i="0" u="none" strike="noStrike" kern="1200" spc="0" baseline="0">
                <a:solidFill>
                  <a:sysClr val="windowText" lastClr="000000"/>
                </a:solidFill>
                <a:latin typeface="Soberana Sans" pitchFamily="50" charset="0"/>
                <a:ea typeface="+mn-ea"/>
                <a:cs typeface="+mn-cs"/>
              </a:defRPr>
            </a:pPr>
            <a:r>
              <a:rPr lang="es-MX" sz="960" b="1" i="0" u="none" strike="noStrike" kern="1200" baseline="0">
                <a:solidFill>
                  <a:sysClr val="windowText" lastClr="000000"/>
                </a:solidFill>
                <a:latin typeface="Soberana Sans" pitchFamily="50" charset="0"/>
                <a:ea typeface="+mn-ea"/>
                <a:cs typeface="+mn-cs"/>
              </a:rPr>
              <a:t>Gráfica 3. Distribución porcentual por tipo de ASM</a:t>
            </a:r>
          </a:p>
        </c:rich>
      </c:tx>
      <c:layout>
        <c:manualLayout>
          <c:xMode val="edge"/>
          <c:yMode val="edge"/>
          <c:x val="0.15237090983151511"/>
          <c:y val="2.952755905511811E-2"/>
        </c:manualLayout>
      </c:layout>
      <c:overlay val="0"/>
      <c:spPr>
        <a:noFill/>
        <a:ln>
          <a:noFill/>
        </a:ln>
        <a:effectLst/>
      </c:spPr>
      <c:txPr>
        <a:bodyPr rot="0" spcFirstLastPara="1" vertOverflow="ellipsis" vert="horz" wrap="square" anchor="ctr" anchorCtr="1"/>
        <a:lstStyle/>
        <a:p>
          <a:pPr algn="ctr" rtl="0">
            <a:defRPr lang="es-MX" sz="960" b="1" i="0" u="none" strike="noStrike" kern="1200" spc="0" baseline="0">
              <a:solidFill>
                <a:sysClr val="windowText" lastClr="000000"/>
              </a:solidFill>
              <a:latin typeface="Soberana Sans" pitchFamily="50" charset="0"/>
              <a:ea typeface="+mn-ea"/>
              <a:cs typeface="+mn-cs"/>
            </a:defRPr>
          </a:pPr>
          <a:endParaRPr lang="es-MX"/>
        </a:p>
      </c:txPr>
    </c:title>
    <c:autoTitleDeleted val="0"/>
    <c:plotArea>
      <c:layout/>
      <c:pieChart>
        <c:varyColors val="1"/>
        <c:ser>
          <c:idx val="0"/>
          <c:order val="0"/>
          <c:dPt>
            <c:idx val="0"/>
            <c:bubble3D val="0"/>
            <c:explosion val="9"/>
            <c:spPr>
              <a:solidFill>
                <a:schemeClr val="accent3">
                  <a:tint val="58000"/>
                </a:schemeClr>
              </a:solidFill>
              <a:ln w="19050">
                <a:solidFill>
                  <a:schemeClr val="lt1"/>
                </a:solidFill>
              </a:ln>
              <a:effectLst/>
            </c:spPr>
          </c:dPt>
          <c:dPt>
            <c:idx val="1"/>
            <c:bubble3D val="0"/>
            <c:explosion val="11"/>
            <c:spPr>
              <a:solidFill>
                <a:schemeClr val="accent3">
                  <a:tint val="86000"/>
                </a:schemeClr>
              </a:solidFill>
              <a:ln w="19050">
                <a:solidFill>
                  <a:schemeClr val="lt1"/>
                </a:solidFill>
              </a:ln>
              <a:effectLst/>
            </c:spPr>
          </c:dPt>
          <c:dPt>
            <c:idx val="2"/>
            <c:bubble3D val="0"/>
            <c:explosion val="2"/>
            <c:spPr>
              <a:solidFill>
                <a:schemeClr val="accent3">
                  <a:shade val="86000"/>
                </a:schemeClr>
              </a:solidFill>
              <a:ln w="19050">
                <a:solidFill>
                  <a:schemeClr val="lt1"/>
                </a:solidFill>
              </a:ln>
              <a:effectLst/>
            </c:spPr>
          </c:dPt>
          <c:dPt>
            <c:idx val="3"/>
            <c:bubble3D val="0"/>
            <c:explosion val="2"/>
            <c:spPr>
              <a:solidFill>
                <a:schemeClr val="accent3">
                  <a:lumMod val="50000"/>
                </a:schemeClr>
              </a:solidFill>
              <a:ln w="19050">
                <a:solidFill>
                  <a:schemeClr val="lt1"/>
                </a:solidFill>
              </a:ln>
              <a:effectLst/>
            </c:spPr>
          </c:dPt>
          <c:dLbls>
            <c:dLbl>
              <c:idx val="0"/>
              <c:tx>
                <c:rich>
                  <a:bodyPr/>
                  <a:lstStyle/>
                  <a:p>
                    <a:fld id="{C854F6A3-11FA-4EA3-885E-C5E1DCE2F82A}" type="VALUE">
                      <a:rPr lang="en-US"/>
                      <a:pPr/>
                      <a:t>[VALOR]</a:t>
                    </a:fld>
                    <a:r>
                      <a:rPr lang="en-US" baseline="0"/>
                      <a:t> </a:t>
                    </a:r>
                  </a:p>
                  <a:p>
                    <a:r>
                      <a:rPr lang="en-US" baseline="0"/>
                      <a:t>72.1%</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E9811C62-6995-4A00-9740-9CB2CBA5FEAD}" type="VALUE">
                      <a:rPr lang="en-US"/>
                      <a:pPr/>
                      <a:t>[VALOR]</a:t>
                    </a:fld>
                    <a:r>
                      <a:rPr lang="en-US" baseline="0"/>
                      <a:t> </a:t>
                    </a:r>
                  </a:p>
                  <a:p>
                    <a:r>
                      <a:rPr lang="en-US" baseline="0"/>
                      <a:t>26.5%</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44D71B74-BC98-40AA-80CE-341E73EEB729}" type="VALUE">
                      <a:rPr lang="en-US"/>
                      <a:pPr/>
                      <a:t>[VALOR]</a:t>
                    </a:fld>
                    <a:r>
                      <a:rPr lang="en-US" baseline="0"/>
                      <a:t> </a:t>
                    </a:r>
                  </a:p>
                  <a:p>
                    <a:r>
                      <a:rPr lang="en-US" baseline="0"/>
                      <a:t>0.9%</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fld id="{B1DF33AA-D5B0-4B54-A14F-0995F3DC9737}" type="VALUE">
                      <a:rPr lang="en-US"/>
                      <a:pPr/>
                      <a:t>[VALOR]</a:t>
                    </a:fld>
                    <a:r>
                      <a:rPr lang="en-US" baseline="0"/>
                      <a:t>  </a:t>
                    </a:r>
                  </a:p>
                  <a:p>
                    <a:r>
                      <a:rPr lang="en-US" baseline="0"/>
                      <a:t>0.5%</a:t>
                    </a:r>
                  </a:p>
                </c:rich>
              </c:tx>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0">
                <a:spAutoFit/>
              </a:bodyPr>
              <a:lstStyle/>
              <a:p>
                <a:pPr algn="ctr">
                  <a:defRPr lang="es-MX" sz="800" b="0" i="0" u="none" strike="noStrike" kern="1200" baseline="0">
                    <a:solidFill>
                      <a:schemeClr val="tx1"/>
                    </a:solidFill>
                    <a:latin typeface="Soberana Sans" pitchFamily="50" charset="0"/>
                    <a:ea typeface="+mn-ea"/>
                    <a:cs typeface="+mn-cs"/>
                  </a:defRPr>
                </a:pPr>
                <a:endParaRPr lang="es-MX"/>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SHCP!$D$69:$D$72</c:f>
              <c:strCache>
                <c:ptCount val="4"/>
                <c:pt idx="0">
                  <c:v>Específico</c:v>
                </c:pt>
                <c:pt idx="1">
                  <c:v>Institucional</c:v>
                </c:pt>
                <c:pt idx="2">
                  <c:v>Interinstitucional</c:v>
                </c:pt>
                <c:pt idx="3">
                  <c:v>Intergubernamental</c:v>
                </c:pt>
              </c:strCache>
            </c:strRef>
          </c:cat>
          <c:val>
            <c:numRef>
              <c:f>SHCP!$E$69:$E$72</c:f>
              <c:numCache>
                <c:formatCode>General</c:formatCode>
                <c:ptCount val="4"/>
                <c:pt idx="0">
                  <c:v>158</c:v>
                </c:pt>
                <c:pt idx="1">
                  <c:v>58</c:v>
                </c:pt>
                <c:pt idx="2">
                  <c:v>2</c:v>
                </c:pt>
                <c:pt idx="3">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oberana Sans" panose="02000000000000000000" pitchFamily="50"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lgn="ctr" rtl="0">
              <a:defRPr lang="es-MX" sz="960" b="1" i="0" u="none" strike="noStrike" kern="1200" spc="0" baseline="0">
                <a:solidFill>
                  <a:sysClr val="windowText" lastClr="000000"/>
                </a:solidFill>
                <a:latin typeface="Soberana Sans" pitchFamily="50" charset="0"/>
                <a:ea typeface="+mn-ea"/>
                <a:cs typeface="+mn-cs"/>
              </a:defRPr>
            </a:pPr>
            <a:r>
              <a:rPr lang="es-MX" sz="960" b="1" i="0" u="none" strike="noStrike" kern="1200" baseline="0">
                <a:solidFill>
                  <a:sysClr val="windowText" lastClr="000000"/>
                </a:solidFill>
                <a:latin typeface="Soberana Sans" pitchFamily="50" charset="0"/>
                <a:ea typeface="+mn-ea"/>
                <a:cs typeface="+mn-cs"/>
              </a:rPr>
              <a:t>Gráfica 4. Distribución porcentual por tipo de ASM</a:t>
            </a:r>
          </a:p>
        </c:rich>
      </c:tx>
      <c:overlay val="0"/>
      <c:spPr>
        <a:noFill/>
        <a:ln>
          <a:noFill/>
        </a:ln>
        <a:effectLst/>
      </c:spPr>
      <c:txPr>
        <a:bodyPr rot="0" spcFirstLastPara="1" vertOverflow="ellipsis" vert="horz" wrap="square" anchor="ctr" anchorCtr="1"/>
        <a:lstStyle/>
        <a:p>
          <a:pPr algn="ctr" rtl="0">
            <a:defRPr lang="es-MX" sz="960" b="1" i="0" u="none" strike="noStrike" kern="1200" spc="0" baseline="0">
              <a:solidFill>
                <a:sysClr val="windowText" lastClr="000000"/>
              </a:solidFill>
              <a:latin typeface="Soberana Sans" pitchFamily="50" charset="0"/>
              <a:ea typeface="+mn-ea"/>
              <a:cs typeface="+mn-cs"/>
            </a:defRPr>
          </a:pPr>
          <a:endParaRPr lang="es-MX"/>
        </a:p>
      </c:txPr>
    </c:title>
    <c:autoTitleDeleted val="0"/>
    <c:plotArea>
      <c:layout/>
      <c:pieChart>
        <c:varyColors val="1"/>
        <c:ser>
          <c:idx val="0"/>
          <c:order val="0"/>
          <c:dPt>
            <c:idx val="0"/>
            <c:bubble3D val="0"/>
            <c:explosion val="9"/>
            <c:spPr>
              <a:solidFill>
                <a:schemeClr val="accent3">
                  <a:tint val="58000"/>
                </a:schemeClr>
              </a:solidFill>
              <a:ln w="19050">
                <a:solidFill>
                  <a:schemeClr val="lt1"/>
                </a:solidFill>
              </a:ln>
              <a:effectLst/>
            </c:spPr>
          </c:dPt>
          <c:dPt>
            <c:idx val="1"/>
            <c:bubble3D val="0"/>
            <c:explosion val="11"/>
            <c:spPr>
              <a:solidFill>
                <a:schemeClr val="accent3">
                  <a:tint val="86000"/>
                </a:schemeClr>
              </a:solidFill>
              <a:ln w="19050">
                <a:solidFill>
                  <a:schemeClr val="lt1"/>
                </a:solidFill>
              </a:ln>
              <a:effectLst/>
            </c:spPr>
          </c:dPt>
          <c:dPt>
            <c:idx val="2"/>
            <c:bubble3D val="0"/>
            <c:explosion val="2"/>
            <c:spPr>
              <a:solidFill>
                <a:schemeClr val="accent3">
                  <a:shade val="86000"/>
                </a:schemeClr>
              </a:solidFill>
              <a:ln w="19050">
                <a:solidFill>
                  <a:schemeClr val="lt1"/>
                </a:solidFill>
              </a:ln>
              <a:effectLst/>
            </c:spPr>
          </c:dPt>
          <c:dPt>
            <c:idx val="3"/>
            <c:bubble3D val="0"/>
            <c:explosion val="2"/>
            <c:spPr>
              <a:solidFill>
                <a:schemeClr val="accent3">
                  <a:lumMod val="50000"/>
                </a:schemeClr>
              </a:solidFill>
              <a:ln w="19050">
                <a:solidFill>
                  <a:schemeClr val="lt1"/>
                </a:solidFill>
              </a:ln>
              <a:effectLst/>
            </c:spPr>
          </c:dPt>
          <c:dLbls>
            <c:dLbl>
              <c:idx val="0"/>
              <c:tx>
                <c:rich>
                  <a:bodyPr/>
                  <a:lstStyle/>
                  <a:p>
                    <a:fld id="{C854F6A3-11FA-4EA3-885E-C5E1DCE2F82A}" type="VALUE">
                      <a:rPr lang="en-US"/>
                      <a:pPr/>
                      <a:t>[VALOR]</a:t>
                    </a:fld>
                    <a:r>
                      <a:rPr lang="en-US" baseline="0"/>
                      <a:t> </a:t>
                    </a:r>
                  </a:p>
                  <a:p>
                    <a:r>
                      <a:rPr lang="en-US" baseline="0"/>
                      <a:t>78.4%</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1"/>
              <c:tx>
                <c:rich>
                  <a:bodyPr/>
                  <a:lstStyle/>
                  <a:p>
                    <a:fld id="{E9811C62-6995-4A00-9740-9CB2CBA5FEAD}" type="VALUE">
                      <a:rPr lang="en-US"/>
                      <a:pPr/>
                      <a:t>[VALOR]</a:t>
                    </a:fld>
                    <a:r>
                      <a:rPr lang="en-US" baseline="0"/>
                      <a:t> </a:t>
                    </a:r>
                  </a:p>
                  <a:p>
                    <a:r>
                      <a:rPr lang="en-US" baseline="0"/>
                      <a:t>21.0%</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2"/>
              <c:tx>
                <c:rich>
                  <a:bodyPr/>
                  <a:lstStyle/>
                  <a:p>
                    <a:fld id="{44D71B74-BC98-40AA-80CE-341E73EEB729}" type="VALUE">
                      <a:rPr lang="en-US"/>
                      <a:pPr/>
                      <a:t>[VALOR]</a:t>
                    </a:fld>
                    <a:r>
                      <a:rPr lang="en-US" baseline="0"/>
                      <a:t> </a:t>
                    </a:r>
                  </a:p>
                  <a:p>
                    <a:r>
                      <a:rPr lang="en-US" baseline="0"/>
                      <a:t>0.4%</a:t>
                    </a:r>
                  </a:p>
                </c:rich>
              </c:tx>
              <c:showLegendKey val="0"/>
              <c:showVal val="1"/>
              <c:showCatName val="0"/>
              <c:showSerName val="0"/>
              <c:showPercent val="1"/>
              <c:showBubbleSize val="0"/>
              <c:extLst>
                <c:ext xmlns:c15="http://schemas.microsoft.com/office/drawing/2012/chart" uri="{CE6537A1-D6FC-4f65-9D91-7224C49458BB}">
                  <c15:dlblFieldTable/>
                  <c15:showDataLabelsRange val="0"/>
                </c:ext>
              </c:extLst>
            </c:dLbl>
            <c:dLbl>
              <c:idx val="3"/>
              <c:tx>
                <c:rich>
                  <a:bodyPr/>
                  <a:lstStyle/>
                  <a:p>
                    <a:fld id="{B1DF33AA-D5B0-4B54-A14F-0995F3DC9737}" type="VALUE">
                      <a:rPr lang="en-US"/>
                      <a:pPr/>
                      <a:t>[VALOR]</a:t>
                    </a:fld>
                    <a:r>
                      <a:rPr lang="en-US" baseline="0"/>
                      <a:t>  </a:t>
                    </a:r>
                  </a:p>
                  <a:p>
                    <a:r>
                      <a:rPr lang="en-US" baseline="0"/>
                      <a:t>0.2%</a:t>
                    </a:r>
                  </a:p>
                </c:rich>
              </c:tx>
              <c:showLegendKey val="0"/>
              <c:showVal val="1"/>
              <c:showCatName val="0"/>
              <c:showSerName val="0"/>
              <c:showPercent val="1"/>
              <c:showBubbleSize val="0"/>
              <c:separator> </c:separator>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0">
                <a:spAutoFit/>
              </a:bodyPr>
              <a:lstStyle/>
              <a:p>
                <a:pPr algn="ctr">
                  <a:defRPr lang="es-MX" sz="800" b="0" i="0" u="none" strike="noStrike" kern="1200" baseline="0">
                    <a:solidFill>
                      <a:schemeClr val="tx1"/>
                    </a:solidFill>
                    <a:latin typeface="Soberana Sans" pitchFamily="50" charset="0"/>
                    <a:ea typeface="+mn-ea"/>
                    <a:cs typeface="+mn-cs"/>
                  </a:defRPr>
                </a:pPr>
                <a:endParaRPr lang="es-MX"/>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CONEVAL!$D$69:$D$72</c:f>
              <c:strCache>
                <c:ptCount val="4"/>
                <c:pt idx="0">
                  <c:v>Específico</c:v>
                </c:pt>
                <c:pt idx="1">
                  <c:v>Institucional</c:v>
                </c:pt>
                <c:pt idx="2">
                  <c:v>Interinstitucional</c:v>
                </c:pt>
                <c:pt idx="3">
                  <c:v>Intergubernamental</c:v>
                </c:pt>
              </c:strCache>
            </c:strRef>
          </c:cat>
          <c:val>
            <c:numRef>
              <c:f>CONEVAL!$E$69:$E$72</c:f>
              <c:numCache>
                <c:formatCode>General</c:formatCode>
                <c:ptCount val="4"/>
                <c:pt idx="0">
                  <c:v>362</c:v>
                </c:pt>
                <c:pt idx="1">
                  <c:v>97</c:v>
                </c:pt>
                <c:pt idx="2">
                  <c:v>2</c:v>
                </c:pt>
                <c:pt idx="3">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Soberana Sans" panose="02000000000000000000" pitchFamily="50" charset="0"/>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3">
  <a:schemeClr val="accent3"/>
</cs:colorStyle>
</file>

<file path=word/charts/colors4.xml><?xml version="1.0" encoding="utf-8"?>
<cs:colorStyle xmlns:cs="http://schemas.microsoft.com/office/drawing/2012/chartStyle" xmlns:a="http://schemas.openxmlformats.org/drawingml/2006/main" meth="withinLinearReversed" id="23">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0.91319</cdr:y>
    </cdr:from>
    <cdr:to>
      <cdr:x>1</cdr:x>
      <cdr:y>1</cdr:y>
    </cdr:to>
    <cdr:sp macro="" textlink="">
      <cdr:nvSpPr>
        <cdr:cNvPr id="2" name="Cuadro de texto 5"/>
        <cdr:cNvSpPr txBox="1"/>
      </cdr:nvSpPr>
      <cdr:spPr>
        <a:xfrm xmlns:a="http://schemas.openxmlformats.org/drawingml/2006/main">
          <a:off x="0" y="2527098"/>
          <a:ext cx="4573270" cy="240232"/>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las instancias coordinadoras (SHCP y CONEVAL).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0.89453</cdr:y>
    </cdr:from>
    <cdr:to>
      <cdr:x>0.99458</cdr:x>
      <cdr:y>0.97753</cdr:y>
    </cdr:to>
    <cdr:sp macro="" textlink="">
      <cdr:nvSpPr>
        <cdr:cNvPr id="2" name="Cuadro de texto 5"/>
        <cdr:cNvSpPr txBox="1"/>
      </cdr:nvSpPr>
      <cdr:spPr>
        <a:xfrm xmlns:a="http://schemas.openxmlformats.org/drawingml/2006/main">
          <a:off x="0" y="2585089"/>
          <a:ext cx="4543425" cy="239860"/>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las instancias coordinadoras (SHCP y CONEVAL).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0.8969</cdr:y>
    </cdr:from>
    <cdr:to>
      <cdr:x>1</cdr:x>
      <cdr:y>1</cdr:y>
    </cdr:to>
    <cdr:sp macro="" textlink="">
      <cdr:nvSpPr>
        <cdr:cNvPr id="2" name="Cuadro de texto 5"/>
        <cdr:cNvSpPr txBox="1"/>
      </cdr:nvSpPr>
      <cdr:spPr>
        <a:xfrm xmlns:a="http://schemas.openxmlformats.org/drawingml/2006/main">
          <a:off x="-1600200" y="2314575"/>
          <a:ext cx="4566285" cy="266065"/>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a:t>
          </a:r>
          <a:endParaRPr lang="es-MX" sz="1200">
            <a:effectLst/>
            <a:latin typeface="Soberana Sans" panose="02000000000000000000" pitchFamily="50" charset="0"/>
            <a:ea typeface="MS Mincho"/>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0.08611</cdr:x>
      <cdr:y>0.91319</cdr:y>
    </cdr:from>
    <cdr:to>
      <cdr:x>0.96458</cdr:x>
      <cdr:y>1</cdr:y>
    </cdr:to>
    <cdr:sp macro="" textlink="">
      <cdr:nvSpPr>
        <cdr:cNvPr id="2" name="Cuadro de texto 5"/>
        <cdr:cNvSpPr txBox="1"/>
      </cdr:nvSpPr>
      <cdr:spPr>
        <a:xfrm xmlns:a="http://schemas.openxmlformats.org/drawingml/2006/main">
          <a:off x="393700" y="2505075"/>
          <a:ext cx="4016375" cy="238125"/>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SHCP con Información proporcionada por las dependencias y entidades de la APF.</a:t>
          </a:r>
          <a:endParaRPr lang="es-MX" sz="1200">
            <a:effectLst/>
            <a:latin typeface="Soberana Sans" panose="02000000000000000000" pitchFamily="50" charset="0"/>
            <a:ea typeface="MS Mincho"/>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6B7D-538F-41E2-ACC6-4B6E9F8A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Template>
  <TotalTime>1</TotalTime>
  <Pages>36</Pages>
  <Words>11619</Words>
  <Characters>63907</Characters>
  <Application>Microsoft Office Word</Application>
  <DocSecurity>0</DocSecurity>
  <Lines>532</Lines>
  <Paragraphs>150</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75376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UPCP</dc:creator>
  <cp:lastModifiedBy>Deyanell Bracamontes Silva</cp:lastModifiedBy>
  <cp:revision>2</cp:revision>
  <cp:lastPrinted>2016-04-27T03:26:00Z</cp:lastPrinted>
  <dcterms:created xsi:type="dcterms:W3CDTF">2016-07-26T19:26:00Z</dcterms:created>
  <dcterms:modified xsi:type="dcterms:W3CDTF">2016-07-26T19:26:00Z</dcterms:modified>
</cp:coreProperties>
</file>